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198C49BB" w14:textId="6F1402CA" w:rsidR="00FA0DE4" w:rsidRPr="00DA4707" w:rsidRDefault="00FA0DE4" w:rsidP="00775687">
            <w:pPr>
              <w:snapToGrid w:val="0"/>
              <w:jc w:val="both"/>
              <w:rPr>
                <w:sz w:val="18"/>
                <w:szCs w:val="18"/>
              </w:rPr>
            </w:pPr>
            <w:r>
              <w:rPr>
                <w:sz w:val="18"/>
                <w:szCs w:val="18"/>
              </w:rPr>
              <w:t>ZTE: Support the FL initial assessment.</w:t>
            </w: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1115D9A2" w14:textId="468CE333" w:rsidR="00FA0DE4" w:rsidRPr="009132CE" w:rsidRDefault="00FA0DE4" w:rsidP="009132CE">
            <w:pPr>
              <w:rPr>
                <w:sz w:val="18"/>
                <w:szCs w:val="18"/>
              </w:rPr>
            </w:pPr>
            <w:r>
              <w:rPr>
                <w:sz w:val="18"/>
                <w:szCs w:val="18"/>
              </w:rPr>
              <w:t>ZTE: Support the FL initial assessment.</w:t>
            </w: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Also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E11AD71" w14:textId="4B3B9B48" w:rsidR="00C61C81" w:rsidRPr="00DA4707"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agreement for TRP-specific beam 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Straightforwardly, considering that TRP-specific BFR is just a specific case for SCell-BFR, we can have the similar UE behavior, i.e., to determine SCS of</w:t>
            </w:r>
            <w:r>
              <w:rPr>
                <w:rFonts w:hint="eastAsia"/>
                <w:sz w:val="18"/>
                <w:szCs w:val="18"/>
                <w:lang w:eastAsia="zh-CN"/>
              </w:rPr>
              <w:t xml:space="preserve"> 28 symbols is based on the smallest SCS of the response receiving cell and all failed cells</w:t>
            </w: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i.e. one candidate RS ID is reported for one SCell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lastRenderedPageBreak/>
              <w:t>For the SCell</w:t>
            </w:r>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r w:rsidRPr="00311C23">
              <w:rPr>
                <w:color w:val="FF0000"/>
                <w:sz w:val="18"/>
                <w:szCs w:val="18"/>
              </w:rPr>
              <w:t>is</w:t>
            </w:r>
            <w:r w:rsidRPr="00311C23">
              <w:rPr>
                <w:strike/>
                <w:color w:val="FF0000"/>
                <w:sz w:val="18"/>
                <w:szCs w:val="18"/>
              </w:rPr>
              <w:t>are</w:t>
            </w:r>
            <w:r w:rsidRPr="00311C23">
              <w:rPr>
                <w:sz w:val="18"/>
                <w:szCs w:val="18"/>
              </w:rPr>
              <w:t xml:space="preserve"> larger than or equal to the Q</w:t>
            </w:r>
            <w:r w:rsidRPr="00311C23">
              <w:rPr>
                <w:sz w:val="18"/>
                <w:szCs w:val="18"/>
                <w:vertAlign w:val="subscript"/>
              </w:rPr>
              <w:t>in,LR</w:t>
            </w:r>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and the corresponding L1-RSRP measurement</w:t>
            </w:r>
            <w:r w:rsidRPr="00311C23">
              <w:rPr>
                <w:iCs/>
                <w:strike/>
                <w:color w:val="FF0000"/>
                <w:sz w:val="18"/>
                <w:szCs w:val="18"/>
              </w:rPr>
              <w:t>s</w:t>
            </w:r>
            <w:r w:rsidRPr="00311C23">
              <w:rPr>
                <w:iCs/>
                <w:sz w:val="18"/>
                <w:szCs w:val="18"/>
              </w:rPr>
              <w:t xml:space="preserve"> that </w:t>
            </w:r>
            <w:r w:rsidRPr="00311C23">
              <w:rPr>
                <w:iCs/>
                <w:color w:val="FF0000"/>
                <w:sz w:val="18"/>
                <w:szCs w:val="18"/>
              </w:rPr>
              <w:t>is</w:t>
            </w:r>
            <w:r w:rsidRPr="00311C23">
              <w:rPr>
                <w:iCs/>
                <w:strike/>
                <w:color w:val="FF0000"/>
                <w:sz w:val="18"/>
                <w:szCs w:val="18"/>
              </w:rPr>
              <w:t>are</w:t>
            </w:r>
            <w:r w:rsidRPr="00311C23">
              <w:rPr>
                <w:iCs/>
                <w:sz w:val="18"/>
                <w:szCs w:val="18"/>
              </w:rPr>
              <w:t xml:space="preserve"> larger than or equal to the </w:t>
            </w:r>
            <w:r w:rsidRPr="00311C23">
              <w:rPr>
                <w:sz w:val="18"/>
                <w:szCs w:val="18"/>
              </w:rPr>
              <w:t>Q</w:t>
            </w:r>
            <w:r w:rsidRPr="00311C23">
              <w:rPr>
                <w:sz w:val="18"/>
                <w:szCs w:val="18"/>
                <w:vertAlign w:val="subscript"/>
              </w:rPr>
              <w:t>in,LR</w:t>
            </w:r>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SCell</w:t>
            </w:r>
            <w:r w:rsidRPr="00311C23">
              <w:rPr>
                <w:iCs/>
                <w:sz w:val="18"/>
                <w:szCs w:val="18"/>
              </w:rPr>
              <w:t>.</w:t>
            </w:r>
          </w:p>
          <w:p w14:paraId="748F4E51" w14:textId="77777777" w:rsidR="00254212" w:rsidRDefault="00254212" w:rsidP="008651CF">
            <w:pPr>
              <w:snapToGrid w:val="0"/>
              <w:jc w:val="both"/>
              <w:rPr>
                <w:iCs/>
                <w:sz w:val="18"/>
                <w:szCs w:val="18"/>
              </w:rPr>
            </w:pPr>
          </w:p>
          <w:p w14:paraId="04611A11" w14:textId="6C5C3A8F" w:rsidR="00254212" w:rsidRPr="00DA4707" w:rsidRDefault="00254212" w:rsidP="008651CF">
            <w:pPr>
              <w:snapToGrid w:val="0"/>
              <w:jc w:val="both"/>
              <w:rPr>
                <w:sz w:val="18"/>
                <w:szCs w:val="18"/>
              </w:rPr>
            </w:pPr>
            <w:r>
              <w:rPr>
                <w:sz w:val="18"/>
                <w:szCs w:val="18"/>
              </w:rPr>
              <w:t>ZTE: Support the FL initial assessment.</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230BC6EF" w14:textId="7C405DEA" w:rsidR="00567F71" w:rsidRPr="00DA4707" w:rsidRDefault="00567F71" w:rsidP="00F83F1B">
            <w:pPr>
              <w:snapToGrid w:val="0"/>
              <w:jc w:val="both"/>
              <w:rPr>
                <w:sz w:val="18"/>
                <w:szCs w:val="18"/>
              </w:rPr>
            </w:pPr>
            <w:r>
              <w:rPr>
                <w:sz w:val="18"/>
                <w:szCs w:val="18"/>
              </w:rPr>
              <w:t>ZTE: Agree to handle it as editorial CR</w:t>
            </w: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46F68E4C" w14:textId="7C06659E" w:rsidR="00567F71" w:rsidRPr="00891712" w:rsidRDefault="00891712" w:rsidP="00360500">
            <w:pPr>
              <w:snapToGrid w:val="0"/>
              <w:jc w:val="both"/>
              <w:rPr>
                <w:rFonts w:eastAsia="等线" w:hint="eastAsia"/>
                <w:sz w:val="18"/>
                <w:szCs w:val="18"/>
                <w:lang w:eastAsia="zh-CN"/>
              </w:rPr>
            </w:pPr>
            <w:r>
              <w:rPr>
                <w:rFonts w:eastAsia="等线" w:hint="eastAsia"/>
                <w:sz w:val="18"/>
                <w:szCs w:val="18"/>
                <w:lang w:eastAsia="zh-CN"/>
              </w:rPr>
              <w:t>Z</w:t>
            </w:r>
            <w:r>
              <w:rPr>
                <w:rFonts w:eastAsia="等线"/>
                <w:sz w:val="18"/>
                <w:szCs w:val="18"/>
                <w:lang w:eastAsia="zh-CN"/>
              </w:rPr>
              <w:t>TE: Agree to handle it as</w:t>
            </w:r>
            <w:r w:rsidR="00475893">
              <w:rPr>
                <w:rFonts w:eastAsia="等线"/>
                <w:sz w:val="18"/>
                <w:szCs w:val="18"/>
                <w:lang w:eastAsia="zh-CN"/>
              </w:rPr>
              <w:t xml:space="preserve"> part of the</w:t>
            </w:r>
            <w:r>
              <w:rPr>
                <w:rFonts w:eastAsia="等线"/>
                <w:sz w:val="18"/>
                <w:szCs w:val="18"/>
                <w:lang w:eastAsia="zh-CN"/>
              </w:rPr>
              <w:t xml:space="preserve"> editorial CR.</w:t>
            </w: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Huawei/HiSi</w:t>
            </w:r>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non critical,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B39F016" w14:textId="6B516079" w:rsidR="00567F71" w:rsidRPr="00DA4707" w:rsidRDefault="00567F71" w:rsidP="00084C1B">
            <w:pPr>
              <w:snapToGrid w:val="0"/>
              <w:jc w:val="both"/>
              <w:rPr>
                <w:sz w:val="18"/>
                <w:szCs w:val="18"/>
              </w:rPr>
            </w:pPr>
            <w:r>
              <w:rPr>
                <w:rFonts w:eastAsia="等线" w:hint="eastAsia"/>
                <w:sz w:val="18"/>
                <w:szCs w:val="18"/>
                <w:lang w:eastAsia="zh-CN"/>
              </w:rPr>
              <w:t>Z</w:t>
            </w:r>
            <w:r>
              <w:rPr>
                <w:rFonts w:eastAsia="等线"/>
                <w:sz w:val="18"/>
                <w:szCs w:val="18"/>
                <w:lang w:eastAsia="zh-CN"/>
              </w:rPr>
              <w:t>TE: We are okay to clarify this.</w:t>
            </w: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7B7B16AA" w14:textId="51535DA7" w:rsidR="00475893" w:rsidRPr="00DA4707" w:rsidRDefault="00475893" w:rsidP="00FB3FBB">
            <w:pPr>
              <w:snapToGrid w:val="0"/>
              <w:jc w:val="both"/>
              <w:rPr>
                <w:sz w:val="18"/>
                <w:szCs w:val="18"/>
              </w:rPr>
            </w:pPr>
            <w:r>
              <w:rPr>
                <w:rFonts w:eastAsia="等线" w:hint="eastAsia"/>
                <w:sz w:val="18"/>
                <w:szCs w:val="18"/>
                <w:lang w:eastAsia="zh-CN"/>
              </w:rPr>
              <w:t>Z</w:t>
            </w:r>
            <w:r>
              <w:rPr>
                <w:rFonts w:eastAsia="等线"/>
                <w:sz w:val="18"/>
                <w:szCs w:val="18"/>
                <w:lang w:eastAsia="zh-CN"/>
              </w:rPr>
              <w:t>TE: Agree to handle it as part of the editorial CR.</w:t>
            </w:r>
            <w:bookmarkStart w:id="2" w:name="_GoBack"/>
            <w:bookmarkEnd w:id="2"/>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r w:rsidR="00BF7D3A">
              <w:rPr>
                <w:sz w:val="18"/>
                <w:szCs w:val="18"/>
              </w:rPr>
              <w:t>Or, the NW can avoid this from happening by configuring paraComb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lastRenderedPageBreak/>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7FD14F8F" w14:textId="1B708A4B" w:rsidR="00567F71" w:rsidRPr="00DA4707" w:rsidRDefault="00567F71" w:rsidP="005E6932">
            <w:pPr>
              <w:snapToGrid w:val="0"/>
              <w:jc w:val="both"/>
              <w:rPr>
                <w:sz w:val="18"/>
                <w:szCs w:val="18"/>
              </w:rPr>
            </w:pPr>
            <w:r>
              <w:rPr>
                <w:rFonts w:eastAsia="等线" w:hint="eastAsia"/>
                <w:sz w:val="18"/>
                <w:szCs w:val="18"/>
                <w:lang w:eastAsia="zh-CN"/>
              </w:rPr>
              <w:t>Z</w:t>
            </w:r>
            <w:r>
              <w:rPr>
                <w:rFonts w:eastAsia="等线"/>
                <w:sz w:val="18"/>
                <w:szCs w:val="18"/>
                <w:lang w:eastAsia="zh-CN"/>
              </w:rPr>
              <w:t>TE: We are okay to clarify this.</w:t>
            </w: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lastRenderedPageBreak/>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r w:rsidRPr="005B7C95">
              <w:rPr>
                <w:i/>
                <w:color w:val="FF0000"/>
                <w:sz w:val="18"/>
                <w:szCs w:val="18"/>
                <w:u w:val="single"/>
                <w:lang w:val="en-GB"/>
              </w:rPr>
              <w:t>reportQuantity</w:t>
            </w:r>
            <w:r w:rsidRPr="005B7C95">
              <w:rPr>
                <w:color w:val="FF0000"/>
                <w:sz w:val="18"/>
                <w:szCs w:val="18"/>
                <w:u w:val="single"/>
                <w:lang w:val="en-GB"/>
              </w:rPr>
              <w:t xml:space="preserve"> is set to 'cri-RI-PMI-CQI', or 'cri-RI-LI-PMI-CQI', </w:t>
            </w:r>
            <w:r w:rsidRPr="005B7C95">
              <w:rPr>
                <w:i/>
                <w:iCs/>
                <w:color w:val="FF0000"/>
                <w:sz w:val="18"/>
                <w:szCs w:val="18"/>
                <w:u w:val="single"/>
              </w:rPr>
              <w:t>codebookType</w:t>
            </w:r>
            <w:r w:rsidRPr="005B7C95">
              <w:rPr>
                <w:color w:val="FF0000"/>
                <w:sz w:val="18"/>
                <w:szCs w:val="18"/>
                <w:u w:val="single"/>
              </w:rPr>
              <w:t xml:space="preserve"> is set to </w:t>
            </w:r>
            <w:r w:rsidRPr="005B7C95">
              <w:rPr>
                <w:color w:val="FF0000"/>
                <w:sz w:val="18"/>
                <w:szCs w:val="18"/>
                <w:u w:val="single"/>
                <w:lang w:val="en-GB"/>
              </w:rPr>
              <w:t>'typeII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It is not essential that the design of eTypeII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0A3AA382" w14:textId="1DE292E5" w:rsidR="00072A36" w:rsidRPr="00DA4707" w:rsidRDefault="00072A36" w:rsidP="00FB3FBB">
            <w:pPr>
              <w:snapToGrid w:val="0"/>
              <w:jc w:val="both"/>
              <w:rPr>
                <w:sz w:val="18"/>
                <w:szCs w:val="18"/>
              </w:rPr>
            </w:pPr>
            <w:r>
              <w:rPr>
                <w:rFonts w:eastAsia="等线" w:hint="eastAsia"/>
                <w:sz w:val="18"/>
                <w:szCs w:val="18"/>
                <w:lang w:eastAsia="zh-CN"/>
              </w:rPr>
              <w:t>Z</w:t>
            </w:r>
            <w:r>
              <w:rPr>
                <w:rFonts w:eastAsia="等线"/>
                <w:sz w:val="18"/>
                <w:szCs w:val="18"/>
                <w:lang w:eastAsia="zh-CN"/>
              </w:rPr>
              <w:t xml:space="preserve">TE: We think the need to have this for Rel-16 is not clear. It has been agreed in Rel-16 that PMI format is not useful in Rel-16, i.e., all Rel-16 eType II CSI configurations belong to </w:t>
            </w:r>
            <w:r>
              <w:rPr>
                <w:rFonts w:eastAsia="等线"/>
                <w:sz w:val="18"/>
                <w:szCs w:val="18"/>
                <w:lang w:eastAsia="zh-CN"/>
              </w:rPr>
              <w:t>n</w:t>
            </w:r>
            <w:r>
              <w:rPr>
                <w:rFonts w:eastAsia="等线"/>
                <w:sz w:val="18"/>
                <w:szCs w:val="18"/>
                <w:lang w:eastAsia="zh-CN"/>
              </w:rPr>
              <w:t>either subband PMI nor wideband PMI reporting.</w:t>
            </w: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5E93DF20" w14:textId="7881DC31" w:rsidR="00546189" w:rsidRPr="00DA4707" w:rsidRDefault="00546189" w:rsidP="00FB3FBB">
            <w:pPr>
              <w:snapToGrid w:val="0"/>
              <w:jc w:val="both"/>
              <w:rPr>
                <w:sz w:val="18"/>
                <w:szCs w:val="18"/>
              </w:rPr>
            </w:pPr>
            <w:r>
              <w:rPr>
                <w:rFonts w:eastAsia="等线" w:hint="eastAsia"/>
                <w:sz w:val="18"/>
                <w:szCs w:val="18"/>
                <w:lang w:eastAsia="zh-CN"/>
              </w:rPr>
              <w:t>Z</w:t>
            </w:r>
            <w:r>
              <w:rPr>
                <w:rFonts w:eastAsia="等线"/>
                <w:sz w:val="18"/>
                <w:szCs w:val="18"/>
                <w:lang w:eastAsia="zh-CN"/>
              </w:rPr>
              <w:t>TE: We</w:t>
            </w:r>
            <w:r>
              <w:rPr>
                <w:rFonts w:eastAsia="等线" w:hint="eastAsia"/>
                <w:sz w:val="18"/>
                <w:szCs w:val="18"/>
                <w:lang w:eastAsia="zh-CN"/>
              </w:rPr>
              <w:t xml:space="preserve"> agree with FL</w:t>
            </w:r>
            <w:r>
              <w:rPr>
                <w:rFonts w:eastAsia="等线"/>
                <w:sz w:val="18"/>
                <w:szCs w:val="18"/>
                <w:lang w:eastAsia="zh-CN"/>
              </w:rPr>
              <w:t>’</w:t>
            </w:r>
            <w:r>
              <w:rPr>
                <w:rFonts w:eastAsia="等线" w:hint="eastAsia"/>
                <w:sz w:val="18"/>
                <w:szCs w:val="18"/>
                <w:lang w:eastAsia="zh-CN"/>
              </w:rPr>
              <w:t>s initial assessment that it can be handled by gNB scheduling once this issue occurs in reality, hence we think there is no specification impact.</w:t>
            </w: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1EDD1" w14:textId="77777777" w:rsidR="001B6D1B" w:rsidRDefault="001B6D1B" w:rsidP="00FE429F">
      <w:r>
        <w:separator/>
      </w:r>
    </w:p>
  </w:endnote>
  <w:endnote w:type="continuationSeparator" w:id="0">
    <w:p w14:paraId="1815F780" w14:textId="77777777" w:rsidR="001B6D1B" w:rsidRDefault="001B6D1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84426" w14:textId="77777777" w:rsidR="001B6D1B" w:rsidRDefault="001B6D1B" w:rsidP="00FE429F">
      <w:r>
        <w:separator/>
      </w:r>
    </w:p>
  </w:footnote>
  <w:footnote w:type="continuationSeparator" w:id="0">
    <w:p w14:paraId="76CE8486" w14:textId="77777777" w:rsidR="001B6D1B" w:rsidRDefault="001B6D1B"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8">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133C219-4CC2-41BD-96DF-A8668F3B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1627</Words>
  <Characters>9278</Characters>
  <Application>Microsoft Office Word</Application>
  <DocSecurity>0</DocSecurity>
  <Lines>77</Lines>
  <Paragraphs>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 - Hao</cp:lastModifiedBy>
  <cp:revision>10</cp:revision>
  <dcterms:created xsi:type="dcterms:W3CDTF">2021-11-09T06:54:00Z</dcterms:created>
  <dcterms:modified xsi:type="dcterms:W3CDTF">2021-11-09T08:03:00Z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