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E9F1D" w14:textId="02ED220A" w:rsidR="000E2AF5" w:rsidRDefault="000E2AF5" w:rsidP="000E2AF5">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273A77B2" wp14:editId="0D73F661">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642A" id="Freihand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#107-e</w:t>
      </w:r>
      <w:r>
        <w:rPr>
          <w:b/>
          <w:kern w:val="2"/>
          <w:lang w:eastAsia="zh-CN"/>
        </w:rPr>
        <w:tab/>
        <w:t>R1-</w:t>
      </w:r>
      <w:r w:rsidRPr="000E2AF5">
        <w:rPr>
          <w:b/>
          <w:kern w:val="2"/>
          <w:lang w:eastAsia="zh-CN"/>
        </w:rPr>
        <w:t>2112367</w:t>
      </w:r>
    </w:p>
    <w:p w14:paraId="10FADEE6" w14:textId="77777777" w:rsidR="000E2AF5" w:rsidRDefault="000E2AF5" w:rsidP="000E2AF5">
      <w:pPr>
        <w:tabs>
          <w:tab w:val="right" w:pos="9216"/>
        </w:tabs>
        <w:spacing w:after="0"/>
        <w:rPr>
          <w:b/>
          <w:kern w:val="2"/>
          <w:lang w:eastAsia="zh-CN"/>
        </w:rPr>
      </w:pPr>
      <w:r>
        <w:rPr>
          <w:b/>
          <w:kern w:val="2"/>
          <w:lang w:eastAsia="zh-CN"/>
        </w:rPr>
        <w:t>e-Meeting, November 11th – 19th, 2021</w:t>
      </w:r>
    </w:p>
    <w:p w14:paraId="1D85AEB8" w14:textId="77777777" w:rsidR="00B52A57" w:rsidRPr="00CF195E" w:rsidRDefault="00B52A57" w:rsidP="00B52A57">
      <w:pPr>
        <w:pBdr>
          <w:top w:val="single" w:sz="4" w:space="1" w:color="auto"/>
        </w:pBdr>
        <w:spacing w:after="0"/>
        <w:jc w:val="left"/>
        <w:rPr>
          <w:b/>
          <w:kern w:val="2"/>
          <w:sz w:val="16"/>
          <w:szCs w:val="16"/>
          <w:lang w:eastAsia="zh-CN"/>
        </w:rPr>
      </w:pPr>
    </w:p>
    <w:p w14:paraId="2C8C9B1E" w14:textId="77777777" w:rsidR="00B52A57" w:rsidRPr="00EF6E3B" w:rsidRDefault="00B52A57" w:rsidP="00B52A57">
      <w:pPr>
        <w:spacing w:after="60"/>
        <w:ind w:left="1555" w:hanging="1555"/>
        <w:jc w:val="left"/>
        <w:rPr>
          <w:b/>
          <w:kern w:val="2"/>
          <w:lang w:eastAsia="zh-CN"/>
        </w:rPr>
      </w:pPr>
      <w:r w:rsidRPr="00EF6E3B">
        <w:rPr>
          <w:b/>
          <w:kern w:val="2"/>
          <w:lang w:eastAsia="zh-CN"/>
        </w:rPr>
        <w:t>Agenda Item:</w:t>
      </w:r>
      <w:r>
        <w:rPr>
          <w:b/>
          <w:kern w:val="2"/>
          <w:lang w:eastAsia="zh-CN"/>
        </w:rPr>
        <w:tab/>
        <w:t>8.5.3</w:t>
      </w:r>
      <w:r w:rsidRPr="00EF6E3B">
        <w:rPr>
          <w:b/>
          <w:kern w:val="2"/>
          <w:lang w:eastAsia="zh-CN"/>
        </w:rPr>
        <w:tab/>
      </w:r>
    </w:p>
    <w:p w14:paraId="2927924F" w14:textId="77777777" w:rsidR="00B52A57" w:rsidRPr="00EF6E3B" w:rsidRDefault="00B52A57" w:rsidP="00B52A57">
      <w:pPr>
        <w:spacing w:after="60"/>
        <w:ind w:left="1555" w:hanging="1555"/>
        <w:jc w:val="left"/>
        <w:rPr>
          <w:b/>
          <w:kern w:val="2"/>
          <w:lang w:eastAsia="zh-CN"/>
        </w:rPr>
      </w:pPr>
      <w:r w:rsidRPr="00EF6E3B">
        <w:rPr>
          <w:b/>
          <w:kern w:val="2"/>
          <w:lang w:eastAsia="zh-CN"/>
        </w:rPr>
        <w:t>Source:</w:t>
      </w:r>
      <w:r w:rsidRPr="00EF6E3B">
        <w:rPr>
          <w:b/>
          <w:kern w:val="2"/>
          <w:lang w:eastAsia="zh-CN"/>
        </w:rPr>
        <w:tab/>
        <w:t>Fraunhofer IIS, Fraunhofer HHI</w:t>
      </w:r>
    </w:p>
    <w:p w14:paraId="6E24B451" w14:textId="77777777" w:rsidR="00B52A57" w:rsidRPr="00CF195E" w:rsidRDefault="00B52A57" w:rsidP="00B52A57">
      <w:pPr>
        <w:spacing w:after="60"/>
        <w:ind w:left="1555" w:hanging="1555"/>
        <w:jc w:val="left"/>
        <w:rPr>
          <w:b/>
          <w:kern w:val="2"/>
          <w:lang w:eastAsia="zh-CN"/>
        </w:rPr>
      </w:pPr>
      <w:r w:rsidRPr="00CF195E">
        <w:rPr>
          <w:b/>
          <w:kern w:val="2"/>
          <w:lang w:eastAsia="zh-CN"/>
        </w:rPr>
        <w:t>Title:</w:t>
      </w:r>
      <w:r w:rsidRPr="00CF195E">
        <w:rPr>
          <w:b/>
          <w:kern w:val="2"/>
          <w:lang w:eastAsia="zh-CN"/>
        </w:rPr>
        <w:tab/>
      </w:r>
      <w:r>
        <w:rPr>
          <w:b/>
          <w:bCs/>
          <w:lang w:eastAsia="zh-CN"/>
        </w:rPr>
        <w:t>DL-AoD</w:t>
      </w:r>
      <w:r w:rsidRPr="00411172">
        <w:rPr>
          <w:b/>
          <w:bCs/>
          <w:lang w:eastAsia="zh-CN"/>
        </w:rPr>
        <w:t xml:space="preserve"> positioning enhancements</w:t>
      </w:r>
    </w:p>
    <w:p w14:paraId="11267C8B" w14:textId="77777777" w:rsidR="00B52A57" w:rsidRPr="00CF195E" w:rsidRDefault="00B52A57" w:rsidP="00B52A57">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54A38F56" w14:textId="77777777" w:rsidR="00A54F95" w:rsidRPr="00A54F95" w:rsidRDefault="00A54F95" w:rsidP="009B52C9">
      <w:bookmarkStart w:id="0" w:name="_Ref37187857"/>
      <w:bookmarkStart w:id="1" w:name="_Ref129681862"/>
      <w:bookmarkStart w:id="2" w:name="_Ref124589705"/>
    </w:p>
    <w:p w14:paraId="21BEB5A1" w14:textId="77777777" w:rsidR="00212600" w:rsidRPr="00212600" w:rsidRDefault="00B52A57" w:rsidP="00212600">
      <w:pPr>
        <w:pStyle w:val="berschrift1"/>
        <w:ind w:left="450"/>
      </w:pPr>
      <w:r>
        <w:t>Introduction</w:t>
      </w:r>
      <w:bookmarkEnd w:id="0"/>
      <w:r>
        <w:t xml:space="preserve"> </w:t>
      </w:r>
    </w:p>
    <w:p w14:paraId="7A8FE7F5" w14:textId="2E06A650" w:rsidR="00AE2C0B" w:rsidRDefault="00B52A57" w:rsidP="00B52A57">
      <w:r>
        <w:t xml:space="preserve">In this </w:t>
      </w:r>
      <w:r w:rsidR="00C44D03">
        <w:t>contribution,</w:t>
      </w:r>
      <w:r>
        <w:t xml:space="preserve"> we discuss </w:t>
      </w:r>
      <w:r w:rsidR="00C44D03">
        <w:t>the following points</w:t>
      </w:r>
      <w:r>
        <w:t>:</w:t>
      </w:r>
    </w:p>
    <w:p w14:paraId="51F338A2" w14:textId="2DB904E9" w:rsidR="00AE2C0B" w:rsidRDefault="00AE2C0B" w:rsidP="00AE2C0B">
      <w:pPr>
        <w:pStyle w:val="Listenabsatz"/>
        <w:numPr>
          <w:ilvl w:val="0"/>
          <w:numId w:val="7"/>
        </w:numPr>
        <w:ind w:firstLineChars="0"/>
      </w:pPr>
      <w:r>
        <w:t>UE measurements and reports</w:t>
      </w:r>
    </w:p>
    <w:p w14:paraId="09BA27E2" w14:textId="34378B99" w:rsidR="009B52C9" w:rsidRDefault="00B52A57" w:rsidP="00231EC7">
      <w:pPr>
        <w:pStyle w:val="Listenabsatz"/>
        <w:numPr>
          <w:ilvl w:val="0"/>
          <w:numId w:val="7"/>
        </w:numPr>
        <w:ind w:firstLineChars="0"/>
      </w:pPr>
      <w:r w:rsidRPr="00AF410F">
        <w:t>TRP radiation pattern information</w:t>
      </w:r>
      <w:r>
        <w:t xml:space="preserve"> related </w:t>
      </w:r>
      <w:r w:rsidRPr="00AF410F">
        <w:t>gNB to LMF signaling enhancements</w:t>
      </w:r>
    </w:p>
    <w:p w14:paraId="4598B7A2" w14:textId="77777777" w:rsidR="000556F7" w:rsidRPr="00A940E8" w:rsidRDefault="000556F7" w:rsidP="00212600">
      <w:pPr>
        <w:ind w:left="1418" w:hanging="1417"/>
        <w:jc w:val="left"/>
        <w:rPr>
          <w:b/>
          <w:bCs/>
        </w:rPr>
      </w:pPr>
    </w:p>
    <w:p w14:paraId="77DF54A0" w14:textId="72085C48" w:rsidR="00E86687" w:rsidRDefault="00AE2C0B" w:rsidP="00AE2C0B">
      <w:pPr>
        <w:pStyle w:val="berschrift1"/>
        <w:ind w:left="450"/>
      </w:pPr>
      <w:r>
        <w:t>Signaling Enhancement</w:t>
      </w:r>
    </w:p>
    <w:p w14:paraId="45C931CA" w14:textId="77777777" w:rsidR="00AE2C0B" w:rsidRPr="00AE2C0B" w:rsidRDefault="00AE2C0B" w:rsidP="00AE2C0B"/>
    <w:p w14:paraId="24317768" w14:textId="77777777" w:rsidR="00850B34" w:rsidRDefault="000333F0" w:rsidP="000333F0">
      <w:r>
        <w:t>A</w:t>
      </w:r>
      <w:r w:rsidR="00A35B01">
        <w:t>s a more general solution to the issue of resource prioritization, we believe that indicating a subset of PRS resources associated with each PRS resource is the way to go. This solution becomes relevant</w:t>
      </w:r>
      <w:r w:rsidR="00BF020D">
        <w:t xml:space="preserve"> especially</w:t>
      </w:r>
      <w:r w:rsidR="00A35B01">
        <w:t xml:space="preserve"> in the presence of beams with different ch</w:t>
      </w:r>
      <w:r w:rsidR="00557AF6">
        <w:t>aracteristics. However,</w:t>
      </w:r>
      <w:r w:rsidR="001D7E76">
        <w:t xml:space="preserve"> as a way forward</w:t>
      </w:r>
      <w:r w:rsidR="00557AF6">
        <w:t xml:space="preserve"> we also believe that indicating the boresight direction information with the expected DL-AoD might be useful in some scenarios. </w:t>
      </w:r>
    </w:p>
    <w:p w14:paraId="7F4E2531" w14:textId="601F19E6" w:rsidR="00A35B01" w:rsidRPr="00A35B01" w:rsidRDefault="00557AF6" w:rsidP="000333F0">
      <w:r>
        <w:t>By also emphasizing that either case should not make any measurement restriction</w:t>
      </w:r>
      <w:r w:rsidR="001D7E76">
        <w:t>s</w:t>
      </w:r>
      <w:r>
        <w:t xml:space="preserve"> on the UE, we </w:t>
      </w:r>
      <w:r w:rsidR="000333F0">
        <w:t>believe the following can be concluded in this meeting</w:t>
      </w:r>
      <w:r w:rsidR="001D7E76">
        <w:t>:</w:t>
      </w:r>
    </w:p>
    <w:p w14:paraId="530225DE" w14:textId="6B450EBC" w:rsidR="000333F0" w:rsidRPr="00E86687" w:rsidRDefault="000333F0" w:rsidP="000333F0">
      <w:pPr>
        <w:ind w:left="1416" w:hanging="1416"/>
        <w:rPr>
          <w:b/>
          <w:bCs/>
        </w:rPr>
      </w:pPr>
      <w:r>
        <w:rPr>
          <w:b/>
          <w:bCs/>
        </w:rPr>
        <w:t>Proposal 1</w:t>
      </w:r>
      <w:r w:rsidRPr="0092611E">
        <w:rPr>
          <w:b/>
          <w:bCs/>
        </w:rPr>
        <w:t xml:space="preserve">: </w:t>
      </w:r>
      <w:r w:rsidRPr="0092611E">
        <w:rPr>
          <w:b/>
          <w:bCs/>
        </w:rPr>
        <w:tab/>
      </w:r>
      <w:r w:rsidRPr="00E86687">
        <w:rPr>
          <w:b/>
          <w:bCs/>
        </w:rPr>
        <w:t xml:space="preserve">For UE-assisted DL-AOD positioning method, to enhance the signaling to the UE for the purpose of PRS resource(s) reporting, the LMF may indicate in the assistance data (AD), one or both the following: </w:t>
      </w:r>
    </w:p>
    <w:p w14:paraId="14738886" w14:textId="77777777" w:rsidR="000333F0" w:rsidRPr="00E86687" w:rsidRDefault="000333F0" w:rsidP="000333F0">
      <w:pPr>
        <w:pStyle w:val="Listenabsatz"/>
        <w:numPr>
          <w:ilvl w:val="0"/>
          <w:numId w:val="22"/>
        </w:numPr>
        <w:autoSpaceDE/>
        <w:autoSpaceDN/>
        <w:adjustRightInd/>
        <w:snapToGrid/>
        <w:spacing w:after="160" w:line="259" w:lineRule="auto"/>
        <w:ind w:left="2484" w:firstLineChars="0"/>
        <w:jc w:val="left"/>
        <w:rPr>
          <w:b/>
          <w:bCs/>
        </w:rPr>
      </w:pPr>
      <w:r w:rsidRPr="00E86687">
        <w:rPr>
          <w:b/>
          <w:bCs/>
        </w:rPr>
        <w:t>Option 1: subject to UE capability, for each PRS resource, a subset of PRS resources for the purpose of prioritization of DL-AOD reporting:</w:t>
      </w:r>
    </w:p>
    <w:p w14:paraId="2F492C1C" w14:textId="77777777" w:rsidR="000333F0" w:rsidRPr="00E86687" w:rsidRDefault="000333F0" w:rsidP="000333F0">
      <w:pPr>
        <w:pStyle w:val="Listenabsatz"/>
        <w:numPr>
          <w:ilvl w:val="1"/>
          <w:numId w:val="22"/>
        </w:numPr>
        <w:autoSpaceDE/>
        <w:autoSpaceDN/>
        <w:adjustRightInd/>
        <w:snapToGrid/>
        <w:spacing w:after="160" w:line="259" w:lineRule="auto"/>
        <w:ind w:left="3204" w:firstLineChars="0"/>
        <w:jc w:val="left"/>
        <w:rPr>
          <w:b/>
          <w:bCs/>
        </w:rPr>
      </w:pPr>
      <w:r w:rsidRPr="00E86687">
        <w:rPr>
          <w:b/>
          <w:bCs/>
          <w:lang w:eastAsia="zh-CN"/>
        </w:rPr>
        <w:t xml:space="preserve">a UE may include the requested PRS measurement for the subset of the PRS in the DL-AoD additional measurements if the requested PRS measurement of the associated PRS is reported </w:t>
      </w:r>
    </w:p>
    <w:p w14:paraId="252E0730" w14:textId="77777777" w:rsidR="000333F0" w:rsidRPr="00E86687" w:rsidRDefault="000333F0" w:rsidP="000333F0">
      <w:pPr>
        <w:numPr>
          <w:ilvl w:val="2"/>
          <w:numId w:val="17"/>
        </w:numPr>
        <w:autoSpaceDE/>
        <w:autoSpaceDN/>
        <w:adjustRightInd/>
        <w:snapToGrid/>
        <w:spacing w:after="0"/>
        <w:ind w:left="3869"/>
        <w:jc w:val="left"/>
        <w:rPr>
          <w:b/>
          <w:bCs/>
        </w:rPr>
      </w:pPr>
      <w:r w:rsidRPr="00E86687">
        <w:rPr>
          <w:b/>
          <w:bCs/>
          <w:lang w:eastAsia="zh-CN"/>
        </w:rPr>
        <w:t xml:space="preserve">The requested PRS measurement can be DL PRS RSRP and/or path PRS RSRP. </w:t>
      </w:r>
    </w:p>
    <w:p w14:paraId="71D68E2E" w14:textId="77777777" w:rsidR="000333F0" w:rsidRPr="00E86687" w:rsidRDefault="000333F0" w:rsidP="000333F0">
      <w:pPr>
        <w:numPr>
          <w:ilvl w:val="1"/>
          <w:numId w:val="17"/>
        </w:numPr>
        <w:autoSpaceDE/>
        <w:autoSpaceDN/>
        <w:adjustRightInd/>
        <w:snapToGrid/>
        <w:spacing w:after="0"/>
        <w:ind w:left="3149"/>
        <w:jc w:val="left"/>
        <w:rPr>
          <w:b/>
          <w:bCs/>
          <w:lang w:eastAsia="zh-CN"/>
        </w:rPr>
      </w:pPr>
      <w:r w:rsidRPr="00E86687">
        <w:rPr>
          <w:b/>
          <w:bCs/>
          <w:lang w:eastAsia="zh-CN"/>
        </w:rPr>
        <w:t xml:space="preserve">Note: The subset associated with a PRS resource can be in a same or different PRS resource set than the PRS resource </w:t>
      </w:r>
    </w:p>
    <w:p w14:paraId="4F19816E" w14:textId="77777777" w:rsidR="000333F0" w:rsidRPr="00E86687" w:rsidRDefault="000333F0" w:rsidP="000333F0">
      <w:pPr>
        <w:numPr>
          <w:ilvl w:val="0"/>
          <w:numId w:val="17"/>
        </w:numPr>
        <w:autoSpaceDE/>
        <w:autoSpaceDN/>
        <w:adjustRightInd/>
        <w:snapToGrid/>
        <w:spacing w:after="0"/>
        <w:ind w:left="2429"/>
        <w:jc w:val="left"/>
        <w:rPr>
          <w:b/>
          <w:bCs/>
        </w:rPr>
      </w:pPr>
      <w:r w:rsidRPr="00E86687">
        <w:rPr>
          <w:b/>
          <w:bCs/>
        </w:rPr>
        <w:t xml:space="preserve">Option 2: subject to UE capability, for each PRS resource, the boresight direction information, and the expected DL-AoD for each TRP. </w:t>
      </w:r>
    </w:p>
    <w:p w14:paraId="20874995" w14:textId="77777777" w:rsidR="000333F0" w:rsidRPr="00E86687" w:rsidRDefault="000333F0" w:rsidP="000333F0">
      <w:pPr>
        <w:numPr>
          <w:ilvl w:val="0"/>
          <w:numId w:val="17"/>
        </w:numPr>
        <w:autoSpaceDE/>
        <w:autoSpaceDN/>
        <w:adjustRightInd/>
        <w:snapToGrid/>
        <w:spacing w:after="0"/>
        <w:ind w:left="2429"/>
        <w:jc w:val="left"/>
        <w:rPr>
          <w:b/>
          <w:bCs/>
        </w:rPr>
      </w:pPr>
      <w:r w:rsidRPr="00E86687">
        <w:rPr>
          <w:b/>
          <w:bCs/>
        </w:rPr>
        <w:t xml:space="preserve">Note: Either case does not imply any restriction on UE measurement </w:t>
      </w:r>
    </w:p>
    <w:p w14:paraId="2CE821B9" w14:textId="77777777" w:rsidR="00A35B01" w:rsidRPr="00AE2C0B" w:rsidRDefault="00A35B01" w:rsidP="00AE2C0B"/>
    <w:p w14:paraId="206E695A" w14:textId="18BE8502" w:rsidR="00850B34" w:rsidRDefault="00850B34">
      <w:pPr>
        <w:autoSpaceDE/>
        <w:autoSpaceDN/>
        <w:adjustRightInd/>
        <w:snapToGrid/>
        <w:spacing w:after="160" w:line="259" w:lineRule="auto"/>
        <w:jc w:val="left"/>
      </w:pPr>
      <w:r>
        <w:br w:type="page"/>
      </w:r>
    </w:p>
    <w:p w14:paraId="6001685A" w14:textId="77777777" w:rsidR="00E86687" w:rsidRPr="00E86687" w:rsidRDefault="00E86687" w:rsidP="00E86687"/>
    <w:p w14:paraId="0EC993FA" w14:textId="240F3E8C" w:rsidR="00212600" w:rsidRPr="00212600" w:rsidRDefault="00B52A57" w:rsidP="00212600">
      <w:pPr>
        <w:pStyle w:val="berschrift1"/>
      </w:pPr>
      <w:r>
        <w:t>TRP radiation pattern information</w:t>
      </w:r>
    </w:p>
    <w:p w14:paraId="663E944B" w14:textId="3F63E4FE" w:rsidR="00212600" w:rsidRPr="00212600" w:rsidRDefault="00A66DF0" w:rsidP="000333F0">
      <w:r>
        <w:rPr>
          <w:lang w:eastAsia="x-none"/>
        </w:rPr>
        <w:t>Since no convergence on this issue has been reached in RAN1</w:t>
      </w:r>
      <w:r w:rsidRPr="00A66DF0">
        <w:rPr>
          <w:lang w:eastAsia="x-none"/>
        </w:rPr>
        <w:t xml:space="preserve">#106bis </w:t>
      </w:r>
      <w:r>
        <w:rPr>
          <w:lang w:eastAsia="x-none"/>
        </w:rPr>
        <w:t>–</w:t>
      </w:r>
      <w:r w:rsidRPr="00A66DF0">
        <w:rPr>
          <w:lang w:eastAsia="x-none"/>
        </w:rPr>
        <w:t>e</w:t>
      </w:r>
      <w:r>
        <w:rPr>
          <w:lang w:eastAsia="x-none"/>
        </w:rPr>
        <w:t xml:space="preserve">, the </w:t>
      </w:r>
      <w:r w:rsidR="00F8034C">
        <w:rPr>
          <w:lang w:eastAsia="x-none"/>
        </w:rPr>
        <w:t xml:space="preserve">following has been </w:t>
      </w:r>
      <w:r w:rsidR="000333F0">
        <w:rPr>
          <w:lang w:eastAsia="x-none"/>
        </w:rPr>
        <w:t>discussed</w:t>
      </w:r>
      <w:r w:rsidR="00F8034C">
        <w:rPr>
          <w:lang w:eastAsia="x-none"/>
        </w:rPr>
        <w:t>:</w:t>
      </w:r>
    </w:p>
    <w:tbl>
      <w:tblPr>
        <w:tblStyle w:val="Tabellenraster"/>
        <w:tblW w:w="0" w:type="auto"/>
        <w:tblLook w:val="04A0" w:firstRow="1" w:lastRow="0" w:firstColumn="1" w:lastColumn="0" w:noHBand="0" w:noVBand="1"/>
      </w:tblPr>
      <w:tblGrid>
        <w:gridCol w:w="9307"/>
      </w:tblGrid>
      <w:tr w:rsidR="00212600" w14:paraId="688265AB" w14:textId="77777777" w:rsidTr="00212600">
        <w:tc>
          <w:tcPr>
            <w:tcW w:w="9307" w:type="dxa"/>
          </w:tcPr>
          <w:p w14:paraId="374CFEBE" w14:textId="77777777" w:rsidR="00F8034C" w:rsidRPr="00210583" w:rsidRDefault="00F8034C" w:rsidP="00F8034C">
            <w:pPr>
              <w:pStyle w:val="Listenabsatz"/>
              <w:numPr>
                <w:ilvl w:val="0"/>
                <w:numId w:val="19"/>
              </w:numPr>
              <w:autoSpaceDE/>
              <w:autoSpaceDN/>
              <w:adjustRightInd/>
              <w:snapToGrid/>
              <w:spacing w:after="0" w:line="259" w:lineRule="auto"/>
              <w:ind w:firstLineChars="0"/>
              <w:jc w:val="left"/>
              <w:rPr>
                <w:b/>
              </w:rPr>
            </w:pPr>
            <w:r w:rsidRPr="00210583">
              <w:rPr>
                <w:b/>
              </w:rPr>
              <w:t>Option 2.1: The gNB reports quantized version of the relative Power/Angle response per PRS resource per TRP</w:t>
            </w:r>
            <w:r w:rsidRPr="00210583">
              <w:rPr>
                <w:b/>
              </w:rPr>
              <w:tab/>
            </w:r>
          </w:p>
          <w:p w14:paraId="1FD57F2A" w14:textId="77777777" w:rsidR="00F8034C" w:rsidRPr="00210583" w:rsidRDefault="00F8034C" w:rsidP="00F8034C">
            <w:pPr>
              <w:pStyle w:val="Listenabsatz"/>
              <w:numPr>
                <w:ilvl w:val="1"/>
                <w:numId w:val="19"/>
              </w:numPr>
              <w:autoSpaceDE/>
              <w:autoSpaceDN/>
              <w:adjustRightInd/>
              <w:snapToGrid/>
              <w:spacing w:after="0" w:line="259" w:lineRule="auto"/>
              <w:ind w:firstLineChars="0"/>
              <w:jc w:val="left"/>
              <w:rPr>
                <w:rFonts w:cs="Times"/>
                <w:b/>
              </w:rPr>
            </w:pPr>
            <w:r w:rsidRPr="00210583">
              <w:rPr>
                <w:rFonts w:eastAsia="Times New Roman"/>
                <w:b/>
              </w:rPr>
              <w:t>The relative power is defined with respect to the peak power of that resource</w:t>
            </w:r>
          </w:p>
          <w:p w14:paraId="5C7C3450" w14:textId="77777777" w:rsidR="00F8034C" w:rsidRPr="00210583" w:rsidRDefault="00F8034C" w:rsidP="00F8034C">
            <w:pPr>
              <w:pStyle w:val="Listenabsatz"/>
              <w:numPr>
                <w:ilvl w:val="1"/>
                <w:numId w:val="19"/>
              </w:numPr>
              <w:autoSpaceDE/>
              <w:autoSpaceDN/>
              <w:adjustRightInd/>
              <w:snapToGrid/>
              <w:spacing w:after="0" w:line="259" w:lineRule="auto"/>
              <w:ind w:firstLineChars="0"/>
              <w:jc w:val="left"/>
              <w:rPr>
                <w:rFonts w:cs="Times"/>
                <w:b/>
              </w:rPr>
            </w:pPr>
            <w:r w:rsidRPr="00210583">
              <w:rPr>
                <w:rFonts w:eastAsia="Times New Roman"/>
                <w:b/>
              </w:rPr>
              <w:t xml:space="preserve">FFS: How many relative power levels can be included (e.g., single -3 dB power-levels, multiple power-levels, etc). </w:t>
            </w:r>
          </w:p>
          <w:p w14:paraId="23EFDAE6" w14:textId="77777777" w:rsidR="00F8034C" w:rsidRPr="00210583" w:rsidRDefault="00F8034C" w:rsidP="00F8034C">
            <w:pPr>
              <w:pStyle w:val="Listenabsatz"/>
              <w:numPr>
                <w:ilvl w:val="0"/>
                <w:numId w:val="19"/>
              </w:numPr>
              <w:autoSpaceDE/>
              <w:autoSpaceDN/>
              <w:adjustRightInd/>
              <w:snapToGrid/>
              <w:spacing w:after="0" w:line="259" w:lineRule="auto"/>
              <w:ind w:firstLineChars="0"/>
              <w:jc w:val="left"/>
              <w:rPr>
                <w:rFonts w:cs="Times"/>
                <w:b/>
              </w:rPr>
            </w:pPr>
            <w:r w:rsidRPr="00210583">
              <w:rPr>
                <w:b/>
              </w:rPr>
              <w:t xml:space="preserve">Option 2.2: The gNB reports quantized version of the relative Power </w:t>
            </w:r>
            <w:r w:rsidRPr="00210583">
              <w:rPr>
                <w:b/>
                <w:u w:val="single"/>
              </w:rPr>
              <w:t>between</w:t>
            </w:r>
            <w:r w:rsidRPr="00210583">
              <w:rPr>
                <w:b/>
              </w:rPr>
              <w:t xml:space="preserve"> PRS resources per angle per TRP.</w:t>
            </w:r>
          </w:p>
          <w:p w14:paraId="43AD6A5E" w14:textId="77777777" w:rsidR="00F8034C" w:rsidRPr="00210583" w:rsidRDefault="00F8034C" w:rsidP="00F8034C">
            <w:pPr>
              <w:pStyle w:val="Listenabsatz"/>
              <w:numPr>
                <w:ilvl w:val="1"/>
                <w:numId w:val="19"/>
              </w:numPr>
              <w:autoSpaceDE/>
              <w:autoSpaceDN/>
              <w:adjustRightInd/>
              <w:snapToGrid/>
              <w:spacing w:after="0" w:line="259" w:lineRule="auto"/>
              <w:ind w:firstLineChars="0"/>
              <w:jc w:val="left"/>
              <w:rPr>
                <w:rFonts w:cs="Times"/>
                <w:b/>
              </w:rPr>
            </w:pPr>
            <w:r w:rsidRPr="00210583">
              <w:rPr>
                <w:rFonts w:eastAsia="Times New Roman"/>
                <w:b/>
              </w:rPr>
              <w:t>The relative power is defined with respect to the peak power in each angle</w:t>
            </w:r>
          </w:p>
          <w:p w14:paraId="41F4D454" w14:textId="7D89757A" w:rsidR="00212600" w:rsidRPr="00F8034C" w:rsidRDefault="00F8034C" w:rsidP="00F8034C">
            <w:pPr>
              <w:pStyle w:val="Listenabsatz"/>
              <w:numPr>
                <w:ilvl w:val="1"/>
                <w:numId w:val="19"/>
              </w:numPr>
              <w:autoSpaceDE/>
              <w:autoSpaceDN/>
              <w:adjustRightInd/>
              <w:snapToGrid/>
              <w:spacing w:after="0" w:line="259" w:lineRule="auto"/>
              <w:ind w:firstLineChars="0"/>
              <w:jc w:val="left"/>
              <w:rPr>
                <w:rFonts w:cs="Times"/>
              </w:rPr>
            </w:pPr>
            <w:r w:rsidRPr="00210583">
              <w:rPr>
                <w:rFonts w:eastAsia="Times New Roman"/>
                <w:b/>
              </w:rPr>
              <w:t>For each angle, at least two PRS resources are reported.</w:t>
            </w:r>
          </w:p>
        </w:tc>
      </w:tr>
    </w:tbl>
    <w:p w14:paraId="6D833213" w14:textId="77777777" w:rsidR="00212600" w:rsidRPr="00212600" w:rsidRDefault="00212600" w:rsidP="00212600"/>
    <w:p w14:paraId="5D2504C0" w14:textId="512EFD49" w:rsidR="00B52A57" w:rsidRDefault="00B52A57" w:rsidP="008029B6">
      <w:r>
        <w:t>DL-AoD improvements in Rel-17 targets a direction estimation accuracy significantly lower than the beam-width corresponding to the transmitted PRS. In the example in</w:t>
      </w:r>
      <w:r w:rsidR="00F8034C">
        <w:t xml:space="preserve"> </w:t>
      </w:r>
      <w:r w:rsidR="00F8034C">
        <w:fldChar w:fldCharType="begin"/>
      </w:r>
      <w:r w:rsidR="00F8034C">
        <w:instrText xml:space="preserve"> REF _Ref86756288 \h </w:instrText>
      </w:r>
      <w:r w:rsidR="00F8034C">
        <w:fldChar w:fldCharType="separate"/>
      </w:r>
      <w:r w:rsidR="00F8034C">
        <w:t xml:space="preserve">Figure </w:t>
      </w:r>
      <w:r w:rsidR="00F8034C">
        <w:rPr>
          <w:noProof/>
        </w:rPr>
        <w:t>1</w:t>
      </w:r>
      <w:r w:rsidR="00F8034C">
        <w:fldChar w:fldCharType="end"/>
      </w:r>
      <w:r>
        <w:t xml:space="preserve">, the UE receives the LOS signal from beam 2 and beam </w:t>
      </w:r>
      <w:r w:rsidR="00576738">
        <w:t>3 with different RSRP levels: f</w:t>
      </w:r>
      <w:r>
        <w:t>r</w:t>
      </w:r>
      <w:r w:rsidR="00576738">
        <w:t>om</w:t>
      </w:r>
      <w:r w:rsidR="00F8034C">
        <w:t xml:space="preserve"> a power-level point of view,</w:t>
      </w:r>
      <w:r>
        <w:t xml:space="preserve"> </w:t>
      </w:r>
      <w:r w:rsidR="00F8034C">
        <w:t xml:space="preserve">the LOS of </w:t>
      </w:r>
      <w:r>
        <w:t>beam 2</w:t>
      </w:r>
      <w:r w:rsidR="0049661F">
        <w:t xml:space="preserve"> is </w:t>
      </w:r>
      <w:r w:rsidR="00F8034C">
        <w:t>used for estimating the AoD, and the center of the beam will be the estimated DL-AoD.</w:t>
      </w:r>
    </w:p>
    <w:p w14:paraId="703431B5" w14:textId="77777777" w:rsidR="00B52A57" w:rsidRDefault="00B52A57" w:rsidP="00B52A57">
      <w:pPr>
        <w:jc w:val="left"/>
      </w:pPr>
    </w:p>
    <w:p w14:paraId="3E5CC6C8" w14:textId="77777777" w:rsidR="00F8034C" w:rsidRDefault="003D4704" w:rsidP="00F8034C">
      <w:pPr>
        <w:keepNext/>
        <w:jc w:val="center"/>
      </w:pPr>
      <w:r>
        <w:rPr>
          <w:noProof/>
        </w:rPr>
        <w:drawing>
          <wp:inline distT="0" distB="0" distL="0" distR="0" wp14:anchorId="2F4CB61F" wp14:editId="2CF39011">
            <wp:extent cx="3039485" cy="1923940"/>
            <wp:effectExtent l="0" t="0" r="0"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0885" cy="1943815"/>
                    </a:xfrm>
                    <a:prstGeom prst="rect">
                      <a:avLst/>
                    </a:prstGeom>
                    <a:noFill/>
                  </pic:spPr>
                </pic:pic>
              </a:graphicData>
            </a:graphic>
          </wp:inline>
        </w:drawing>
      </w:r>
    </w:p>
    <w:p w14:paraId="1C69B17B" w14:textId="0022D2D5" w:rsidR="003D4704" w:rsidRDefault="00F8034C" w:rsidP="00F8034C">
      <w:pPr>
        <w:pStyle w:val="Beschriftung"/>
      </w:pPr>
      <w:bookmarkStart w:id="3" w:name="_Ref86756288"/>
      <w:r>
        <w:t xml:space="preserve">Figure </w:t>
      </w:r>
      <w:r>
        <w:fldChar w:fldCharType="begin"/>
      </w:r>
      <w:r>
        <w:instrText xml:space="preserve"> SEQ Figure \* ARABIC </w:instrText>
      </w:r>
      <w:r>
        <w:fldChar w:fldCharType="separate"/>
      </w:r>
      <w:r>
        <w:rPr>
          <w:noProof/>
        </w:rPr>
        <w:t>1</w:t>
      </w:r>
      <w:r>
        <w:fldChar w:fldCharType="end"/>
      </w:r>
      <w:bookmarkEnd w:id="3"/>
      <w:r w:rsidRPr="00F8034C">
        <w:t xml:space="preserve"> </w:t>
      </w:r>
      <w:r>
        <w:t>An example of DL-AoD method in the presence of multipath.</w:t>
      </w:r>
    </w:p>
    <w:p w14:paraId="1DCA8710" w14:textId="77777777" w:rsidR="00B52A57" w:rsidRDefault="00B52A57" w:rsidP="003D4704">
      <w:pPr>
        <w:pStyle w:val="Beschriftung"/>
      </w:pPr>
    </w:p>
    <w:p w14:paraId="7DAC404F" w14:textId="758A5A58" w:rsidR="00B52A57" w:rsidRDefault="00B52A57" w:rsidP="00B52A57">
      <w:r>
        <w:t xml:space="preserve">Assuming </w:t>
      </w:r>
      <w:r w:rsidR="00F8034C">
        <w:t xml:space="preserve">that </w:t>
      </w:r>
      <w:r>
        <w:t>the antenna pattern is known</w:t>
      </w:r>
      <w:r w:rsidR="00576738">
        <w:t xml:space="preserve"> at the TRP,</w:t>
      </w:r>
      <w:r>
        <w:t xml:space="preserve"> the accuracy </w:t>
      </w:r>
      <w:r w:rsidR="00DA3741">
        <w:t>of DL</w:t>
      </w:r>
      <w:r w:rsidR="00576738">
        <w:t xml:space="preserve">-AoD </w:t>
      </w:r>
      <w:r>
        <w:t xml:space="preserve">can be </w:t>
      </w:r>
      <w:r w:rsidR="00576738">
        <w:t xml:space="preserve">significantly </w:t>
      </w:r>
      <w:r w:rsidR="00F8034C">
        <w:t>enhanced</w:t>
      </w:r>
      <w:r w:rsidR="00576738">
        <w:t xml:space="preserve"> by </w:t>
      </w:r>
      <w:r>
        <w:t>taking i</w:t>
      </w:r>
      <w:r w:rsidR="00576738">
        <w:t>nto account the relative RSRP between</w:t>
      </w:r>
      <w:r>
        <w:t xml:space="preserve"> beam 2 and beam 3. </w:t>
      </w:r>
      <w:r w:rsidRPr="006C086F">
        <w:t xml:space="preserve">The TRP </w:t>
      </w:r>
      <w:r>
        <w:t xml:space="preserve">can </w:t>
      </w:r>
      <w:r w:rsidR="00576738">
        <w:t>indicate to</w:t>
      </w:r>
      <w:r w:rsidR="008B2125">
        <w:t xml:space="preserve"> the LMF detailed </w:t>
      </w:r>
      <w:r w:rsidRPr="006C086F">
        <w:t>NR-PRS beam information</w:t>
      </w:r>
      <w:r w:rsidR="008B2125">
        <w:t>,</w:t>
      </w:r>
      <w:r w:rsidRPr="006C086F">
        <w:t xml:space="preserve"> </w:t>
      </w:r>
      <w:r>
        <w:t>including</w:t>
      </w:r>
      <w:r w:rsidRPr="006C086F">
        <w:t xml:space="preserve"> one or more azimuth</w:t>
      </w:r>
      <w:r>
        <w:t>/</w:t>
      </w:r>
      <w:r w:rsidRPr="006C086F">
        <w:t>elevation angle information</w:t>
      </w:r>
      <w:r w:rsidR="003C1AC6">
        <w:t>,</w:t>
      </w:r>
      <w:r w:rsidRPr="006C086F">
        <w:t xml:space="preserve"> and optional</w:t>
      </w:r>
      <w:r>
        <w:t xml:space="preserve">ly </w:t>
      </w:r>
      <w:r w:rsidRPr="006C086F">
        <w:t xml:space="preserve">finer angle-related information per beam. </w:t>
      </w:r>
      <w:r>
        <w:t xml:space="preserve">Signaling on </w:t>
      </w:r>
      <w:r w:rsidRPr="006C086F">
        <w:t xml:space="preserve">the reported elevation and azimuth angles </w:t>
      </w:r>
      <w:r>
        <w:t xml:space="preserve">by </w:t>
      </w:r>
      <w:r w:rsidRPr="006C086F">
        <w:t>additional</w:t>
      </w:r>
      <w:r>
        <w:t>ly</w:t>
      </w:r>
      <w:r w:rsidRPr="006C086F">
        <w:t xml:space="preserve"> </w:t>
      </w:r>
      <w:r>
        <w:t>providing</w:t>
      </w:r>
      <w:r w:rsidRPr="006C086F">
        <w:t xml:space="preserve"> </w:t>
      </w:r>
      <w:r w:rsidR="003C1AC6">
        <w:t xml:space="preserve">information on beam power </w:t>
      </w:r>
      <w:r>
        <w:t xml:space="preserve">level also helps to support </w:t>
      </w:r>
      <w:r w:rsidR="003C1AC6">
        <w:t>a more accurate</w:t>
      </w:r>
      <w:r>
        <w:t xml:space="preserve"> </w:t>
      </w:r>
      <w:r w:rsidRPr="006C086F">
        <w:t>DL-AoD estimate.</w:t>
      </w:r>
    </w:p>
    <w:p w14:paraId="542C0C30" w14:textId="77777777" w:rsidR="00B52A57" w:rsidRDefault="00B52A57" w:rsidP="00B52A57">
      <w:pPr>
        <w:ind w:left="1418" w:hanging="1417"/>
        <w:jc w:val="left"/>
        <w:rPr>
          <w:b/>
          <w:bCs/>
        </w:rPr>
      </w:pPr>
    </w:p>
    <w:p w14:paraId="38DC6016" w14:textId="7D864F43" w:rsidR="00212600" w:rsidRDefault="00A35B01" w:rsidP="009F6BA6">
      <w:pPr>
        <w:ind w:left="1418" w:hanging="1417"/>
        <w:jc w:val="left"/>
        <w:rPr>
          <w:b/>
          <w:bCs/>
        </w:rPr>
      </w:pPr>
      <w:r>
        <w:rPr>
          <w:b/>
          <w:bCs/>
        </w:rPr>
        <w:t>Proposal 2</w:t>
      </w:r>
      <w:r w:rsidR="00B52A57" w:rsidRPr="0092611E">
        <w:rPr>
          <w:b/>
          <w:bCs/>
        </w:rPr>
        <w:t xml:space="preserve">: </w:t>
      </w:r>
      <w:r w:rsidR="00B52A57" w:rsidRPr="0092611E">
        <w:rPr>
          <w:b/>
          <w:bCs/>
        </w:rPr>
        <w:tab/>
      </w:r>
      <w:r w:rsidR="009F6BA6">
        <w:rPr>
          <w:b/>
          <w:bCs/>
        </w:rPr>
        <w:t>Support</w:t>
      </w:r>
      <w:r w:rsidR="004F1F0C">
        <w:rPr>
          <w:b/>
          <w:bCs/>
        </w:rPr>
        <w:t xml:space="preserve"> that</w:t>
      </w:r>
      <w:r w:rsidR="009F6BA6">
        <w:rPr>
          <w:b/>
          <w:bCs/>
        </w:rPr>
        <w:t xml:space="preserve"> </w:t>
      </w:r>
      <w:r w:rsidR="006F0D6B" w:rsidRPr="006F0D6B">
        <w:rPr>
          <w:b/>
          <w:bCs/>
        </w:rPr>
        <w:t>the gNB reports quantized version of the relative Power/Angle response per PRS resource per TRP</w:t>
      </w:r>
      <w:r w:rsidR="00D46BB1">
        <w:rPr>
          <w:b/>
          <w:bCs/>
        </w:rPr>
        <w:t xml:space="preserve"> (Option 2.1)</w:t>
      </w:r>
      <w:r w:rsidR="00DD72CA">
        <w:rPr>
          <w:b/>
          <w:bCs/>
        </w:rPr>
        <w:t>.</w:t>
      </w:r>
    </w:p>
    <w:p w14:paraId="49B2591E" w14:textId="77777777" w:rsidR="00DA3741" w:rsidRDefault="00DA3741" w:rsidP="00DA3741">
      <w:pPr>
        <w:ind w:left="1418" w:hanging="1417"/>
        <w:jc w:val="left"/>
        <w:rPr>
          <w:b/>
          <w:bCs/>
        </w:rPr>
      </w:pPr>
      <w:bookmarkStart w:id="4" w:name="_GoBack"/>
      <w:bookmarkEnd w:id="4"/>
    </w:p>
    <w:p w14:paraId="5A11A498" w14:textId="77777777" w:rsidR="00212600" w:rsidRPr="00212600" w:rsidRDefault="00B52A57" w:rsidP="00212600">
      <w:pPr>
        <w:pStyle w:val="berschrift1"/>
        <w:ind w:left="450"/>
      </w:pPr>
      <w:r>
        <w:t>Conclusions</w:t>
      </w:r>
    </w:p>
    <w:p w14:paraId="0F504D24" w14:textId="0BDC2CE6" w:rsidR="00842ED4" w:rsidRPr="005945A6" w:rsidRDefault="00B52A57" w:rsidP="005945A6">
      <w:pPr>
        <w:ind w:left="1560" w:hanging="1560"/>
        <w:rPr>
          <w:iCs/>
        </w:rPr>
      </w:pPr>
      <w:r>
        <w:rPr>
          <w:iCs/>
        </w:rPr>
        <w:t>Based on the discussion in this document, we made the following observation and proposals:</w:t>
      </w:r>
    </w:p>
    <w:p w14:paraId="16AC0F89" w14:textId="77777777" w:rsidR="009B52C9" w:rsidRDefault="009B52C9" w:rsidP="009B52C9">
      <w:pPr>
        <w:rPr>
          <w:b/>
          <w:bCs/>
        </w:rPr>
      </w:pPr>
    </w:p>
    <w:bookmarkEnd w:id="1"/>
    <w:bookmarkEnd w:id="2"/>
    <w:p w14:paraId="6425B78D" w14:textId="77777777" w:rsidR="00C50B83" w:rsidRPr="00E86687" w:rsidRDefault="00C50B83" w:rsidP="00C50B83">
      <w:pPr>
        <w:ind w:left="1416" w:hanging="1416"/>
        <w:rPr>
          <w:b/>
          <w:bCs/>
        </w:rPr>
      </w:pPr>
      <w:r>
        <w:rPr>
          <w:b/>
          <w:bCs/>
        </w:rPr>
        <w:lastRenderedPageBreak/>
        <w:t>Proposal 1</w:t>
      </w:r>
      <w:r w:rsidRPr="0092611E">
        <w:rPr>
          <w:b/>
          <w:bCs/>
        </w:rPr>
        <w:t xml:space="preserve">: </w:t>
      </w:r>
      <w:r w:rsidRPr="0092611E">
        <w:rPr>
          <w:b/>
          <w:bCs/>
        </w:rPr>
        <w:tab/>
      </w:r>
      <w:r w:rsidRPr="00E86687">
        <w:rPr>
          <w:b/>
          <w:bCs/>
        </w:rPr>
        <w:t xml:space="preserve">For UE-assisted DL-AOD positioning method, to enhance the signaling to the UE for the purpose of PRS resource(s) reporting, the LMF may indicate in the assistance data (AD), one or both the following: </w:t>
      </w:r>
    </w:p>
    <w:p w14:paraId="15FF87AC" w14:textId="77777777" w:rsidR="00C50B83" w:rsidRPr="00E86687" w:rsidRDefault="00C50B83" w:rsidP="00C50B83">
      <w:pPr>
        <w:pStyle w:val="Listenabsatz"/>
        <w:numPr>
          <w:ilvl w:val="0"/>
          <w:numId w:val="22"/>
        </w:numPr>
        <w:autoSpaceDE/>
        <w:autoSpaceDN/>
        <w:adjustRightInd/>
        <w:snapToGrid/>
        <w:spacing w:after="160" w:line="259" w:lineRule="auto"/>
        <w:ind w:left="2484" w:firstLineChars="0"/>
        <w:jc w:val="left"/>
        <w:rPr>
          <w:b/>
          <w:bCs/>
        </w:rPr>
      </w:pPr>
      <w:r w:rsidRPr="00E86687">
        <w:rPr>
          <w:b/>
          <w:bCs/>
        </w:rPr>
        <w:t>Option 1: subject to UE capability, for each PRS resource, a subset of PRS resources for the purpose of prioritization of DL-AOD reporting:</w:t>
      </w:r>
    </w:p>
    <w:p w14:paraId="07049719" w14:textId="77777777" w:rsidR="00C50B83" w:rsidRPr="00E86687" w:rsidRDefault="00C50B83" w:rsidP="00C50B83">
      <w:pPr>
        <w:pStyle w:val="Listenabsatz"/>
        <w:numPr>
          <w:ilvl w:val="1"/>
          <w:numId w:val="22"/>
        </w:numPr>
        <w:autoSpaceDE/>
        <w:autoSpaceDN/>
        <w:adjustRightInd/>
        <w:snapToGrid/>
        <w:spacing w:after="160" w:line="259" w:lineRule="auto"/>
        <w:ind w:left="3204" w:firstLineChars="0"/>
        <w:jc w:val="left"/>
        <w:rPr>
          <w:b/>
          <w:bCs/>
        </w:rPr>
      </w:pPr>
      <w:r w:rsidRPr="00E86687">
        <w:rPr>
          <w:b/>
          <w:bCs/>
          <w:lang w:eastAsia="zh-CN"/>
        </w:rPr>
        <w:t xml:space="preserve">a UE may include the requested PRS measurement for the subset of the PRS in the DL-AoD additional measurements if the requested PRS measurement of the associated PRS is reported </w:t>
      </w:r>
    </w:p>
    <w:p w14:paraId="562543BE" w14:textId="77777777" w:rsidR="00C50B83" w:rsidRPr="00E86687" w:rsidRDefault="00C50B83" w:rsidP="00C50B83">
      <w:pPr>
        <w:numPr>
          <w:ilvl w:val="2"/>
          <w:numId w:val="17"/>
        </w:numPr>
        <w:autoSpaceDE/>
        <w:autoSpaceDN/>
        <w:adjustRightInd/>
        <w:snapToGrid/>
        <w:spacing w:after="0"/>
        <w:ind w:left="3869"/>
        <w:jc w:val="left"/>
        <w:rPr>
          <w:b/>
          <w:bCs/>
        </w:rPr>
      </w:pPr>
      <w:r w:rsidRPr="00E86687">
        <w:rPr>
          <w:b/>
          <w:bCs/>
          <w:lang w:eastAsia="zh-CN"/>
        </w:rPr>
        <w:t xml:space="preserve">The requested PRS measurement can be DL PRS RSRP and/or path PRS RSRP. </w:t>
      </w:r>
    </w:p>
    <w:p w14:paraId="6EA4A98F" w14:textId="77777777" w:rsidR="00C50B83" w:rsidRPr="00E86687" w:rsidRDefault="00C50B83" w:rsidP="00C50B83">
      <w:pPr>
        <w:numPr>
          <w:ilvl w:val="1"/>
          <w:numId w:val="17"/>
        </w:numPr>
        <w:autoSpaceDE/>
        <w:autoSpaceDN/>
        <w:adjustRightInd/>
        <w:snapToGrid/>
        <w:spacing w:after="0"/>
        <w:ind w:left="3149"/>
        <w:jc w:val="left"/>
        <w:rPr>
          <w:b/>
          <w:bCs/>
          <w:lang w:eastAsia="zh-CN"/>
        </w:rPr>
      </w:pPr>
      <w:r w:rsidRPr="00E86687">
        <w:rPr>
          <w:b/>
          <w:bCs/>
          <w:lang w:eastAsia="zh-CN"/>
        </w:rPr>
        <w:t xml:space="preserve">Note: The subset associated with a PRS resource can be in a same or different PRS resource set than the PRS resource </w:t>
      </w:r>
    </w:p>
    <w:p w14:paraId="3E09D57A" w14:textId="77777777" w:rsidR="00C50B83" w:rsidRPr="00E86687" w:rsidRDefault="00C50B83" w:rsidP="00C50B83">
      <w:pPr>
        <w:numPr>
          <w:ilvl w:val="0"/>
          <w:numId w:val="17"/>
        </w:numPr>
        <w:autoSpaceDE/>
        <w:autoSpaceDN/>
        <w:adjustRightInd/>
        <w:snapToGrid/>
        <w:spacing w:after="0"/>
        <w:ind w:left="2429"/>
        <w:jc w:val="left"/>
        <w:rPr>
          <w:b/>
          <w:bCs/>
        </w:rPr>
      </w:pPr>
      <w:r w:rsidRPr="00E86687">
        <w:rPr>
          <w:b/>
          <w:bCs/>
        </w:rPr>
        <w:t xml:space="preserve">Option 2: subject to UE capability, for each PRS resource, the boresight direction information, and the expected DL-AoD for each TRP. </w:t>
      </w:r>
    </w:p>
    <w:p w14:paraId="1A4F6CFC" w14:textId="7414B3D8" w:rsidR="00C50B83" w:rsidRDefault="00C50B83" w:rsidP="00C50B83">
      <w:pPr>
        <w:numPr>
          <w:ilvl w:val="0"/>
          <w:numId w:val="17"/>
        </w:numPr>
        <w:autoSpaceDE/>
        <w:autoSpaceDN/>
        <w:adjustRightInd/>
        <w:snapToGrid/>
        <w:spacing w:after="0"/>
        <w:ind w:left="2429"/>
        <w:jc w:val="left"/>
        <w:rPr>
          <w:b/>
          <w:bCs/>
        </w:rPr>
      </w:pPr>
      <w:r w:rsidRPr="00E86687">
        <w:rPr>
          <w:b/>
          <w:bCs/>
        </w:rPr>
        <w:t xml:space="preserve">Note: Either case does not imply any restriction on UE measurement </w:t>
      </w:r>
    </w:p>
    <w:p w14:paraId="59445D6D" w14:textId="77777777" w:rsidR="00C50B83" w:rsidRPr="00E86687" w:rsidRDefault="00C50B83" w:rsidP="00C50B83">
      <w:pPr>
        <w:autoSpaceDE/>
        <w:autoSpaceDN/>
        <w:adjustRightInd/>
        <w:snapToGrid/>
        <w:spacing w:after="0"/>
        <w:jc w:val="left"/>
        <w:rPr>
          <w:b/>
          <w:bCs/>
        </w:rPr>
      </w:pPr>
    </w:p>
    <w:p w14:paraId="73A80EA9" w14:textId="57AF0EE8" w:rsidR="00CD5F0A" w:rsidRPr="00DA3741" w:rsidRDefault="00A35B01" w:rsidP="00A35B01">
      <w:pPr>
        <w:ind w:left="1418" w:hanging="1417"/>
        <w:rPr>
          <w:b/>
          <w:bCs/>
        </w:rPr>
      </w:pPr>
      <w:r>
        <w:rPr>
          <w:b/>
          <w:bCs/>
        </w:rPr>
        <w:t>Proposal 2</w:t>
      </w:r>
      <w:r w:rsidR="005945A6" w:rsidRPr="0092611E">
        <w:rPr>
          <w:b/>
          <w:bCs/>
        </w:rPr>
        <w:t xml:space="preserve">: </w:t>
      </w:r>
      <w:r w:rsidR="005945A6" w:rsidRPr="0092611E">
        <w:rPr>
          <w:b/>
          <w:bCs/>
        </w:rPr>
        <w:tab/>
      </w:r>
      <w:r w:rsidR="005945A6">
        <w:rPr>
          <w:b/>
          <w:bCs/>
        </w:rPr>
        <w:t xml:space="preserve">Support that </w:t>
      </w:r>
      <w:r w:rsidR="005945A6" w:rsidRPr="006F0D6B">
        <w:rPr>
          <w:b/>
          <w:bCs/>
        </w:rPr>
        <w:t>the gNB reports quantized version of the relative Power/Angle response per PRS resource per TRP</w:t>
      </w:r>
      <w:r w:rsidR="005945A6">
        <w:rPr>
          <w:b/>
          <w:bCs/>
        </w:rPr>
        <w:t xml:space="preserve"> (Option 2.1).</w:t>
      </w:r>
    </w:p>
    <w:sectPr w:rsidR="00CD5F0A" w:rsidRPr="00DA374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07C9E" w14:textId="77777777" w:rsidR="005C1BAD" w:rsidRDefault="005C1BAD" w:rsidP="009F6BA6">
      <w:pPr>
        <w:spacing w:after="0"/>
      </w:pPr>
      <w:r>
        <w:separator/>
      </w:r>
    </w:p>
  </w:endnote>
  <w:endnote w:type="continuationSeparator" w:id="0">
    <w:p w14:paraId="63171DAA" w14:textId="77777777" w:rsidR="005C1BAD" w:rsidRDefault="005C1BAD"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105AA" w14:textId="77777777" w:rsidR="005C1BAD" w:rsidRDefault="005C1BAD" w:rsidP="009F6BA6">
      <w:pPr>
        <w:spacing w:after="0"/>
      </w:pPr>
      <w:r>
        <w:separator/>
      </w:r>
    </w:p>
  </w:footnote>
  <w:footnote w:type="continuationSeparator" w:id="0">
    <w:p w14:paraId="55224BB3" w14:textId="77777777" w:rsidR="005C1BAD" w:rsidRDefault="005C1BAD"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74440"/>
    <w:multiLevelType w:val="hybridMultilevel"/>
    <w:tmpl w:val="3E6E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43DC1"/>
    <w:multiLevelType w:val="hybridMultilevel"/>
    <w:tmpl w:val="BA0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ADB7DF9"/>
    <w:multiLevelType w:val="hybridMultilevel"/>
    <w:tmpl w:val="FE0A568C"/>
    <w:lvl w:ilvl="0" w:tplc="3252C8E6">
      <w:numFmt w:val="bullet"/>
      <w:lvlText w:val="-"/>
      <w:lvlJc w:val="left"/>
      <w:pPr>
        <w:ind w:left="1778" w:hanging="360"/>
      </w:pPr>
      <w:rPr>
        <w:rFonts w:ascii="Times New Roman" w:eastAsia="SimSun" w:hAnsi="Times New Roman" w:cs="Times New Roman"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4" w15:restartNumberingAfterBreak="0">
    <w:nsid w:val="1C853FB4"/>
    <w:multiLevelType w:val="hybridMultilevel"/>
    <w:tmpl w:val="51EAF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5804ED2"/>
    <w:multiLevelType w:val="hybridMultilevel"/>
    <w:tmpl w:val="26D03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BA64A8"/>
    <w:multiLevelType w:val="hybridMultilevel"/>
    <w:tmpl w:val="3D4AA3C0"/>
    <w:lvl w:ilvl="0" w:tplc="1AB61B4A">
      <w:start w:val="2"/>
      <w:numFmt w:val="bullet"/>
      <w:lvlText w:val="-"/>
      <w:lvlJc w:val="left"/>
      <w:pPr>
        <w:ind w:left="1777" w:hanging="360"/>
      </w:pPr>
      <w:rPr>
        <w:rFonts w:ascii="Times New Roman" w:eastAsia="SimSun" w:hAnsi="Times New Roman" w:cs="Times New Roman" w:hint="default"/>
      </w:rPr>
    </w:lvl>
    <w:lvl w:ilvl="1" w:tplc="04070003" w:tentative="1">
      <w:start w:val="1"/>
      <w:numFmt w:val="bullet"/>
      <w:lvlText w:val="o"/>
      <w:lvlJc w:val="left"/>
      <w:pPr>
        <w:ind w:left="2497" w:hanging="360"/>
      </w:pPr>
      <w:rPr>
        <w:rFonts w:ascii="Courier New" w:hAnsi="Courier New" w:cs="Courier New" w:hint="default"/>
      </w:rPr>
    </w:lvl>
    <w:lvl w:ilvl="2" w:tplc="04070005" w:tentative="1">
      <w:start w:val="1"/>
      <w:numFmt w:val="bullet"/>
      <w:lvlText w:val=""/>
      <w:lvlJc w:val="left"/>
      <w:pPr>
        <w:ind w:left="3217" w:hanging="360"/>
      </w:pPr>
      <w:rPr>
        <w:rFonts w:ascii="Wingdings" w:hAnsi="Wingdings" w:hint="default"/>
      </w:rPr>
    </w:lvl>
    <w:lvl w:ilvl="3" w:tplc="04070001" w:tentative="1">
      <w:start w:val="1"/>
      <w:numFmt w:val="bullet"/>
      <w:lvlText w:val=""/>
      <w:lvlJc w:val="left"/>
      <w:pPr>
        <w:ind w:left="3937" w:hanging="360"/>
      </w:pPr>
      <w:rPr>
        <w:rFonts w:ascii="Symbol" w:hAnsi="Symbol" w:hint="default"/>
      </w:rPr>
    </w:lvl>
    <w:lvl w:ilvl="4" w:tplc="04070003" w:tentative="1">
      <w:start w:val="1"/>
      <w:numFmt w:val="bullet"/>
      <w:lvlText w:val="o"/>
      <w:lvlJc w:val="left"/>
      <w:pPr>
        <w:ind w:left="4657" w:hanging="360"/>
      </w:pPr>
      <w:rPr>
        <w:rFonts w:ascii="Courier New" w:hAnsi="Courier New" w:cs="Courier New" w:hint="default"/>
      </w:rPr>
    </w:lvl>
    <w:lvl w:ilvl="5" w:tplc="04070005" w:tentative="1">
      <w:start w:val="1"/>
      <w:numFmt w:val="bullet"/>
      <w:lvlText w:val=""/>
      <w:lvlJc w:val="left"/>
      <w:pPr>
        <w:ind w:left="5377" w:hanging="360"/>
      </w:pPr>
      <w:rPr>
        <w:rFonts w:ascii="Wingdings" w:hAnsi="Wingdings" w:hint="default"/>
      </w:rPr>
    </w:lvl>
    <w:lvl w:ilvl="6" w:tplc="04070001" w:tentative="1">
      <w:start w:val="1"/>
      <w:numFmt w:val="bullet"/>
      <w:lvlText w:val=""/>
      <w:lvlJc w:val="left"/>
      <w:pPr>
        <w:ind w:left="6097" w:hanging="360"/>
      </w:pPr>
      <w:rPr>
        <w:rFonts w:ascii="Symbol" w:hAnsi="Symbol" w:hint="default"/>
      </w:rPr>
    </w:lvl>
    <w:lvl w:ilvl="7" w:tplc="04070003" w:tentative="1">
      <w:start w:val="1"/>
      <w:numFmt w:val="bullet"/>
      <w:lvlText w:val="o"/>
      <w:lvlJc w:val="left"/>
      <w:pPr>
        <w:ind w:left="6817" w:hanging="360"/>
      </w:pPr>
      <w:rPr>
        <w:rFonts w:ascii="Courier New" w:hAnsi="Courier New" w:cs="Courier New" w:hint="default"/>
      </w:rPr>
    </w:lvl>
    <w:lvl w:ilvl="8" w:tplc="04070005" w:tentative="1">
      <w:start w:val="1"/>
      <w:numFmt w:val="bullet"/>
      <w:lvlText w:val=""/>
      <w:lvlJc w:val="left"/>
      <w:pPr>
        <w:ind w:left="7537" w:hanging="360"/>
      </w:pPr>
      <w:rPr>
        <w:rFonts w:ascii="Wingdings" w:hAnsi="Wingdings" w:hint="default"/>
      </w:rPr>
    </w:lvl>
  </w:abstractNum>
  <w:abstractNum w:abstractNumId="8" w15:restartNumberingAfterBreak="0">
    <w:nsid w:val="33700B48"/>
    <w:multiLevelType w:val="hybridMultilevel"/>
    <w:tmpl w:val="D07E0AC4"/>
    <w:lvl w:ilvl="0" w:tplc="04070001">
      <w:start w:val="1"/>
      <w:numFmt w:val="bullet"/>
      <w:lvlText w:val=""/>
      <w:lvlJc w:val="left"/>
      <w:pPr>
        <w:ind w:left="887" w:hanging="360"/>
      </w:pPr>
      <w:rPr>
        <w:rFonts w:ascii="Symbol" w:hAnsi="Symbol" w:hint="default"/>
      </w:rPr>
    </w:lvl>
    <w:lvl w:ilvl="1" w:tplc="04070003" w:tentative="1">
      <w:start w:val="1"/>
      <w:numFmt w:val="bullet"/>
      <w:lvlText w:val="o"/>
      <w:lvlJc w:val="left"/>
      <w:pPr>
        <w:ind w:left="1607" w:hanging="360"/>
      </w:pPr>
      <w:rPr>
        <w:rFonts w:ascii="Courier New" w:hAnsi="Courier New" w:cs="Courier New" w:hint="default"/>
      </w:rPr>
    </w:lvl>
    <w:lvl w:ilvl="2" w:tplc="04070005" w:tentative="1">
      <w:start w:val="1"/>
      <w:numFmt w:val="bullet"/>
      <w:lvlText w:val=""/>
      <w:lvlJc w:val="left"/>
      <w:pPr>
        <w:ind w:left="2327" w:hanging="360"/>
      </w:pPr>
      <w:rPr>
        <w:rFonts w:ascii="Wingdings" w:hAnsi="Wingdings" w:hint="default"/>
      </w:rPr>
    </w:lvl>
    <w:lvl w:ilvl="3" w:tplc="04070001" w:tentative="1">
      <w:start w:val="1"/>
      <w:numFmt w:val="bullet"/>
      <w:lvlText w:val=""/>
      <w:lvlJc w:val="left"/>
      <w:pPr>
        <w:ind w:left="3047" w:hanging="360"/>
      </w:pPr>
      <w:rPr>
        <w:rFonts w:ascii="Symbol" w:hAnsi="Symbol" w:hint="default"/>
      </w:rPr>
    </w:lvl>
    <w:lvl w:ilvl="4" w:tplc="04070003" w:tentative="1">
      <w:start w:val="1"/>
      <w:numFmt w:val="bullet"/>
      <w:lvlText w:val="o"/>
      <w:lvlJc w:val="left"/>
      <w:pPr>
        <w:ind w:left="3767" w:hanging="360"/>
      </w:pPr>
      <w:rPr>
        <w:rFonts w:ascii="Courier New" w:hAnsi="Courier New" w:cs="Courier New" w:hint="default"/>
      </w:rPr>
    </w:lvl>
    <w:lvl w:ilvl="5" w:tplc="04070005" w:tentative="1">
      <w:start w:val="1"/>
      <w:numFmt w:val="bullet"/>
      <w:lvlText w:val=""/>
      <w:lvlJc w:val="left"/>
      <w:pPr>
        <w:ind w:left="4487" w:hanging="360"/>
      </w:pPr>
      <w:rPr>
        <w:rFonts w:ascii="Wingdings" w:hAnsi="Wingdings" w:hint="default"/>
      </w:rPr>
    </w:lvl>
    <w:lvl w:ilvl="6" w:tplc="04070001" w:tentative="1">
      <w:start w:val="1"/>
      <w:numFmt w:val="bullet"/>
      <w:lvlText w:val=""/>
      <w:lvlJc w:val="left"/>
      <w:pPr>
        <w:ind w:left="5207" w:hanging="360"/>
      </w:pPr>
      <w:rPr>
        <w:rFonts w:ascii="Symbol" w:hAnsi="Symbol" w:hint="default"/>
      </w:rPr>
    </w:lvl>
    <w:lvl w:ilvl="7" w:tplc="04070003" w:tentative="1">
      <w:start w:val="1"/>
      <w:numFmt w:val="bullet"/>
      <w:lvlText w:val="o"/>
      <w:lvlJc w:val="left"/>
      <w:pPr>
        <w:ind w:left="5927" w:hanging="360"/>
      </w:pPr>
      <w:rPr>
        <w:rFonts w:ascii="Courier New" w:hAnsi="Courier New" w:cs="Courier New" w:hint="default"/>
      </w:rPr>
    </w:lvl>
    <w:lvl w:ilvl="8" w:tplc="04070005" w:tentative="1">
      <w:start w:val="1"/>
      <w:numFmt w:val="bullet"/>
      <w:lvlText w:val=""/>
      <w:lvlJc w:val="left"/>
      <w:pPr>
        <w:ind w:left="6647" w:hanging="360"/>
      </w:pPr>
      <w:rPr>
        <w:rFonts w:ascii="Wingdings" w:hAnsi="Wingdings" w:hint="default"/>
      </w:rPr>
    </w:lvl>
  </w:abstractNum>
  <w:abstractNum w:abstractNumId="9"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A25570C"/>
    <w:multiLevelType w:val="hybridMultilevel"/>
    <w:tmpl w:val="5540E386"/>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2" w15:restartNumberingAfterBreak="0">
    <w:nsid w:val="3BA4465F"/>
    <w:multiLevelType w:val="hybridMultilevel"/>
    <w:tmpl w:val="D5B88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6B424E"/>
    <w:multiLevelType w:val="hybridMultilevel"/>
    <w:tmpl w:val="F97CC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EF81EF7"/>
    <w:multiLevelType w:val="hybridMultilevel"/>
    <w:tmpl w:val="284A0460"/>
    <w:lvl w:ilvl="0" w:tplc="3252C8E6">
      <w:numFmt w:val="bullet"/>
      <w:lvlText w:val="-"/>
      <w:lvlJc w:val="left"/>
      <w:pPr>
        <w:ind w:left="721" w:hanging="360"/>
      </w:pPr>
      <w:rPr>
        <w:rFonts w:ascii="Times New Roman" w:eastAsia="SimSun" w:hAnsi="Times New Roman" w:cs="Times New Roman"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BB16C0"/>
    <w:multiLevelType w:val="hybridMultilevel"/>
    <w:tmpl w:val="317852C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num w:numId="1">
    <w:abstractNumId w:val="9"/>
  </w:num>
  <w:num w:numId="2">
    <w:abstractNumId w:val="3"/>
  </w:num>
  <w:num w:numId="3">
    <w:abstractNumId w:val="18"/>
  </w:num>
  <w:num w:numId="4">
    <w:abstractNumId w:val="19"/>
  </w:num>
  <w:num w:numId="5">
    <w:abstractNumId w:val="12"/>
  </w:num>
  <w:num w:numId="6">
    <w:abstractNumId w:val="6"/>
  </w:num>
  <w:num w:numId="7">
    <w:abstractNumId w:val="4"/>
  </w:num>
  <w:num w:numId="8">
    <w:abstractNumId w:val="11"/>
  </w:num>
  <w:num w:numId="9">
    <w:abstractNumId w:val="16"/>
  </w:num>
  <w:num w:numId="10">
    <w:abstractNumId w:val="15"/>
  </w:num>
  <w:num w:numId="11">
    <w:abstractNumId w:val="14"/>
  </w:num>
  <w:num w:numId="12">
    <w:abstractNumId w:val="10"/>
  </w:num>
  <w:num w:numId="13">
    <w:abstractNumId w:val="17"/>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
  </w:num>
  <w:num w:numId="18">
    <w:abstractNumId w:val="13"/>
  </w:num>
  <w:num w:numId="19">
    <w:abstractNumId w:val="5"/>
  </w:num>
  <w:num w:numId="20">
    <w:abstractNumId w:val="7"/>
  </w:num>
  <w:num w:numId="21">
    <w:abstractNumId w:val="8"/>
  </w:num>
  <w:num w:numId="22">
    <w:abstractNumId w:val="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333F0"/>
    <w:rsid w:val="000556F7"/>
    <w:rsid w:val="00090D6C"/>
    <w:rsid w:val="000B1DCD"/>
    <w:rsid w:val="000B564E"/>
    <w:rsid w:val="000D2882"/>
    <w:rsid w:val="000E2AF5"/>
    <w:rsid w:val="001427D6"/>
    <w:rsid w:val="0016385F"/>
    <w:rsid w:val="001C5977"/>
    <w:rsid w:val="001D7E76"/>
    <w:rsid w:val="001F273D"/>
    <w:rsid w:val="00200575"/>
    <w:rsid w:val="00210583"/>
    <w:rsid w:val="00212600"/>
    <w:rsid w:val="00231EC7"/>
    <w:rsid w:val="0028214B"/>
    <w:rsid w:val="002A70DE"/>
    <w:rsid w:val="002B58ED"/>
    <w:rsid w:val="00354AF8"/>
    <w:rsid w:val="00381CFB"/>
    <w:rsid w:val="003C1AC6"/>
    <w:rsid w:val="003D4704"/>
    <w:rsid w:val="003F22FA"/>
    <w:rsid w:val="003F43A2"/>
    <w:rsid w:val="00442001"/>
    <w:rsid w:val="004554FC"/>
    <w:rsid w:val="0049661F"/>
    <w:rsid w:val="004C5DCD"/>
    <w:rsid w:val="004D018F"/>
    <w:rsid w:val="004F1F0C"/>
    <w:rsid w:val="005268BE"/>
    <w:rsid w:val="00530560"/>
    <w:rsid w:val="005553B0"/>
    <w:rsid w:val="00557AF6"/>
    <w:rsid w:val="00576738"/>
    <w:rsid w:val="005945A6"/>
    <w:rsid w:val="005C1BAD"/>
    <w:rsid w:val="005F55E7"/>
    <w:rsid w:val="00620EBE"/>
    <w:rsid w:val="006330D8"/>
    <w:rsid w:val="0063566E"/>
    <w:rsid w:val="00654004"/>
    <w:rsid w:val="00696267"/>
    <w:rsid w:val="006F0D6B"/>
    <w:rsid w:val="00750F16"/>
    <w:rsid w:val="0078282A"/>
    <w:rsid w:val="007D56B2"/>
    <w:rsid w:val="007F2742"/>
    <w:rsid w:val="008029B6"/>
    <w:rsid w:val="00815E0B"/>
    <w:rsid w:val="00841821"/>
    <w:rsid w:val="00842ED4"/>
    <w:rsid w:val="00845188"/>
    <w:rsid w:val="00850B34"/>
    <w:rsid w:val="00865F3F"/>
    <w:rsid w:val="008A2A33"/>
    <w:rsid w:val="008B2125"/>
    <w:rsid w:val="00922F52"/>
    <w:rsid w:val="00923ED7"/>
    <w:rsid w:val="009364B6"/>
    <w:rsid w:val="009651EB"/>
    <w:rsid w:val="00982F7B"/>
    <w:rsid w:val="00995F97"/>
    <w:rsid w:val="00996910"/>
    <w:rsid w:val="009B3444"/>
    <w:rsid w:val="009B52C9"/>
    <w:rsid w:val="009F6BA6"/>
    <w:rsid w:val="00A0109D"/>
    <w:rsid w:val="00A35B01"/>
    <w:rsid w:val="00A45CE0"/>
    <w:rsid w:val="00A47463"/>
    <w:rsid w:val="00A54F95"/>
    <w:rsid w:val="00A66DF0"/>
    <w:rsid w:val="00A77A3B"/>
    <w:rsid w:val="00A862BB"/>
    <w:rsid w:val="00AA31D4"/>
    <w:rsid w:val="00AE2C0B"/>
    <w:rsid w:val="00AF0F7A"/>
    <w:rsid w:val="00AF7113"/>
    <w:rsid w:val="00B10356"/>
    <w:rsid w:val="00B1321C"/>
    <w:rsid w:val="00B35605"/>
    <w:rsid w:val="00B52A57"/>
    <w:rsid w:val="00B92A10"/>
    <w:rsid w:val="00BE182E"/>
    <w:rsid w:val="00BF020D"/>
    <w:rsid w:val="00BF21C4"/>
    <w:rsid w:val="00C44D03"/>
    <w:rsid w:val="00C50B83"/>
    <w:rsid w:val="00CA2459"/>
    <w:rsid w:val="00CD5F0A"/>
    <w:rsid w:val="00CF5368"/>
    <w:rsid w:val="00CF7C00"/>
    <w:rsid w:val="00D115DA"/>
    <w:rsid w:val="00D2319D"/>
    <w:rsid w:val="00D46BB1"/>
    <w:rsid w:val="00D6749E"/>
    <w:rsid w:val="00D73F4D"/>
    <w:rsid w:val="00DA3741"/>
    <w:rsid w:val="00DC31A3"/>
    <w:rsid w:val="00DD5CD0"/>
    <w:rsid w:val="00DD72CA"/>
    <w:rsid w:val="00E12019"/>
    <w:rsid w:val="00E27003"/>
    <w:rsid w:val="00E5143C"/>
    <w:rsid w:val="00E65376"/>
    <w:rsid w:val="00E86687"/>
    <w:rsid w:val="00ED12D2"/>
    <w:rsid w:val="00EE2298"/>
    <w:rsid w:val="00EE26B3"/>
    <w:rsid w:val="00F44D63"/>
    <w:rsid w:val="00F8034C"/>
    <w:rsid w:val="00FB541C"/>
    <w:rsid w:val="00FB72FF"/>
    <w:rsid w:val="00FF68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uiPriority w:val="9"/>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uiPriority w:val="9"/>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uiPriority w:val="9"/>
    <w:qFormat/>
    <w:rsid w:val="00B52A57"/>
    <w:pPr>
      <w:keepNext/>
      <w:numPr>
        <w:ilvl w:val="2"/>
        <w:numId w:val="1"/>
      </w:numPr>
      <w:spacing w:before="120"/>
      <w:outlineLvl w:val="2"/>
    </w:pPr>
    <w:rPr>
      <w:b/>
    </w:rPr>
  </w:style>
  <w:style w:type="paragraph" w:styleId="berschrift4">
    <w:name w:val="heading 4"/>
    <w:basedOn w:val="Standard"/>
    <w:next w:val="Standard"/>
    <w:link w:val="berschrift4Zchn"/>
    <w:uiPriority w:val="9"/>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uiPriority w:val="9"/>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uiPriority w:val="9"/>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uiPriority w:val="9"/>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uiPriority w:val="9"/>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uiPriority w:val="9"/>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basedOn w:val="NormaleTabelle"/>
    <w:uiPriority w:val="39"/>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1CD66-6D88-4EC2-B85C-B2AEA4E4D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Alawieh, Mohammad</cp:lastModifiedBy>
  <cp:revision>5</cp:revision>
  <dcterms:created xsi:type="dcterms:W3CDTF">2021-11-05T12:01:00Z</dcterms:created>
  <dcterms:modified xsi:type="dcterms:W3CDTF">2021-11-05T16:14:00Z</dcterms:modified>
</cp:coreProperties>
</file>