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034909"/>
      <w:bookmarkStart w:id="3" w:name="_Toc42211920"/>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lang w:val="en-US"/>
              </w:rPr>
              <w:t>Qualcomm</w:t>
            </w:r>
          </w:p>
        </w:tc>
        <w:tc>
          <w:tcPr>
            <w:tcW w:w="2410"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eastAsiaTheme="minorEastAsia"/>
                <w:lang w:val="en-US" w:eastAsia="zh-CN"/>
              </w:rPr>
              <w:t>Vivo</w:t>
            </w:r>
          </w:p>
        </w:tc>
        <w:tc>
          <w:tcPr>
            <w:tcW w:w="2410"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ueming Pan</w:t>
            </w:r>
          </w:p>
        </w:tc>
        <w:tc>
          <w:tcPr>
            <w:tcW w:w="4394" w:type="dxa"/>
          </w:tcPr>
          <w:p>
            <w:pPr>
              <w:spacing w:after="0"/>
              <w:jc w:val="center"/>
              <w:rPr>
                <w:rFonts w:eastAsiaTheme="minorEastAsia"/>
                <w:lang w:val="en-US" w:eastAsia="zh-CN"/>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410" w:type="dxa"/>
          </w:tcPr>
          <w:p>
            <w:pPr>
              <w:spacing w:after="0"/>
              <w:jc w:val="center"/>
              <w:rPr>
                <w:rFonts w:eastAsiaTheme="minorEastAsia"/>
                <w:lang w:val="en-US" w:eastAsia="zh-CN"/>
              </w:rPr>
            </w:pPr>
            <w:r>
              <w:rPr>
                <w:rFonts w:eastAsiaTheme="minorEastAsia"/>
                <w:lang w:val="en-US" w:eastAsia="zh-CN"/>
              </w:rPr>
              <w:t>W</w:t>
            </w:r>
            <w:r>
              <w:rPr>
                <w:rFonts w:hint="eastAsia" w:eastAsiaTheme="minorEastAsia"/>
                <w:lang w:val="en-US" w:eastAsia="zh-CN"/>
              </w:rPr>
              <w:t>eijie</w:t>
            </w:r>
            <w:r>
              <w:rPr>
                <w:rFonts w:eastAsiaTheme="minorEastAsia"/>
                <w:lang w:val="en-US" w:eastAsia="zh-CN"/>
              </w:rPr>
              <w:t xml:space="preserve"> Xu</w:t>
            </w:r>
          </w:p>
        </w:tc>
        <w:tc>
          <w:tcPr>
            <w:tcW w:w="4394" w:type="dxa"/>
          </w:tcPr>
          <w:p>
            <w:pPr>
              <w:spacing w:after="0"/>
              <w:jc w:val="center"/>
              <w:rPr>
                <w:lang w:val="en-US"/>
              </w:rPr>
            </w:pPr>
            <w:r>
              <w:rPr>
                <w:rFonts w:eastAsiaTheme="minorEastAsia"/>
                <w:lang w:val="en-US" w:eastAsia="zh-CN"/>
              </w:rPr>
              <w:t>xu</w:t>
            </w:r>
            <w:r>
              <w:rPr>
                <w:rFonts w:hint="eastAsia" w:eastAsiaTheme="minorEastAsia"/>
                <w:lang w:val="en-US" w:eastAsia="zh-CN"/>
              </w:rPr>
              <w:t>weijie</w:t>
            </w:r>
            <w:r>
              <w:rPr>
                <w:rFonts w:eastAsiaTheme="minorEastAsia"/>
                <w:lang w:val="en-US" w:eastAsia="zh-CN"/>
              </w:rPr>
              <w:t>@oppo.com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eastAsiaTheme="minorEastAsia"/>
                <w:lang w:val="en-US" w:eastAsia="zh-CN"/>
              </w:rPr>
              <w:t>Nordic</w:t>
            </w:r>
          </w:p>
        </w:tc>
        <w:tc>
          <w:tcPr>
            <w:tcW w:w="2410"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val="en-US" w:eastAsia="ja-JP"/>
              </w:rPr>
            </w:pPr>
            <w:r>
              <w:rPr>
                <w:lang w:val="en-US"/>
              </w:rPr>
              <w:t>Huawei, HiSilicon</w:t>
            </w:r>
          </w:p>
        </w:tc>
        <w:tc>
          <w:tcPr>
            <w:tcW w:w="2410"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p>
        </w:tc>
        <w:tc>
          <w:tcPr>
            <w:tcW w:w="2410" w:type="dxa"/>
          </w:tcPr>
          <w:p>
            <w:pPr>
              <w:spacing w:after="0"/>
              <w:rPr>
                <w:rFonts w:eastAsia="Yu Mincho"/>
                <w:lang w:val="en-US" w:eastAsia="ja-JP"/>
              </w:rPr>
            </w:pPr>
          </w:p>
        </w:tc>
        <w:tc>
          <w:tcPr>
            <w:tcW w:w="4394" w:type="dxa"/>
          </w:tcPr>
          <w:p>
            <w:pPr>
              <w:spacing w:after="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p>
        </w:tc>
        <w:tc>
          <w:tcPr>
            <w:tcW w:w="2410" w:type="dxa"/>
          </w:tcPr>
          <w:p>
            <w:pPr>
              <w:spacing w:after="0"/>
              <w:rPr>
                <w:rFonts w:eastAsia="Yu Mincho"/>
                <w:lang w:val="en-US" w:eastAsia="ja-JP"/>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39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1"/>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4"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Working assumption:</w:t>
            </w:r>
          </w:p>
          <w:p>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pPr>
              <w:pStyle w:val="48"/>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pPr>
              <w:pStyle w:val="48"/>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pPr>
        <w:jc w:val="both"/>
        <w:rPr>
          <w:rFonts w:ascii="Times" w:hAnsi="Times"/>
          <w:szCs w:val="24"/>
          <w:lang w:val="en-US"/>
        </w:rPr>
      </w:pPr>
      <w:r>
        <w:rPr>
          <w:rFonts w:ascii="Times" w:hAnsi="Times"/>
          <w:szCs w:val="24"/>
          <w:lang w:val="en-US"/>
        </w:rPr>
        <w:br w:type="textWrapping"/>
      </w:r>
      <w:r>
        <w:rPr>
          <w:rFonts w:ascii="Times" w:hAnsi="Times"/>
          <w:szCs w:val="24"/>
          <w:lang w:val="en-US"/>
        </w:rP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pPr>
        <w:pStyle w:val="48"/>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pPr>
              <w:pStyle w:val="48"/>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both"/>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jc w:val="both"/>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vAlign w:val="top"/>
          </w:tcPr>
          <w:p>
            <w:pPr>
              <w:jc w:val="both"/>
              <w:rPr>
                <w:rFonts w:hint="default" w:ascii="Times New Roman" w:hAnsi="Times New Roman" w:eastAsia="Batang" w:cs="Times New Roman"/>
                <w:lang w:val="en-US" w:eastAsia="ko-KR" w:bidi="ar-SA"/>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r>
              <w:rPr>
                <w:rFonts w:hint="eastAsia" w:eastAsiaTheme="minor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bl>
    <w:p>
      <w:pPr>
        <w:jc w:val="both"/>
        <w:rPr>
          <w:b/>
          <w:highlight w:val="cyan"/>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ascii="Times" w:hAnsi="Times" w:eastAsia="Times New Roman" w:cs="Times"/>
                <w:highlight w:val="darkYellow"/>
                <w:lang w:eastAsia="ja-JP"/>
              </w:rPr>
              <w:t>Working assumption:</w:t>
            </w:r>
            <w:r>
              <w:t xml:space="preserve"> The frequency hopping is enabled/disabled at least via SIB.</w:t>
            </w:r>
          </w:p>
          <w:p>
            <w:pPr>
              <w:spacing w:after="0" w:line="252" w:lineRule="auto"/>
              <w:ind w:left="1440"/>
              <w:rPr>
                <w:rFonts w:ascii="Times" w:hAnsi="Times" w:eastAsia="Times New Roman" w:cs="Times"/>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both"/>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jc w:val="both"/>
              <w:rPr>
                <w:rFonts w:ascii="Times New Roman" w:hAnsi="Times New Roman" w:eastAsia="Batang" w:cs="Times New Roman"/>
                <w:lang w:val="en-US" w:eastAsia="ko-KR" w:bidi="ar-SA"/>
              </w:rPr>
            </w:pPr>
            <w:r>
              <w:rPr>
                <w:rFonts w:hint="eastAsia" w:eastAsia="宋体"/>
                <w:lang w:val="en-US" w:eastAsia="zh-CN"/>
              </w:rPr>
              <w:t>Y</w:t>
            </w:r>
          </w:p>
        </w:tc>
        <w:tc>
          <w:tcPr>
            <w:tcW w:w="6780" w:type="dxa"/>
          </w:tcPr>
          <w:p>
            <w:pPr>
              <w:numPr>
                <w:numId w:val="0"/>
              </w:numPr>
              <w:autoSpaceDN w:val="0"/>
              <w:spacing w:after="0" w:line="252" w:lineRule="auto"/>
              <w:ind w:left="360" w:leftChars="0"/>
              <w:contextualSpacing/>
              <w:rPr>
                <w:b/>
                <w:bCs/>
                <w:color w:val="FF0000"/>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13"/>
        </w:numPr>
        <w:rPr>
          <w:sz w:val="20"/>
          <w:szCs w:val="22"/>
        </w:rPr>
      </w:pPr>
      <w:r>
        <w:rPr>
          <w:sz w:val="20"/>
          <w:szCs w:val="22"/>
        </w:rPr>
        <w:t>[4]: For PUCCH format 1, support PUCCH without frequency hopping to be transmitted with two OCC sequences (as stipulated for legacy FH PUCCH).</w:t>
      </w:r>
    </w:p>
    <w:p>
      <w:pPr>
        <w:pStyle w:val="48"/>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szCs w:val="22"/>
              </w:rPr>
            </w:pPr>
            <w:r>
              <w:rPr>
                <w:szCs w:val="22"/>
              </w:rP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Medium Priority 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cs="MS PGothic"/>
                <w:i/>
                <w:sz w:val="22"/>
                <w:szCs w:val="22"/>
              </w:rPr>
            </m:ctrlPr>
          </m:sSubPr>
          <m:e>
            <m:r>
              <w:rPr>
                <w:rFonts w:ascii="Cambria Math" w:hAnsi="Cambria Math"/>
                <w:sz w:val="22"/>
                <w:szCs w:val="22"/>
                <w:lang w:val="en-US"/>
              </w:rPr>
              <m:t>r</m:t>
            </m:r>
            <m:ctrlPr>
              <w:rPr>
                <w:rFonts w:ascii="Cambria Math" w:hAnsi="Cambria Math" w:eastAsia="MS PGothic" w:cs="MS PGothic"/>
                <w:i/>
                <w:sz w:val="22"/>
                <w:szCs w:val="22"/>
              </w:rPr>
            </m:ctrlPr>
          </m:e>
          <m:sub>
            <m:r>
              <m:rPr>
                <m:sty m:val="p"/>
              </m:rPr>
              <w:rPr>
                <w:rFonts w:ascii="Cambria Math" w:hAnsi="Cambria Math"/>
                <w:sz w:val="22"/>
                <w:szCs w:val="22"/>
                <w:lang w:val="en-US"/>
              </w:rPr>
              <m:t>PUCCH</m:t>
            </m:r>
            <m:ctrlPr>
              <w:rPr>
                <w:rFonts w:ascii="Cambria Math" w:hAnsi="Cambria Math" w:eastAsia="MS PGothic" w:cs="MS PGothic"/>
                <w:i/>
                <w:sz w:val="22"/>
                <w:szCs w:val="22"/>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pPr>
        <w:pStyle w:val="48"/>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pPr>
              <w:pStyle w:val="48"/>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pPr>
              <w:pStyle w:val="48"/>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herefore, the configuration</w:t>
            </w:r>
            <w:r>
              <w:rPr>
                <w:rFonts w:hint="eastAsia" w:eastAsiaTheme="minorEastAsia"/>
                <w:lang w:val="en-US" w:eastAsia="zh-CN"/>
              </w:rPr>
              <w:t>/de</w:t>
            </w:r>
            <w:r>
              <w:rPr>
                <w:rFonts w:eastAsiaTheme="minorEastAsia"/>
                <w:lang w:val="en-US" w:eastAsia="zh-CN"/>
              </w:rPr>
              <w:t>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pPr>
              <w:pStyle w:val="48"/>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pPr>
              <w:pStyle w:val="48"/>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pPr>
              <w:rPr>
                <w:lang w:val="en-US"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pPr>
              <w:pStyle w:val="48"/>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pPr>
              <w:pStyle w:val="48"/>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pPr>
              <w:pStyle w:val="48"/>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both"/>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jc w:val="both"/>
              <w:rPr>
                <w:rFonts w:ascii="Times New Roman" w:hAnsi="Times New Roman" w:eastAsia="Batang" w:cs="Times New Roman"/>
                <w:lang w:val="en-US" w:eastAsia="ko-KR" w:bidi="ar-SA"/>
              </w:rPr>
            </w:pPr>
            <w:r>
              <w:rPr>
                <w:rFonts w:hint="eastAsia" w:eastAsia="宋体"/>
                <w:lang w:val="en-US" w:eastAsia="zh-CN"/>
              </w:rPr>
              <w:t>Y</w:t>
            </w:r>
          </w:p>
        </w:tc>
        <w:tc>
          <w:tcPr>
            <w:tcW w:w="6780" w:type="dxa"/>
            <w:vAlign w:val="top"/>
          </w:tcPr>
          <w:p>
            <w:pPr>
              <w:jc w:val="both"/>
              <w:rPr>
                <w:rFonts w:ascii="Times New Roman" w:hAnsi="Times New Roman" w:eastAsia="Batang" w:cs="Times New Roman"/>
                <w:lang w:val="en-US" w:eastAsia="ko-KR" w:bidi="ar-SA"/>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r>
              <w:rPr>
                <w:rFonts w:hint="eastAsia" w:eastAsiaTheme="minor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pPr>
        <w:pStyle w:val="48"/>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p>
          <w:p>
            <w:pPr>
              <w:rPr>
                <w:lang w:val="en-US" w:eastAsia="ko-KR"/>
              </w:rPr>
            </w:pPr>
            <w:r>
              <w:rPr>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132390" cy="1389038"/>
                          </a:xfrm>
                          <a:prstGeom prst="rect">
                            <a:avLst/>
                          </a:prstGeom>
                        </pic:spPr>
                      </pic:pic>
                    </a:graphicData>
                  </a:graphic>
                </wp:inline>
              </w:drawing>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pPr>
              <w:pStyle w:val="48"/>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pPr>
              <w:pStyle w:val="48"/>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pPr>
              <w:pStyle w:val="48"/>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pPr>
              <w:rPr>
                <w:lang w:val="en-US" w:eastAsia="ko-KR"/>
              </w:rPr>
            </w:pPr>
          </w:p>
          <w:p>
            <w:pPr>
              <w:rPr>
                <w:lang w:val="en-US" w:eastAsia="ko-KR"/>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pPr>
              <w:pStyle w:val="48"/>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both"/>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jc w:val="both"/>
              <w:rPr>
                <w:rFonts w:ascii="Times New Roman" w:hAnsi="Times New Roman" w:eastAsia="Batang" w:cs="Times New Roman"/>
                <w:lang w:val="en-US" w:eastAsia="ko-KR" w:bidi="ar-SA"/>
              </w:rPr>
            </w:pPr>
            <w:r>
              <w:rPr>
                <w:rFonts w:hint="eastAsia" w:eastAsia="宋体"/>
                <w:lang w:val="en-US" w:eastAsia="zh-CN"/>
              </w:rPr>
              <w:t>Y</w:t>
            </w:r>
          </w:p>
        </w:tc>
        <w:tc>
          <w:tcPr>
            <w:tcW w:w="6780" w:type="dxa"/>
            <w:vAlign w:val="top"/>
          </w:tcPr>
          <w:p>
            <w:pPr>
              <w:jc w:val="both"/>
              <w:rPr>
                <w:rFonts w:hint="eastAsia" w:ascii="Times New Roman" w:hAnsi="Times New Roman" w:eastAsia="宋体" w:cs="Times New Roman"/>
                <w:szCs w:val="20"/>
                <w:lang w:val="en-US" w:eastAsia="zh-CN"/>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r>
              <w:rPr>
                <w:rFonts w:hint="eastAsia" w:eastAsiaTheme="minor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hint="eastAsia" w:ascii="Times New Roman" w:hAnsi="Times New Roman" w:eastAsia="宋体" w:cs="Times New Roman"/>
                <w:szCs w:val="20"/>
                <w:lang w:val="en-US" w:eastAsia="zh-CN"/>
              </w:rPr>
              <w:t xml:space="preserve">if the separate SIB-configured initial DL BWP for RedCap UEs contains the entire CORESET#0 located in the carrier middle, the separate </w:t>
            </w:r>
            <w:r>
              <w:rPr>
                <w:rFonts w:hint="eastAsia" w:ascii="Times New Roman" w:hAnsi="Times New Roman" w:eastAsia="宋体" w:cs="Times New Roman"/>
                <w:szCs w:val="20"/>
                <w:lang w:val="en-US" w:eastAsia="ja-JP"/>
              </w:rPr>
              <w:t xml:space="preserve">initial </w:t>
            </w:r>
            <w:r>
              <w:rPr>
                <w:rFonts w:hint="eastAsia" w:ascii="Times New Roman" w:hAnsi="Times New Roman" w:eastAsia="宋体" w:cs="Times New Roman"/>
                <w:szCs w:val="20"/>
                <w:lang w:val="en-US" w:eastAsia="zh-CN"/>
              </w:rPr>
              <w:t>U</w:t>
            </w:r>
            <w:r>
              <w:rPr>
                <w:rFonts w:hint="eastAsia" w:ascii="Times New Roman" w:hAnsi="Times New Roman" w:eastAsia="宋体" w:cs="Times New Roman"/>
                <w:szCs w:val="20"/>
                <w:lang w:val="en-US" w:eastAsia="ja-JP"/>
              </w:rPr>
              <w:t>L BWP</w:t>
            </w:r>
            <w:r>
              <w:rPr>
                <w:rFonts w:hint="eastAsia" w:ascii="Times New Roman" w:hAnsi="Times New Roman" w:eastAsia="宋体" w:cs="Times New Roman"/>
                <w:szCs w:val="20"/>
                <w:lang w:val="en-US" w:eastAsia="zh-CN"/>
              </w:rPr>
              <w:t xml:space="preserve"> for RedCap UEs also has to be placed in the carrier middle for TDD center frequency alignment, which will aggravate the PUSCH resource fragmentation.</w:t>
            </w:r>
          </w:p>
          <w:p>
            <w:pPr>
              <w:jc w:val="both"/>
              <w:rPr>
                <w:rFonts w:hint="default" w:ascii="Times New Roman" w:hAnsi="Times New Roman" w:eastAsia="宋体" w:cs="Times New Roman"/>
                <w:szCs w:val="20"/>
                <w:lang w:val="en-US" w:eastAsia="ko-KR" w:bidi="ar-SA"/>
              </w:rPr>
            </w:pPr>
            <w:r>
              <w:rPr>
                <w:rFonts w:hint="eastAsia" w:eastAsia="宋体" w:cs="Times New Roman"/>
                <w:szCs w:val="20"/>
                <w:lang w:val="en-US" w:eastAsia="zh-CN"/>
              </w:rPr>
              <w:t>The FFS bullet is overlapped with question 3.1-3. It is suggested to be removed.</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6"/>
        </w:numPr>
        <w:jc w:val="both"/>
        <w:rPr>
          <w:b/>
          <w:sz w:val="20"/>
          <w:szCs w:val="22"/>
          <w:lang w:val="en-US"/>
        </w:rPr>
      </w:pPr>
      <w:r>
        <w:rPr>
          <w:b/>
          <w:sz w:val="20"/>
          <w:szCs w:val="22"/>
          <w:lang w:val="en-US"/>
        </w:rPr>
        <w:t>For a separate initial DL BWP for RedCap, which of the following CSSs can/must be configured?</w:t>
      </w:r>
    </w:p>
    <w:p>
      <w:pPr>
        <w:pStyle w:val="48"/>
        <w:numPr>
          <w:ilvl w:val="1"/>
          <w:numId w:val="18"/>
        </w:numPr>
        <w:tabs>
          <w:tab w:val="left" w:pos="1410"/>
        </w:tabs>
        <w:spacing w:after="100" w:afterAutospacing="1"/>
        <w:rPr>
          <w:b/>
          <w:sz w:val="20"/>
          <w:szCs w:val="22"/>
          <w:lang w:val="en-US"/>
        </w:rPr>
      </w:pPr>
      <w:r>
        <w:rPr>
          <w:b/>
          <w:sz w:val="20"/>
          <w:szCs w:val="22"/>
          <w:lang w:val="en-US"/>
        </w:rPr>
        <w:t>Random access CSS</w:t>
      </w:r>
    </w:p>
    <w:p>
      <w:pPr>
        <w:pStyle w:val="48"/>
        <w:numPr>
          <w:ilvl w:val="1"/>
          <w:numId w:val="18"/>
        </w:numPr>
        <w:tabs>
          <w:tab w:val="left" w:pos="1410"/>
        </w:tabs>
        <w:spacing w:after="100" w:afterAutospacing="1"/>
        <w:rPr>
          <w:b/>
          <w:sz w:val="20"/>
          <w:szCs w:val="22"/>
          <w:lang w:val="en-US"/>
        </w:rPr>
      </w:pPr>
      <w:r>
        <w:rPr>
          <w:b/>
          <w:sz w:val="20"/>
          <w:szCs w:val="22"/>
          <w:lang w:val="en-US"/>
        </w:rPr>
        <w:t>Paging CSS</w:t>
      </w:r>
    </w:p>
    <w:p>
      <w:pPr>
        <w:pStyle w:val="48"/>
        <w:numPr>
          <w:ilvl w:val="1"/>
          <w:numId w:val="18"/>
        </w:numPr>
        <w:tabs>
          <w:tab w:val="left" w:pos="1410"/>
        </w:tabs>
        <w:spacing w:after="100" w:afterAutospacing="1"/>
        <w:rPr>
          <w:b/>
          <w:sz w:val="20"/>
          <w:szCs w:val="22"/>
          <w:lang w:val="en-US"/>
        </w:rPr>
      </w:pPr>
      <w:r>
        <w:rPr>
          <w:b/>
          <w:sz w:val="20"/>
          <w:szCs w:val="22"/>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517"/>
        <w:gridCol w:w="1557"/>
        <w:gridCol w:w="5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8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jc w:val="center"/>
              <w:rPr>
                <w:lang w:val="en-US" w:eastAsia="ko-KR"/>
              </w:rPr>
            </w:pPr>
            <w:r>
              <w:rPr>
                <w:lang w:val="en-US" w:eastAsia="ko-KR"/>
              </w:rPr>
              <w:t>1, 2</w:t>
            </w:r>
          </w:p>
        </w:tc>
        <w:tc>
          <w:tcPr>
            <w:tcW w:w="5081"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17" w:type="dxa"/>
          </w:tcPr>
          <w:p>
            <w:pPr>
              <w:tabs>
                <w:tab w:val="left" w:pos="551"/>
              </w:tabs>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Random access CSS</w:t>
            </w:r>
          </w:p>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 xml:space="preserve"> Paging CSS</w:t>
            </w:r>
          </w:p>
          <w:p>
            <w:pPr>
              <w:tabs>
                <w:tab w:val="left" w:pos="551"/>
              </w:tabs>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SIB, PEI, SDT related CSS)</w:t>
            </w:r>
          </w:p>
        </w:tc>
        <w:tc>
          <w:tcPr>
            <w:tcW w:w="1557" w:type="dxa"/>
          </w:tcPr>
          <w:p>
            <w:pPr>
              <w:rPr>
                <w:lang w:val="en-US" w:eastAsia="ko-KR"/>
              </w:rPr>
            </w:pPr>
            <w:r>
              <w:rPr>
                <w:lang w:val="en-US" w:eastAsia="ko-KR"/>
              </w:rPr>
              <w:t>1</w:t>
            </w:r>
          </w:p>
        </w:tc>
        <w:tc>
          <w:tcPr>
            <w:tcW w:w="5081" w:type="dxa"/>
          </w:tcPr>
          <w:p>
            <w:pPr>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must be configured for a separately configured initial DL BWP.</w:t>
            </w:r>
          </w:p>
          <w:p>
            <w:pPr>
              <w:rPr>
                <w:rFonts w:eastAsiaTheme="minorEastAsia"/>
                <w:lang w:val="en-US" w:eastAsia="zh-CN"/>
              </w:rPr>
            </w:pPr>
            <w:r>
              <w:rPr>
                <w:rFonts w:hint="eastAsia" w:eastAsiaTheme="minor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517" w:type="dxa"/>
          </w:tcPr>
          <w:p>
            <w:pPr>
              <w:tabs>
                <w:tab w:val="left" w:pos="551"/>
              </w:tabs>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Random access CSS</w:t>
            </w:r>
          </w:p>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 xml:space="preserve">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Random access CSS</w:t>
            </w:r>
          </w:p>
          <w:p>
            <w:pPr>
              <w:rPr>
                <w:lang w:val="en-US" w:eastAsia="ko-KR"/>
              </w:rPr>
            </w:pPr>
          </w:p>
        </w:tc>
        <w:tc>
          <w:tcPr>
            <w:tcW w:w="5081"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hint="eastAsia" w:eastAsiaTheme="minorEastAsia"/>
                <w:lang w:val="en-US" w:eastAsia="zh-CN"/>
              </w:rPr>
              <w:t>CSS</w:t>
            </w:r>
            <w:r>
              <w:rPr>
                <w:rFonts w:eastAsiaTheme="minorEastAsia"/>
                <w:lang w:val="en-US" w:eastAsia="zh-CN"/>
              </w:rPr>
              <w:t xml:space="preserve">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en-US" w:eastAsia="zh-CN"/>
              </w:rPr>
            </w:pPr>
            <w:r>
              <w:rPr>
                <w:lang w:val="en-US"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8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81"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517" w:type="dxa"/>
            <w:vAlign w:val="top"/>
          </w:tcPr>
          <w:p>
            <w:pPr>
              <w:tabs>
                <w:tab w:val="left" w:pos="551"/>
              </w:tabs>
              <w:rPr>
                <w:rFonts w:hint="default" w:ascii="Times New Roman" w:hAnsi="Times New Roman" w:eastAsia="宋体" w:cs="Times New Roman"/>
                <w:lang w:val="en-US" w:eastAsia="ko-KR" w:bidi="ar-SA"/>
              </w:rPr>
            </w:pPr>
            <w:r>
              <w:rPr>
                <w:rFonts w:hint="eastAsia" w:eastAsia="宋体"/>
                <w:lang w:val="en-US" w:eastAsia="zh-CN"/>
              </w:rPr>
              <w:t>1 and 2</w:t>
            </w:r>
          </w:p>
        </w:tc>
        <w:tc>
          <w:tcPr>
            <w:tcW w:w="1557" w:type="dxa"/>
            <w:vAlign w:val="top"/>
          </w:tcPr>
          <w:p>
            <w:pPr>
              <w:rPr>
                <w:rFonts w:hint="default" w:ascii="Times New Roman" w:hAnsi="Times New Roman" w:eastAsia="宋体" w:cs="Times New Roman"/>
                <w:lang w:val="en-US" w:eastAsia="zh-CN" w:bidi="ar-SA"/>
              </w:rPr>
            </w:pPr>
            <w:r>
              <w:rPr>
                <w:rFonts w:hint="eastAsia" w:eastAsia="宋体" w:cs="Times New Roman"/>
                <w:lang w:val="en-US" w:eastAsia="zh-CN" w:bidi="ar-SA"/>
              </w:rPr>
              <w:t>None</w:t>
            </w:r>
          </w:p>
        </w:tc>
        <w:tc>
          <w:tcPr>
            <w:tcW w:w="5081" w:type="dxa"/>
            <w:vAlign w:val="top"/>
          </w:tcPr>
          <w:p>
            <w:pPr>
              <w:rPr>
                <w:rFonts w:ascii="Times New Roman" w:hAnsi="Times New Roman" w:eastAsia="Batang" w:cs="Times New Roman"/>
                <w:lang w:val="en-US" w:eastAsia="ko-KR" w:bidi="ar-SA"/>
              </w:rPr>
            </w:pPr>
            <w:r>
              <w:rPr>
                <w:rFonts w:hint="eastAsia"/>
                <w:lang w:val="en-US" w:eastAsia="ko-KR"/>
              </w:rPr>
              <w:t xml:space="preserve">For the purpose of offloading, </w:t>
            </w:r>
            <w:r>
              <w:rPr>
                <w:rFonts w:hint="eastAsia" w:eastAsia="宋体"/>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hint="eastAsia" w:eastAsia="宋体"/>
                <w:lang w:val="en-US" w:eastAsia="zh-CN"/>
              </w:rPr>
              <w:t xml:space="preserve"> can be configured in the separate initial DL BWP</w:t>
            </w:r>
            <w:r>
              <w:rPr>
                <w:rFonts w:hint="eastAsia"/>
                <w:lang w:val="en-US" w:eastAsia="ko-KR"/>
              </w:rPr>
              <w:t>.</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hint="eastAsia" w:eastAsiaTheme="minorEastAsia"/>
                <w:lang w:val="en-US" w:eastAsia="zh-CN"/>
              </w:rPr>
              <w:t>CSS</w:t>
            </w:r>
            <w:r>
              <w:rPr>
                <w:rFonts w:eastAsiaTheme="minorEastAsia"/>
                <w:lang w:val="en-US" w:eastAsia="zh-CN"/>
              </w:rPr>
              <w:t xml:space="preserve"> for Random access CSS shall be configured.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vAlign w:val="top"/>
          </w:tcPr>
          <w:p>
            <w:pPr>
              <w:rPr>
                <w:rFonts w:hint="eastAsia" w:eastAsiaTheme="minorEastAsia"/>
                <w:lang w:val="en-US" w:eastAsia="zh-CN"/>
              </w:rPr>
            </w:pPr>
            <w:r>
              <w:rPr>
                <w:rFonts w:hint="eastAsia" w:eastAsiaTheme="minorEastAsia"/>
                <w:lang w:val="en-US" w:eastAsia="zh-CN"/>
              </w:rPr>
              <w:t>Similar motivation with question 3.1-3.</w:t>
            </w:r>
          </w:p>
          <w:p>
            <w:pPr>
              <w:rPr>
                <w:rFonts w:ascii="Times New Roman" w:hAnsi="Times New Roman" w:eastAsia="Batang" w:cs="Times New Roman"/>
                <w:lang w:val="en-US" w:eastAsia="zh-CN" w:bidi="ar-SA"/>
              </w:rPr>
            </w:pPr>
            <w:r>
              <w:rPr>
                <w:rFonts w:hint="eastAsia" w:eastAsiaTheme="minorEastAsia"/>
                <w:lang w:val="en-US" w:eastAsia="zh-CN"/>
              </w:rPr>
              <w:t xml:space="preserve">The relation between question 3.1-4 and 3.1-3 need clarification. </w:t>
            </w:r>
          </w:p>
        </w:tc>
      </w:tr>
    </w:tbl>
    <w:p>
      <w:pPr>
        <w:tabs>
          <w:tab w:val="left" w:pos="1410"/>
        </w:tabs>
        <w:spacing w:after="100" w:afterAutospacing="1"/>
        <w:jc w:val="both"/>
        <w:rPr>
          <w:rStyle w:val="172"/>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pPr>
        <w:pStyle w:val="48"/>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pPr>
        <w:pStyle w:val="48"/>
        <w:numPr>
          <w:ilvl w:val="1"/>
          <w:numId w:val="19"/>
        </w:numPr>
        <w:tabs>
          <w:tab w:val="left" w:pos="1410"/>
        </w:tabs>
        <w:spacing w:after="100" w:afterAutospacing="1"/>
        <w:jc w:val="both"/>
        <w:rPr>
          <w:sz w:val="20"/>
          <w:szCs w:val="20"/>
          <w:lang w:val="en-US"/>
        </w:rPr>
      </w:pPr>
      <w:r>
        <w:rPr>
          <w:sz w:val="20"/>
          <w:szCs w:val="20"/>
          <w:lang w:val="en-US"/>
        </w:rPr>
        <w:t>FFS: during initial access</w:t>
      </w:r>
    </w:p>
    <w:p>
      <w:pPr>
        <w:pStyle w:val="48"/>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pPr>
        <w:pStyle w:val="48"/>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pPr>
        <w:pStyle w:val="48"/>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1397"/>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1397" w:type="dxa"/>
            <w:shd w:val="clear" w:color="auto" w:fill="D8D8D8" w:themeFill="background1" w:themeFillShade="D9"/>
          </w:tcPr>
          <w:p>
            <w:pPr>
              <w:rPr>
                <w:b/>
                <w:bCs/>
                <w:lang w:val="en-US"/>
              </w:rPr>
            </w:pPr>
            <w:r>
              <w:rPr>
                <w:b/>
                <w:bCs/>
                <w:lang w:val="en-US"/>
              </w:rPr>
              <w:t>Option(s)</w:t>
            </w:r>
          </w:p>
        </w:tc>
        <w:tc>
          <w:tcPr>
            <w:tcW w:w="53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r>
              <w:rPr>
                <w:lang w:val="en-US" w:eastAsia="ko-KR"/>
              </w:rPr>
              <w:t>Option 2 is not supported since it does not contain SSB</w:t>
            </w:r>
          </w:p>
        </w:tc>
        <w:tc>
          <w:tcPr>
            <w:tcW w:w="5383"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97" w:type="dxa"/>
          </w:tcPr>
          <w:p>
            <w:pPr>
              <w:rPr>
                <w:lang w:val="en-US" w:eastAsia="ko-KR"/>
              </w:rPr>
            </w:pPr>
          </w:p>
        </w:tc>
        <w:tc>
          <w:tcPr>
            <w:tcW w:w="5383" w:type="dxa"/>
          </w:tcPr>
          <w:p>
            <w:pPr>
              <w:pStyle w:val="48"/>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r>
              <w:rPr>
                <w:lang w:val="en-US" w:eastAsia="ko-KR"/>
              </w:rPr>
              <w:t>Non of the options</w:t>
            </w:r>
          </w:p>
        </w:tc>
        <w:tc>
          <w:tcPr>
            <w:tcW w:w="5383" w:type="dxa"/>
          </w:tcPr>
          <w:p>
            <w:pPr>
              <w:pStyle w:val="48"/>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pPr>
              <w:pStyle w:val="48"/>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Opt 2 is preferred</w:t>
            </w:r>
          </w:p>
        </w:tc>
        <w:tc>
          <w:tcPr>
            <w:tcW w:w="5383"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1397" w:type="dxa"/>
            <w:vAlign w:val="top"/>
          </w:tcPr>
          <w:p>
            <w:pPr>
              <w:rPr>
                <w:rFonts w:hint="eastAsia" w:ascii="Times New Roman" w:hAnsi="Times New Roman" w:eastAsia="宋体" w:cs="Times New Roman"/>
                <w:lang w:val="en-US" w:eastAsia="ko-KR" w:bidi="ar-SA"/>
              </w:rPr>
            </w:pPr>
            <w:r>
              <w:rPr>
                <w:rFonts w:hint="eastAsia" w:eastAsia="宋体"/>
                <w:lang w:val="en-US" w:eastAsia="zh-CN"/>
              </w:rPr>
              <w:t>2</w:t>
            </w:r>
          </w:p>
        </w:tc>
        <w:tc>
          <w:tcPr>
            <w:tcW w:w="5383" w:type="dxa"/>
            <w:vAlign w:val="top"/>
          </w:tcPr>
          <w:p>
            <w:pPr>
              <w:rPr>
                <w:rFonts w:hint="eastAsia" w:ascii="Times New Roman" w:hAnsi="Times New Roman" w:eastAsia="宋体" w:cs="Times New Roman"/>
                <w:szCs w:val="20"/>
                <w:lang w:val="en-US" w:eastAsia="ja-JP"/>
              </w:rPr>
            </w:pPr>
            <w:r>
              <w:rPr>
                <w:rFonts w:hint="eastAsia" w:ascii="Times New Roman" w:hAnsi="Times New Roman" w:eastAsia="宋体" w:cs="Times New Roman"/>
                <w:szCs w:val="20"/>
                <w:lang w:val="en-US" w:eastAsia="zh-CN"/>
              </w:rPr>
              <w:t xml:space="preserve">The transmission of legacy SSB and CORESET#0 in </w:t>
            </w:r>
            <w:r>
              <w:rPr>
                <w:rFonts w:hint="eastAsia" w:ascii="Times New Roman" w:hAnsi="Times New Roman" w:eastAsia="宋体" w:cs="Times New Roman"/>
                <w:szCs w:val="20"/>
                <w:lang w:val="en-US" w:eastAsia="ja-JP"/>
              </w:rPr>
              <w:t>the separate initial DL BWP</w:t>
            </w:r>
            <w:r>
              <w:rPr>
                <w:rFonts w:hint="eastAsia" w:ascii="Times New Roman" w:hAnsi="Times New Roman" w:eastAsia="宋体" w:cs="Times New Roman"/>
                <w:szCs w:val="20"/>
                <w:lang w:val="en-US" w:eastAsia="zh-CN"/>
              </w:rPr>
              <w:t xml:space="preserve"> for RedCap UEs is up to gNB configuration. </w:t>
            </w:r>
            <w:r>
              <w:rPr>
                <w:rFonts w:hint="eastAsia" w:ascii="Times New Roman" w:hAnsi="Times New Roman" w:eastAsia="宋体" w:cs="Times New Roman"/>
                <w:szCs w:val="20"/>
                <w:lang w:val="en-US" w:eastAsia="ja-JP"/>
              </w:rPr>
              <w:t xml:space="preserve">Requiring that the separate initial DL BWP </w:t>
            </w:r>
            <w:r>
              <w:rPr>
                <w:rFonts w:hint="eastAsia" w:ascii="Times New Roman" w:hAnsi="Times New Roman" w:eastAsia="宋体" w:cs="Times New Roman"/>
                <w:szCs w:val="20"/>
                <w:lang w:val="en-US" w:eastAsia="zh-CN"/>
              </w:rPr>
              <w:t xml:space="preserve">always </w:t>
            </w:r>
            <w:r>
              <w:rPr>
                <w:rFonts w:hint="eastAsia" w:ascii="Times New Roman" w:hAnsi="Times New Roman" w:eastAsia="宋体" w:cs="Times New Roman"/>
                <w:szCs w:val="20"/>
                <w:lang w:val="en-US" w:eastAsia="ja-JP"/>
              </w:rPr>
              <w:t>contain</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ja-JP"/>
              </w:rPr>
              <w:t>SSB and</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rFonts w:ascii="Times New Roman" w:hAnsi="Times New Roman" w:eastAsia="Batang" w:cs="Times New Roman"/>
                <w:lang w:val="en-US" w:eastAsia="ko-KR" w:bidi="ar-SA"/>
              </w:rPr>
            </w:pPr>
            <w:r>
              <w:rPr>
                <w:rFonts w:hint="eastAsia" w:ascii="Times New Roman" w:hAnsi="Times New Roman" w:eastAsia="宋体" w:cs="Times New Roman"/>
                <w:szCs w:val="20"/>
                <w:lang w:val="en-US" w:eastAsia="zh-CN"/>
              </w:rPr>
              <w:t xml:space="preserve">Furthermore, to obtain a unified design, TDD center frequency alignment should be ensured during initial access as after initial access. </w:t>
            </w:r>
            <w:r>
              <w:rPr>
                <w:rFonts w:hint="eastAsia" w:eastAsia="宋体" w:cs="Times New Roman"/>
                <w:szCs w:val="20"/>
                <w:lang w:val="en-US" w:eastAsia="zh-CN"/>
              </w:rPr>
              <w:t xml:space="preserve">It is </w:t>
            </w:r>
            <w:r>
              <w:rPr>
                <w:rFonts w:hint="eastAsia" w:ascii="Times New Roman" w:hAnsi="Times New Roman" w:eastAsia="宋体" w:cs="Times New Roman"/>
                <w:szCs w:val="20"/>
                <w:lang w:val="en-US" w:eastAsia="zh-CN"/>
              </w:rPr>
              <w:t>note</w:t>
            </w:r>
            <w:r>
              <w:rPr>
                <w:rFonts w:hint="eastAsia" w:eastAsia="宋体" w:cs="Times New Roman"/>
                <w:szCs w:val="20"/>
                <w:lang w:val="en-US" w:eastAsia="zh-CN"/>
              </w:rPr>
              <w:t>d</w:t>
            </w:r>
            <w:r>
              <w:rPr>
                <w:rFonts w:hint="eastAsia" w:ascii="Times New Roman" w:hAnsi="Times New Roman" w:eastAsia="宋体" w:cs="Times New Roman"/>
                <w:szCs w:val="20"/>
                <w:lang w:val="en-US" w:eastAsia="zh-CN"/>
              </w:rPr>
              <w:t xml:space="preserve">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bl>
    <w:p>
      <w:pPr>
        <w:tabs>
          <w:tab w:val="left" w:pos="1410"/>
        </w:tabs>
        <w:spacing w:after="100" w:afterAutospacing="1"/>
        <w:jc w:val="both"/>
        <w:rPr>
          <w:rStyle w:val="172"/>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20"/>
        </w:numPr>
        <w:rPr>
          <w:rFonts w:asciiTheme="majorBidi" w:hAnsiTheme="majorBidi" w:eastAsiaTheme="minorHAnsi" w:cstheme="majorBidi"/>
          <w:sz w:val="20"/>
          <w:szCs w:val="20"/>
          <w:lang w:val="en-US"/>
        </w:rPr>
      </w:pPr>
      <w:r>
        <w:rPr>
          <w:rFonts w:asciiTheme="majorBidi" w:hAnsiTheme="majorBidi" w:cstheme="majorBidi"/>
          <w:sz w:val="20"/>
          <w:szCs w:val="20"/>
        </w:rPr>
        <w:t xml:space="preserve">[4]: </w:t>
      </w:r>
      <w:r>
        <w:rPr>
          <w:rFonts w:asciiTheme="majorBidi" w:hAnsiTheme="majorBidi" w:eastAsiaTheme="minorHAns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20"/>
        </w:numPr>
        <w:rPr>
          <w:rFonts w:asciiTheme="majorBidi" w:hAnsiTheme="majorBidi" w:eastAsiaTheme="minorHAnsi" w:cstheme="majorBidi"/>
          <w:sz w:val="20"/>
          <w:szCs w:val="20"/>
          <w:lang w:val="en-US"/>
        </w:rPr>
      </w:pPr>
      <w:r>
        <w:rPr>
          <w:rFonts w:asciiTheme="majorBidi" w:hAnsiTheme="majorBidi" w:cstheme="majorBidi"/>
          <w:sz w:val="20"/>
          <w:szCs w:val="20"/>
        </w:rPr>
        <w:t xml:space="preserve">[6]: </w:t>
      </w:r>
      <w:r>
        <w:rPr>
          <w:rFonts w:asciiTheme="majorBidi" w:hAnsiTheme="majorBidi" w:eastAsiaTheme="minorHAns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20"/>
        </w:numPr>
        <w:rPr>
          <w:rFonts w:asciiTheme="majorBidi" w:hAnsiTheme="majorBidi" w:eastAsiaTheme="minorHAnsi" w:cstheme="majorBidi"/>
          <w:sz w:val="20"/>
          <w:szCs w:val="20"/>
          <w:lang w:val="en-US"/>
        </w:rPr>
      </w:pPr>
      <w:r>
        <w:rPr>
          <w:rFonts w:asciiTheme="majorBidi" w:hAnsiTheme="majorBidi" w:cstheme="majorBidi"/>
          <w:sz w:val="20"/>
          <w:szCs w:val="20"/>
        </w:rPr>
        <w:t xml:space="preserve">[6]: </w:t>
      </w:r>
      <w:r>
        <w:rPr>
          <w:rFonts w:asciiTheme="majorBidi" w:hAnsiTheme="majorBidi" w:eastAsiaTheme="minorHAns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2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[8]: </w:t>
      </w:r>
      <w:r>
        <w:rPr>
          <w:rFonts w:asciiTheme="majorBidi" w:hAnsiTheme="majorBidi" w:eastAsiaTheme="minorHAnsi" w:cstheme="majorBidi"/>
          <w:sz w:val="20"/>
          <w:szCs w:val="20"/>
          <w:lang w:val="en-US"/>
        </w:rPr>
        <w:t xml:space="preserve">The periodicity for additional non-CD SSB is configurable and up to 160ms, which is controlled by the network to reduce the overhead. </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[12]: The separately configured initial DL BWP for RedCap UEs does not need to contain SSB.</w:t>
      </w:r>
    </w:p>
    <w:p>
      <w:pPr>
        <w:pStyle w:val="48"/>
        <w:numPr>
          <w:ilvl w:val="0"/>
          <w:numId w:val="20"/>
        </w:numPr>
        <w:rPr>
          <w:rFonts w:asciiTheme="majorBidi" w:hAnsiTheme="majorBidi" w:eastAsiaTheme="minorHAnsi" w:cstheme="majorBidi"/>
          <w:sz w:val="20"/>
          <w:szCs w:val="20"/>
          <w:lang w:val="en-US"/>
        </w:rPr>
      </w:pPr>
      <w:r>
        <w:rPr>
          <w:rFonts w:asciiTheme="majorBidi" w:hAnsiTheme="majorBidi" w:cstheme="majorBidi"/>
          <w:sz w:val="20"/>
          <w:szCs w:val="20"/>
        </w:rPr>
        <w:t xml:space="preserve">[13]: </w:t>
      </w:r>
      <w:r>
        <w:rPr>
          <w:rFonts w:asciiTheme="majorBidi" w:hAnsiTheme="majorBidi" w:eastAsiaTheme="minorHAnsi" w:cstheme="majorBid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[14]:</w:t>
      </w:r>
      <w:r>
        <w:t xml:space="preserve"> </w:t>
      </w:r>
      <w:r>
        <w:rPr>
          <w:rFonts w:asciiTheme="majorBidi" w:hAnsiTheme="majorBidi" w:eastAsiaTheme="minorHAnsi" w:cstheme="majorBidi"/>
          <w:sz w:val="20"/>
          <w:szCs w:val="20"/>
          <w:lang w:val="en-US"/>
        </w:rPr>
        <w:t>The separate initial DL BWP under BWP#0 configuration option 2 should include SSB and CORESET#0.</w:t>
      </w:r>
    </w:p>
    <w:p>
      <w:pPr>
        <w:pStyle w:val="48"/>
        <w:numPr>
          <w:ilvl w:val="0"/>
          <w:numId w:val="20"/>
        </w:numPr>
        <w:rPr>
          <w:rFonts w:asciiTheme="majorBidi" w:hAnsiTheme="majorBidi" w:eastAsiaTheme="minorHAnsi" w:cstheme="majorBidi"/>
          <w:sz w:val="20"/>
          <w:szCs w:val="20"/>
          <w:lang w:val="en-US"/>
        </w:rPr>
      </w:pPr>
      <w:r>
        <w:rPr>
          <w:rFonts w:asciiTheme="majorBidi" w:hAnsiTheme="majorBidi" w:cstheme="majorBidi"/>
          <w:sz w:val="20"/>
          <w:szCs w:val="20"/>
        </w:rPr>
        <w:t xml:space="preserve">[16]: </w:t>
      </w:r>
      <w:r>
        <w:rPr>
          <w:rFonts w:asciiTheme="majorBidi" w:hAnsiTheme="majorBidi" w:eastAsiaTheme="minorHAnsi" w:cstheme="majorBidi"/>
          <w:sz w:val="20"/>
          <w:szCs w:val="20"/>
          <w:lang w:val="en-US"/>
        </w:rPr>
        <w:t xml:space="preserve">SSB is not transmitted in separate initial DL BWP if the separate initial DL BWP does not contain CORESET #0. </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[20]: RedCap UE may always expect either CD-SSB in MIB-configured initial DL BWP or non-CD-SSB within the initial DL BWP for RedCap UE</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Type-1 CSS without paging monitoring, SSB may not be configured for the separate initial BWP.</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2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heme="majorBidi" w:hAnsiTheme="majorBidi" w:eastAsiaTheme="minorHAnsi" w:cstheme="majorBid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vAlign w:val="top"/>
          </w:tcPr>
          <w:p>
            <w:pPr>
              <w:pStyle w:val="280"/>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宋体" w:cs="Times New Roman"/>
                <w:szCs w:val="20"/>
                <w:lang w:val="en-US" w:eastAsia="ja-JP"/>
              </w:rPr>
            </w:pPr>
            <w:r>
              <w:rPr>
                <w:rFonts w:hint="eastAsia" w:ascii="Times New Roman" w:hAnsi="Times New Roman" w:eastAsia="宋体" w:cs="Times New Roman"/>
                <w:szCs w:val="20"/>
                <w:lang w:val="en-US" w:eastAsia="zh-CN"/>
              </w:rPr>
              <w:t>If the separate initial DL BWP is only configured for random access, the network may not configure SSB in the separate initial DL BWP. As with Rel-15/16 UEs, i</w:t>
            </w:r>
            <w:r>
              <w:rPr>
                <w:rFonts w:hint="eastAsia" w:ascii="Times New Roman" w:hAnsi="Times New Roman" w:eastAsia="宋体" w:cs="Times New Roman"/>
                <w:szCs w:val="20"/>
                <w:lang w:val="en-US" w:eastAsia="ja-JP"/>
              </w:rPr>
              <w:t>t is possible that the initial DL BWP</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ja-JP"/>
              </w:rPr>
              <w:t>does not contain SSB, especially for frequency-division multiplexing patterns 2 and 3</w:t>
            </w:r>
            <w:r>
              <w:rPr>
                <w:rFonts w:hint="eastAsia" w:ascii="Times New Roman" w:hAnsi="Times New Roman" w:eastAsia="宋体" w:cs="Times New Roman"/>
                <w:szCs w:val="20"/>
                <w:lang w:val="en-US" w:eastAsia="zh-CN"/>
              </w:rPr>
              <w:t xml:space="preserve"> in FR2</w:t>
            </w:r>
            <w:r>
              <w:rPr>
                <w:rFonts w:hint="eastAsia" w:ascii="Times New Roman" w:hAnsi="Times New Roman" w:eastAsia="宋体" w:cs="Times New Roman"/>
                <w:szCs w:val="20"/>
                <w:lang w:val="en-US" w:eastAsia="ja-JP"/>
              </w:rPr>
              <w:t>. Besides, RedCap UEs can switch to the MIB-configured initial DL BWP by RF</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ja-JP"/>
              </w:rPr>
              <w:t xml:space="preserve">retuning when needed to receive </w:t>
            </w:r>
            <w:r>
              <w:rPr>
                <w:rFonts w:hint="eastAsia" w:ascii="Times New Roman" w:hAnsi="Times New Roman" w:eastAsia="宋体" w:cs="Times New Roman"/>
                <w:szCs w:val="20"/>
                <w:lang w:val="en-US" w:eastAsia="zh-CN"/>
              </w:rPr>
              <w:t xml:space="preserve">the </w:t>
            </w:r>
            <w:r>
              <w:rPr>
                <w:rFonts w:hint="eastAsia" w:ascii="Times New Roman" w:hAnsi="Times New Roman" w:eastAsia="宋体" w:cs="Times New Roman"/>
                <w:szCs w:val="20"/>
                <w:lang w:val="en-US" w:eastAsia="ja-JP"/>
              </w:rPr>
              <w:t>le</w:t>
            </w:r>
            <w:r>
              <w:rPr>
                <w:rFonts w:hint="eastAsia" w:ascii="Times New Roman" w:hAnsi="Times New Roman" w:eastAsia="宋体" w:cs="Times New Roman"/>
                <w:szCs w:val="20"/>
                <w:lang w:val="en-US" w:eastAsia="zh-CN"/>
              </w:rPr>
              <w:t>ga</w:t>
            </w:r>
            <w:r>
              <w:rPr>
                <w:rFonts w:hint="eastAsia" w:ascii="Times New Roman" w:hAnsi="Times New Roman" w:eastAsia="宋体" w:cs="Times New Roman"/>
                <w:szCs w:val="20"/>
                <w:lang w:val="en-US" w:eastAsia="ja-JP"/>
              </w:rPr>
              <w:t>cy SSB.</w:t>
            </w:r>
          </w:p>
          <w:p>
            <w:pPr>
              <w:pStyle w:val="28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szCs w:val="20"/>
                <w:lang w:val="en-US" w:eastAsia="zh-CN" w:bidi="ar-SA"/>
              </w:rPr>
            </w:pPr>
            <w:r>
              <w:rPr>
                <w:rFonts w:hint="eastAsia" w:ascii="Times New Roman" w:hAnsi="Times New Roman" w:eastAsia="宋体" w:cs="Times New Roman"/>
                <w:szCs w:val="20"/>
                <w:lang w:val="en-US" w:eastAsia="zh-CN"/>
              </w:rPr>
              <w:t xml:space="preserve">For the </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Note</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 xml:space="preserve">, it seems to indicate that the additional SSB can be configured by the gNB. It is more appropriate to say </w:t>
            </w:r>
            <w:r>
              <w:rPr>
                <w:rFonts w:hint="default" w:ascii="Times New Roman" w:hAnsi="Times New Roman" w:eastAsia="宋体" w:cs="Times New Roman"/>
                <w:szCs w:val="20"/>
                <w:lang w:val="en-US" w:eastAsia="zh-CN"/>
              </w:rPr>
              <w:t>“</w:t>
            </w:r>
            <w:r>
              <w:rPr>
                <w:rFonts w:ascii="Times New Roman" w:hAnsi="Times New Roman" w:cs="Times New Roman"/>
                <w:b/>
                <w:sz w:val="20"/>
                <w:szCs w:val="20"/>
                <w:lang w:val="en-US"/>
              </w:rPr>
              <w:t>The network</w:t>
            </w:r>
            <w:r>
              <w:rPr>
                <w:rFonts w:hint="eastAsia" w:ascii="Times New Roman" w:hAnsi="Times New Roman" w:eastAsia="宋体" w:cs="Times New Roman"/>
                <w:b/>
                <w:sz w:val="20"/>
                <w:szCs w:val="20"/>
                <w:lang w:val="en-US" w:eastAsia="zh-CN"/>
              </w:rPr>
              <w:t xml:space="preserve"> can</w:t>
            </w:r>
            <w:r>
              <w:rPr>
                <w:rFonts w:ascii="Times New Roman" w:hAnsi="Times New Roman" w:cs="Times New Roman"/>
                <w:b/>
                <w:sz w:val="20"/>
                <w:szCs w:val="20"/>
                <w:lang w:val="en-US"/>
              </w:rPr>
              <w:t xml:space="preserve"> configure </w:t>
            </w:r>
            <w:r>
              <w:rPr>
                <w:rFonts w:hint="eastAsia" w:ascii="Times New Roman" w:hAnsi="Times New Roman" w:eastAsia="宋体" w:cs="Times New Roman"/>
                <w:b/>
                <w:sz w:val="20"/>
                <w:szCs w:val="20"/>
                <w:lang w:val="en-US" w:eastAsia="zh-CN"/>
              </w:rPr>
              <w:t xml:space="preserve">the separate initial DL BWP containing </w:t>
            </w:r>
            <w:r>
              <w:rPr>
                <w:rFonts w:ascii="Times New Roman" w:hAnsi="Times New Roman" w:cs="Times New Roman"/>
                <w:b/>
                <w:sz w:val="20"/>
                <w:szCs w:val="20"/>
                <w:lang w:val="en-US"/>
              </w:rPr>
              <w:t>SSB</w:t>
            </w:r>
            <w:r>
              <w:rPr>
                <w:rFonts w:hint="eastAsia" w:ascii="Times New Roman" w:hAnsi="Times New Roman" w:eastAsia="宋体" w:cs="Times New Roman"/>
                <w:b/>
                <w:sz w:val="20"/>
                <w:szCs w:val="20"/>
                <w:lang w:val="en-US" w:eastAsia="zh-CN"/>
              </w:rPr>
              <w:t xml:space="preserve"> or not</w:t>
            </w:r>
            <w:r>
              <w:rPr>
                <w:rFonts w:ascii="Times New Roman" w:hAnsi="Times New Roman" w:cs="Times New Roman"/>
                <w:b/>
                <w:sz w:val="20"/>
                <w:szCs w:val="20"/>
                <w:lang w:val="en-US"/>
              </w:rPr>
              <w:t xml:space="preserve"> in this case</w:t>
            </w:r>
            <w:r>
              <w:rPr>
                <w:rFonts w:hint="eastAsia" w:ascii="Times New Roman" w:hAnsi="Times New Roman" w:eastAsia="宋体" w:cs="Times New Roman"/>
                <w:b/>
                <w:sz w:val="20"/>
                <w:szCs w:val="20"/>
                <w:lang w:val="en-US" w:eastAsia="zh-CN"/>
              </w:rPr>
              <w:t>.</w:t>
            </w:r>
            <w:r>
              <w:rPr>
                <w:rFonts w:hint="default" w:ascii="Times New Roman" w:hAnsi="Times New Roman" w:eastAsia="宋体" w:cs="Times New Roman"/>
                <w:b w:val="0"/>
                <w:bCs/>
                <w:sz w:val="20"/>
                <w:szCs w:val="20"/>
                <w:lang w:val="en-US" w:eastAsia="zh-CN"/>
              </w:rPr>
              <w:t>”</w:t>
            </w: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22"/>
              </w:numPr>
              <w:rPr>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 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pPr>
              <w:pStyle w:val="48"/>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N</w:t>
            </w:r>
          </w:p>
        </w:tc>
        <w:tc>
          <w:tcPr>
            <w:tcW w:w="6780" w:type="dxa"/>
            <w:vAlign w:val="top"/>
          </w:tcPr>
          <w:p>
            <w:pPr>
              <w:jc w:val="both"/>
              <w:rPr>
                <w:rFonts w:hint="default" w:ascii="Times New Roman" w:hAnsi="Times New Roman" w:eastAsia="宋体" w:cs="Times New Roman"/>
                <w:szCs w:val="20"/>
                <w:lang w:val="en-US" w:eastAsia="ko-KR" w:bidi="ar-SA"/>
              </w:rPr>
            </w:pPr>
            <w:r>
              <w:rPr>
                <w:rFonts w:hint="eastAsia" w:ascii="Times New Roman" w:hAnsi="Times New Roman" w:eastAsia="宋体" w:cs="Times New Roman"/>
                <w:szCs w:val="20"/>
                <w:lang w:val="en-US" w:eastAsia="zh-CN"/>
              </w:rPr>
              <w:t xml:space="preserve">The transmission of legacy SSB in </w:t>
            </w:r>
            <w:r>
              <w:rPr>
                <w:rFonts w:hint="eastAsia" w:ascii="Times New Roman" w:hAnsi="Times New Roman" w:eastAsia="宋体" w:cs="Times New Roman"/>
                <w:szCs w:val="20"/>
                <w:lang w:val="en-US" w:eastAsia="ja-JP"/>
              </w:rPr>
              <w:t>the separate initial DL BWP</w:t>
            </w:r>
            <w:r>
              <w:rPr>
                <w:rFonts w:hint="eastAsia" w:ascii="Times New Roman" w:hAnsi="Times New Roman" w:eastAsia="宋体" w:cs="Times New Roman"/>
                <w:szCs w:val="20"/>
                <w:lang w:val="en-US" w:eastAsia="zh-CN"/>
              </w:rPr>
              <w:t xml:space="preserve"> for RedCap UEs is up to gNB configuration. From the UE perspective, the UE shall not always expect SSB transmission in the separate initial DL BWP. </w:t>
            </w:r>
            <w:r>
              <w:rPr>
                <w:rFonts w:hint="eastAsia" w:eastAsia="宋体" w:cs="Times New Roman"/>
                <w:szCs w:val="20"/>
                <w:lang w:val="en-US" w:eastAsia="zh-CN"/>
              </w:rPr>
              <w:t xml:space="preserve"> For example, in TDD, </w:t>
            </w:r>
            <w:r>
              <w:rPr>
                <w:rFonts w:hint="eastAsia" w:ascii="Times New Roman" w:hAnsi="Times New Roman" w:eastAsia="宋体" w:cs="Times New Roman"/>
                <w:szCs w:val="20"/>
                <w:lang w:val="en-US" w:eastAsia="ja-JP"/>
              </w:rPr>
              <w:t xml:space="preserve">to </w:t>
            </w:r>
            <w:r>
              <w:rPr>
                <w:rFonts w:hint="eastAsia" w:eastAsia="宋体" w:cs="Times New Roman"/>
                <w:szCs w:val="20"/>
                <w:lang w:val="en-US" w:eastAsia="zh-CN"/>
              </w:rPr>
              <w:t>reduce the PUSCH resource fragmentation</w:t>
            </w:r>
            <w:r>
              <w:rPr>
                <w:rFonts w:hint="eastAsia" w:ascii="Times New Roman" w:hAnsi="Times New Roman" w:eastAsia="宋体" w:cs="Times New Roman"/>
                <w:szCs w:val="20"/>
                <w:lang w:val="en-US" w:eastAsia="zh-CN"/>
              </w:rPr>
              <w:t>,</w:t>
            </w:r>
            <w:r>
              <w:rPr>
                <w:rFonts w:hint="eastAsia" w:eastAsia="宋体" w:cs="Times New Roman"/>
                <w:szCs w:val="20"/>
                <w:lang w:val="en-US" w:eastAsia="zh-CN"/>
              </w:rPr>
              <w:t xml:space="preserve">  for the case that the SSB is located on the edge of the system bandwidth, </w:t>
            </w:r>
            <w:r>
              <w:rPr>
                <w:rFonts w:hint="eastAsia" w:ascii="Times New Roman" w:hAnsi="Times New Roman" w:eastAsia="宋体" w:cs="Times New Roman"/>
                <w:szCs w:val="20"/>
                <w:lang w:val="en-US" w:eastAsia="zh-CN"/>
              </w:rPr>
              <w:t>gNB can configure</w:t>
            </w:r>
            <w:r>
              <w:rPr>
                <w:rFonts w:hint="eastAsia" w:eastAsia="宋体" w:cs="Times New Roman"/>
                <w:szCs w:val="20"/>
                <w:lang w:val="en-US" w:eastAsia="zh-CN"/>
              </w:rPr>
              <w:t xml:space="preserve"> the </w:t>
            </w:r>
            <w:r>
              <w:rPr>
                <w:rFonts w:hint="eastAsia" w:ascii="Times New Roman" w:hAnsi="Times New Roman" w:eastAsia="宋体" w:cs="Times New Roman"/>
                <w:szCs w:val="20"/>
                <w:lang w:val="en-US" w:eastAsia="zh-CN"/>
              </w:rPr>
              <w:t xml:space="preserve">separate initial DL BWP </w:t>
            </w:r>
            <w:r>
              <w:rPr>
                <w:rFonts w:hint="eastAsia" w:eastAsia="宋体" w:cs="Times New Roman"/>
                <w:szCs w:val="20"/>
                <w:lang w:val="en-US" w:eastAsia="zh-CN"/>
              </w:rPr>
              <w:t>containing</w:t>
            </w:r>
            <w:r>
              <w:rPr>
                <w:rFonts w:hint="eastAsia" w:ascii="Times New Roman" w:hAnsi="Times New Roman" w:eastAsia="宋体" w:cs="Times New Roman"/>
                <w:szCs w:val="20"/>
                <w:lang w:val="en-US" w:eastAsia="zh-CN"/>
              </w:rPr>
              <w:t xml:space="preserve"> the legacy SSB</w:t>
            </w:r>
            <w:r>
              <w:rPr>
                <w:rFonts w:hint="eastAsia" w:eastAsia="宋体" w:cs="Times New Roman"/>
                <w:szCs w:val="20"/>
                <w:lang w:val="en-US" w:eastAsia="zh-CN"/>
              </w:rPr>
              <w:t xml:space="preserve">; If SSB is located near to the center of the system bandwidth, gNB can configure no SSB in the separate initial DL BWP and the </w:t>
            </w:r>
            <w:r>
              <w:rPr>
                <w:rFonts w:hint="eastAsia" w:ascii="Times New Roman" w:hAnsi="Times New Roman" w:eastAsia="宋体" w:cs="Times New Roman"/>
                <w:szCs w:val="20"/>
                <w:lang w:val="en-US" w:eastAsia="zh-CN"/>
              </w:rPr>
              <w:t>RedCap UE can retune to the MIB-configured initial DL BWP for the reception of legacy SSB.</w:t>
            </w:r>
          </w:p>
        </w:tc>
      </w:tr>
    </w:tbl>
    <w:p>
      <w:pPr>
        <w:rPr>
          <w:bCs/>
          <w:lang w:val="en-U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pPr>
        <w:pStyle w:val="48"/>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pPr>
        <w:pStyle w:val="48"/>
        <w:numPr>
          <w:ilvl w:val="0"/>
          <w:numId w:val="23"/>
        </w:numPr>
        <w:rPr>
          <w:bCs/>
          <w:sz w:val="20"/>
          <w:szCs w:val="20"/>
          <w:lang w:val="en-US"/>
        </w:rPr>
      </w:pPr>
      <w:r>
        <w:rPr>
          <w:bCs/>
          <w:sz w:val="20"/>
          <w:szCs w:val="20"/>
          <w:lang w:val="en-US"/>
        </w:rPr>
        <w:t>[11]: To balance UE power saving and network overhead, the following alternatives can be considered:</w:t>
      </w:r>
    </w:p>
    <w:p>
      <w:pPr>
        <w:pStyle w:val="48"/>
        <w:numPr>
          <w:ilvl w:val="1"/>
          <w:numId w:val="23"/>
        </w:numPr>
        <w:rPr>
          <w:bCs/>
          <w:sz w:val="20"/>
          <w:szCs w:val="22"/>
          <w:lang w:val="en-US"/>
        </w:rPr>
      </w:pPr>
      <w:r>
        <w:rPr>
          <w:bCs/>
          <w:sz w:val="20"/>
          <w:szCs w:val="22"/>
          <w:lang w:val="en-US"/>
        </w:rPr>
        <w:t>RedCap UEs support FG 6-1a, no additional SSB is configured, RedCap UEs rely on CSI-RS/TRS for RRM and sync.</w:t>
      </w:r>
    </w:p>
    <w:p>
      <w:pPr>
        <w:pStyle w:val="48"/>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pPr>
        <w:pStyle w:val="48"/>
        <w:numPr>
          <w:ilvl w:val="1"/>
          <w:numId w:val="23"/>
        </w:numPr>
        <w:rPr>
          <w:bCs/>
          <w:sz w:val="20"/>
          <w:szCs w:val="22"/>
          <w:lang w:val="en-US"/>
        </w:rPr>
      </w:pPr>
      <w:r>
        <w:rPr>
          <w:bCs/>
          <w:sz w:val="20"/>
          <w:szCs w:val="22"/>
          <w:lang w:val="en-US"/>
        </w:rPr>
        <w:t>RedCap UEs support FG 6-1, while the SSB for RRM/sync can be non-CD SSB with large periodicity.</w:t>
      </w:r>
    </w:p>
    <w:p>
      <w:pPr>
        <w:pStyle w:val="48"/>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pPr>
        <w:pStyle w:val="48"/>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pPr>
        <w:pStyle w:val="48"/>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details of SSB configuration (e.g., cell-defining SSB, non-cell-defining SSB, SSB periodicity)</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RedCap UE capability for BWP operation</w:t>
      </w:r>
    </w:p>
    <w:p>
      <w:pPr>
        <w:pStyle w:val="48"/>
        <w:numPr>
          <w:ilvl w:val="1"/>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14:textFill>
                  <w14:solidFill>
                    <w14:schemeClr w14:val="tx1"/>
                  </w14:solidFill>
                </w14:textFill>
              </w:rPr>
              <w:t xml:space="preserve"> expect SSB transmission in the RRC-configured active DL BWP.</w:t>
            </w:r>
          </w:p>
          <w:p>
            <w:pPr>
              <w:pStyle w:val="48"/>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pPr>
              <w:pStyle w:val="48"/>
              <w:numPr>
                <w:ilvl w:val="1"/>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details of SSB configuration (e.g., cell-defining SSB, non-cell-defining SSB, SSB periodicity)</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 xml:space="preserve">FFS: RedCap UE capability </w:t>
            </w:r>
            <w:r>
              <w:rPr>
                <w:b/>
                <w:bCs/>
                <w:color w:val="FF0000"/>
                <w:sz w:val="20"/>
                <w:szCs w:val="22"/>
                <w:u w:val="single"/>
                <w:lang w:val="en-US"/>
              </w:rPr>
              <w:t xml:space="preserve">details </w:t>
            </w:r>
            <w:r>
              <w:rPr>
                <w:b/>
                <w:bCs/>
                <w:color w:val="000000" w:themeColor="text1"/>
                <w:sz w:val="20"/>
                <w:szCs w:val="22"/>
                <w:lang w:val="en-US"/>
                <w14:textFill>
                  <w14:solidFill>
                    <w14:schemeClr w14:val="tx1"/>
                  </w14:solidFill>
                </w14:textFill>
              </w:rPr>
              <w:t>for BWP operation</w:t>
            </w:r>
          </w:p>
          <w:p>
            <w:pPr>
              <w:pStyle w:val="48"/>
              <w:numPr>
                <w:ilvl w:val="1"/>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14:textFill>
                  <w14:solidFill>
                    <w14:schemeClr w14:val="tx1"/>
                  </w14:solidFill>
                </w14:textFill>
              </w:rPr>
              <w:t xml:space="preserve"> in the RRC-configured active DL BWP.</w:t>
            </w:r>
          </w:p>
          <w:p>
            <w:pPr>
              <w:pStyle w:val="48"/>
              <w:numPr>
                <w:ilvl w:val="1"/>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details of SSB</w:t>
            </w:r>
            <w:r>
              <w:rPr>
                <w:b/>
                <w:bCs/>
                <w:color w:val="FF0000"/>
                <w:sz w:val="20"/>
                <w:szCs w:val="22"/>
                <w:lang w:val="en-US"/>
              </w:rPr>
              <w:t xml:space="preserve"> or CSI-RS</w:t>
            </w:r>
            <w:r>
              <w:rPr>
                <w:b/>
                <w:bCs/>
                <w:color w:val="000000" w:themeColor="text1"/>
                <w:sz w:val="20"/>
                <w:szCs w:val="22"/>
                <w:lang w:val="en-US"/>
                <w14:textFill>
                  <w14:solidFill>
                    <w14:schemeClr w14:val="tx1"/>
                  </w14:solidFill>
                </w14:textFill>
              </w:rPr>
              <w:t xml:space="preserve"> configuration (e.g., cell-defining SSB, non-cell-defining SSB, SSB periodicity)</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RedCap UE capability for BWP operation</w:t>
            </w:r>
          </w:p>
          <w:p>
            <w:pPr>
              <w:pStyle w:val="48"/>
              <w:numPr>
                <w:ilvl w:val="1"/>
                <w:numId w:val="24"/>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cs="Times New Roman"/>
                <w:lang w:val="en-US" w:eastAsia="zh-CN" w:bidi="ar-SA"/>
              </w:rPr>
              <w:t>Y</w:t>
            </w:r>
          </w:p>
        </w:tc>
        <w:tc>
          <w:tcPr>
            <w:tcW w:w="6780" w:type="dxa"/>
            <w:vAlign w:val="top"/>
          </w:tcPr>
          <w:p>
            <w:pPr>
              <w:rPr>
                <w:rFonts w:hint="default" w:eastAsia="宋体"/>
                <w:b w:val="0"/>
                <w:bCs w:val="0"/>
                <w:color w:val="000000" w:themeColor="text1"/>
                <w:sz w:val="20"/>
                <w:szCs w:val="22"/>
                <w:lang w:val="en-US" w:eastAsia="zh-CN"/>
                <w14:textFill>
                  <w14:solidFill>
                    <w14:schemeClr w14:val="tx1"/>
                  </w14:solidFill>
                </w14:textFill>
              </w:rPr>
            </w:pPr>
            <w:r>
              <w:rPr>
                <w:rFonts w:hint="eastAsia" w:eastAsia="宋体"/>
                <w:b w:val="0"/>
                <w:bCs w:val="0"/>
                <w:color w:val="000000" w:themeColor="text1"/>
                <w:sz w:val="20"/>
                <w:szCs w:val="22"/>
                <w:lang w:val="en-US" w:eastAsia="zh-CN"/>
                <w14:textFill>
                  <w14:solidFill>
                    <w14:schemeClr w14:val="tx1"/>
                  </w14:solidFill>
                </w14:textFill>
              </w:rPr>
              <w:t>We are generally fine with the proposal. For the FFS in the first bullet,  we may need to determine whether we should reuse the legacy SSB (including CD SSB and NCD SSB ) firstly or just define a new SSB. Therefore, the following modification is suggested.</w:t>
            </w:r>
          </w:p>
          <w:p>
            <w:pPr>
              <w:rPr>
                <w:rFonts w:ascii="Times New Roman" w:hAnsi="Times New Roman" w:eastAsia="Batang" w:cs="Times New Roman"/>
                <w:lang w:val="en-US" w:eastAsia="ko-KR" w:bidi="ar-SA"/>
              </w:rPr>
            </w:pPr>
            <w:r>
              <w:rPr>
                <w:b/>
                <w:bCs/>
                <w:color w:val="000000" w:themeColor="text1"/>
                <w:sz w:val="20"/>
                <w:szCs w:val="22"/>
                <w:lang w:val="en-US"/>
                <w14:textFill>
                  <w14:solidFill>
                    <w14:schemeClr w14:val="tx1"/>
                  </w14:solidFill>
                </w14:textFill>
              </w:rPr>
              <w:t xml:space="preserve">FFS: details of SSB </w:t>
            </w:r>
            <w:r>
              <w:rPr>
                <w:rFonts w:hint="eastAsia" w:eastAsia="宋体"/>
                <w:b/>
                <w:bCs/>
                <w:color w:val="000000" w:themeColor="text1"/>
                <w:sz w:val="20"/>
                <w:szCs w:val="22"/>
                <w:lang w:val="en-US" w:eastAsia="zh-CN"/>
                <w14:textFill>
                  <w14:solidFill>
                    <w14:schemeClr w14:val="tx1"/>
                  </w14:solidFill>
                </w14:textFill>
              </w:rPr>
              <w:t xml:space="preserve">transmission in the </w:t>
            </w:r>
            <w:r>
              <w:rPr>
                <w:b/>
                <w:bCs/>
                <w:color w:val="000000" w:themeColor="text1"/>
                <w:sz w:val="20"/>
                <w:szCs w:val="22"/>
                <w:lang w:val="en-US"/>
                <w14:textFill>
                  <w14:solidFill>
                    <w14:schemeClr w14:val="tx1"/>
                  </w14:solidFill>
                </w14:textFill>
              </w:rPr>
              <w:t>RRC-configured active DL BWP</w:t>
            </w:r>
            <w:r>
              <w:rPr>
                <w:rFonts w:hint="eastAsia" w:eastAsia="宋体"/>
                <w:b/>
                <w:bCs/>
                <w:color w:val="000000" w:themeColor="text1"/>
                <w:sz w:val="20"/>
                <w:szCs w:val="22"/>
                <w:lang w:val="en-US" w:eastAsia="zh-CN"/>
                <w14:textFill>
                  <w14:solidFill>
                    <w14:schemeClr w14:val="tx1"/>
                  </w14:solidFill>
                </w14:textFill>
              </w:rPr>
              <w:t>(e.g., legacy SSB, new-defined SSB)</w:t>
            </w:r>
          </w:p>
        </w:tc>
      </w:tr>
    </w:tbl>
    <w:p>
      <w:pPr>
        <w:spacing w:after="100" w:afterAutospacing="1"/>
        <w:jc w:val="both"/>
        <w:rPr>
          <w:lang w:val="en-US"/>
        </w:rPr>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26"/>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26"/>
        </w:numPr>
        <w:spacing w:after="160" w:line="259" w:lineRule="auto"/>
        <w:rPr>
          <w:sz w:val="20"/>
          <w:szCs w:val="20"/>
        </w:rPr>
      </w:pPr>
      <w:r>
        <w:rPr>
          <w:sz w:val="20"/>
          <w:szCs w:val="20"/>
        </w:rPr>
        <w:t>[28]: If RedCap UE supports FG 6-1a and operates in a RRC-configured DL BWP without SSB, it expects to receive:</w:t>
      </w:r>
    </w:p>
    <w:p>
      <w:pPr>
        <w:pStyle w:val="48"/>
        <w:numPr>
          <w:ilvl w:val="1"/>
          <w:numId w:val="26"/>
        </w:numPr>
        <w:spacing w:after="160" w:line="259" w:lineRule="auto"/>
        <w:rPr>
          <w:sz w:val="20"/>
          <w:szCs w:val="20"/>
        </w:rPr>
      </w:pPr>
      <w:r>
        <w:rPr>
          <w:sz w:val="20"/>
          <w:szCs w:val="20"/>
        </w:rPr>
        <w:t>periodic TRS for time/frequency tracking</w:t>
      </w:r>
    </w:p>
    <w:p>
      <w:pPr>
        <w:pStyle w:val="48"/>
        <w:numPr>
          <w:ilvl w:val="1"/>
          <w:numId w:val="26"/>
        </w:numPr>
        <w:spacing w:after="160" w:line="259" w:lineRule="auto"/>
        <w:rPr>
          <w:sz w:val="20"/>
          <w:szCs w:val="20"/>
        </w:rPr>
      </w:pPr>
      <w:r>
        <w:rPr>
          <w:sz w:val="20"/>
          <w:szCs w:val="20"/>
        </w:rPr>
        <w:t xml:space="preserve">dedicated RRC signalling for SI update </w:t>
      </w:r>
    </w:p>
    <w:p>
      <w:pPr>
        <w:pStyle w:val="48"/>
        <w:numPr>
          <w:ilvl w:val="1"/>
          <w:numId w:val="26"/>
        </w:numPr>
        <w:spacing w:after="160" w:line="259" w:lineRule="auto"/>
        <w:rPr>
          <w:sz w:val="20"/>
          <w:szCs w:val="20"/>
        </w:rPr>
      </w:pPr>
      <w:r>
        <w:rPr>
          <w:sz w:val="20"/>
          <w:szCs w:val="20"/>
        </w:rPr>
        <w:t>dedicated BFR-CSIRS-RACH resource, if BFR-CSI-RS is configured in the active BWP</w:t>
      </w:r>
    </w:p>
    <w:p>
      <w:pPr>
        <w:pStyle w:val="48"/>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pPr>
        <w:pStyle w:val="48"/>
        <w:numPr>
          <w:ilvl w:val="1"/>
          <w:numId w:val="26"/>
        </w:numPr>
        <w:spacing w:after="160" w:line="259" w:lineRule="auto"/>
        <w:rPr>
          <w:sz w:val="20"/>
          <w:szCs w:val="20"/>
        </w:rPr>
      </w:pPr>
      <w:r>
        <w:rPr>
          <w:sz w:val="20"/>
          <w:szCs w:val="20"/>
        </w:rPr>
        <w:t>periodic TRS for time/frequency tracking</w:t>
      </w:r>
    </w:p>
    <w:p>
      <w:pPr>
        <w:pStyle w:val="48"/>
        <w:numPr>
          <w:ilvl w:val="1"/>
          <w:numId w:val="26"/>
        </w:numPr>
        <w:spacing w:after="160" w:line="259" w:lineRule="auto"/>
        <w:rPr>
          <w:sz w:val="20"/>
          <w:szCs w:val="20"/>
        </w:rPr>
      </w:pPr>
      <w:r>
        <w:rPr>
          <w:sz w:val="20"/>
          <w:szCs w:val="20"/>
        </w:rPr>
        <w:t>CORESET/CSS for paging, or dedicated RRC signalling for SI update if paging CSS is not configured</w:t>
      </w:r>
    </w:p>
    <w:p>
      <w:pPr>
        <w:pStyle w:val="48"/>
        <w:numPr>
          <w:ilvl w:val="1"/>
          <w:numId w:val="26"/>
        </w:numPr>
        <w:spacing w:after="160" w:line="259" w:lineRule="auto"/>
        <w:rPr>
          <w:sz w:val="20"/>
          <w:szCs w:val="20"/>
        </w:rPr>
      </w:pPr>
      <w:r>
        <w:rPr>
          <w:sz w:val="20"/>
          <w:szCs w:val="20"/>
        </w:rPr>
        <w:t>dedicated BFR-CSIRS-RACH resource, if BFR-CSI-RS is configured in the active BWP</w:t>
      </w:r>
    </w:p>
    <w:p>
      <w:pPr>
        <w:pStyle w:val="48"/>
        <w:numPr>
          <w:ilvl w:val="0"/>
          <w:numId w:val="26"/>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lang w:val="en-US" w:eastAsia="ko-KR"/>
              </w:rPr>
            </w:pPr>
            <w:r>
              <w:rPr>
                <w:lang w:val="en-US" w:eastAsia="ko-KR"/>
              </w:rPr>
              <w:t>Adding CSI-RS for UE to expect, if a UE does not support BWP without SSB only, or</w:t>
            </w:r>
          </w:p>
          <w:p>
            <w:pPr>
              <w:pStyle w:val="48"/>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Batang" w:cs="Times New Roman"/>
                <w:lang w:val="en-US" w:eastAsia="ko-KR"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0" w:firstLineChars="0"/>
              <w:jc w:val="both"/>
              <w:textAlignment w:val="auto"/>
              <w:rPr>
                <w:rFonts w:hint="default" w:ascii="Times New Roman" w:hAnsi="Times New Roman" w:eastAsia="宋体" w:cs="Times New Roman"/>
                <w:i w:val="0"/>
                <w:caps w:val="0"/>
                <w:color w:val="auto"/>
                <w:spacing w:val="0"/>
                <w:sz w:val="20"/>
                <w:szCs w:val="20"/>
                <w:u w:val="none"/>
                <w:lang w:val="en-US" w:eastAsia="zh-CN"/>
              </w:rPr>
            </w:pPr>
            <w:r>
              <w:rPr>
                <w:rFonts w:hint="eastAsia" w:eastAsia="宋体" w:cs="Times New Roman"/>
                <w:i w:val="0"/>
                <w:caps w:val="0"/>
                <w:color w:val="auto"/>
                <w:spacing w:val="0"/>
                <w:sz w:val="20"/>
                <w:szCs w:val="20"/>
                <w:u w:val="none"/>
                <w:lang w:val="en-US" w:eastAsia="zh-CN"/>
              </w:rPr>
              <w:t>T</w:t>
            </w:r>
            <w:r>
              <w:rPr>
                <w:rFonts w:hint="default" w:ascii="Times New Roman" w:hAnsi="Times New Roman" w:eastAsia="宋体" w:cs="Times New Roman"/>
                <w:i w:val="0"/>
                <w:caps w:val="0"/>
                <w:color w:val="auto"/>
                <w:spacing w:val="0"/>
                <w:sz w:val="20"/>
                <w:szCs w:val="20"/>
                <w:u w:val="none"/>
                <w:lang w:val="en-US"/>
              </w:rPr>
              <w:t>he separate initial DL BWP becomes UE-specific RRC configured under BWP#0 configuration option 2.</w:t>
            </w:r>
            <w:r>
              <w:rPr>
                <w:rFonts w:hint="eastAsia" w:ascii="Times New Roman" w:hAnsi="Times New Roman" w:eastAsia="宋体" w:cs="Times New Roman"/>
                <w:i w:val="0"/>
                <w:caps w:val="0"/>
                <w:color w:val="auto"/>
                <w:spacing w:val="0"/>
                <w:sz w:val="20"/>
                <w:szCs w:val="20"/>
                <w:u w:val="none"/>
                <w:lang w:val="en-US" w:eastAsia="zh-CN"/>
              </w:rPr>
              <w:t xml:space="preserve"> </w:t>
            </w:r>
            <w:r>
              <w:rPr>
                <w:rFonts w:hint="eastAsia" w:eastAsia="宋体" w:cs="Times New Roman"/>
                <w:i w:val="0"/>
                <w:caps w:val="0"/>
                <w:color w:val="auto"/>
                <w:spacing w:val="0"/>
                <w:sz w:val="20"/>
                <w:szCs w:val="20"/>
                <w:u w:val="none"/>
                <w:lang w:val="en-US" w:eastAsia="zh-CN"/>
              </w:rPr>
              <w:t xml:space="preserve"> In this case, if separate initial DL BWP without SSB or CORESET0 is configured, the RRC configured BWP without SSB or CORESET0 is also supported.</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0" w:firstLineChars="0"/>
              <w:jc w:val="both"/>
              <w:textAlignment w:val="auto"/>
              <w:rPr>
                <w:rFonts w:hint="eastAsia" w:ascii="Times New Roman" w:hAnsi="Times New Roman" w:eastAsia="宋体" w:cs="Times New Roman"/>
                <w:i w:val="0"/>
                <w:caps w:val="0"/>
                <w:color w:val="auto"/>
                <w:spacing w:val="0"/>
                <w:sz w:val="20"/>
                <w:szCs w:val="20"/>
                <w:u w:val="none"/>
                <w:lang w:val="en-US" w:eastAsia="zh-CN"/>
              </w:rPr>
            </w:pPr>
            <w:r>
              <w:rPr>
                <w:rFonts w:hint="eastAsia" w:eastAsia="宋体" w:cs="Times New Roman"/>
                <w:i w:val="0"/>
                <w:caps w:val="0"/>
                <w:color w:val="auto"/>
                <w:spacing w:val="0"/>
                <w:sz w:val="20"/>
                <w:szCs w:val="20"/>
                <w:u w:val="none"/>
                <w:lang w:val="en-US" w:eastAsia="zh-CN"/>
              </w:rPr>
              <w:t>Specifically</w:t>
            </w:r>
            <w:r>
              <w:rPr>
                <w:rFonts w:hint="default" w:ascii="Times New Roman" w:hAnsi="Times New Roman" w:eastAsia="宋体" w:cs="Times New Roman"/>
                <w:i w:val="0"/>
                <w:caps w:val="0"/>
                <w:color w:val="auto"/>
                <w:spacing w:val="0"/>
                <w:sz w:val="20"/>
                <w:szCs w:val="20"/>
                <w:u w:val="none"/>
                <w:lang w:val="en-US"/>
              </w:rPr>
              <w:t>, for traffic offload</w:t>
            </w:r>
            <w:r>
              <w:rPr>
                <w:rFonts w:hint="eastAsia" w:ascii="Times New Roman" w:hAnsi="Times New Roman" w:eastAsia="宋体" w:cs="Times New Roman"/>
                <w:i w:val="0"/>
                <w:caps w:val="0"/>
                <w:color w:val="auto"/>
                <w:spacing w:val="0"/>
                <w:sz w:val="20"/>
                <w:szCs w:val="20"/>
                <w:u w:val="none"/>
                <w:lang w:val="en-US" w:eastAsia="zh-CN"/>
              </w:rPr>
              <w:t>ing</w:t>
            </w:r>
            <w:r>
              <w:rPr>
                <w:rFonts w:hint="default" w:ascii="Times New Roman" w:hAnsi="Times New Roman" w:eastAsia="宋体" w:cs="Times New Roman"/>
                <w:i w:val="0"/>
                <w:caps w:val="0"/>
                <w:color w:val="auto"/>
                <w:spacing w:val="0"/>
                <w:sz w:val="20"/>
                <w:szCs w:val="20"/>
                <w:u w:val="none"/>
                <w:lang w:val="en-US"/>
              </w:rPr>
              <w:t xml:space="preserve"> and TDD center frequency alignment purposes, both the separate initial DL BWP and other UE-specific RRC configured non-initial BWPs </w:t>
            </w:r>
            <w:r>
              <w:rPr>
                <w:rFonts w:hint="eastAsia" w:ascii="Times New Roman" w:hAnsi="Times New Roman" w:eastAsia="宋体" w:cs="Times New Roman"/>
                <w:i w:val="0"/>
                <w:caps w:val="0"/>
                <w:color w:val="auto"/>
                <w:spacing w:val="0"/>
                <w:sz w:val="20"/>
                <w:szCs w:val="20"/>
                <w:u w:val="none"/>
                <w:lang w:val="en-US" w:eastAsia="zh-CN"/>
              </w:rPr>
              <w:t>do</w:t>
            </w:r>
            <w:r>
              <w:rPr>
                <w:rFonts w:hint="default" w:ascii="Times New Roman" w:hAnsi="Times New Roman" w:eastAsia="宋体" w:cs="Times New Roman"/>
                <w:i w:val="0"/>
                <w:caps w:val="0"/>
                <w:color w:val="auto"/>
                <w:spacing w:val="0"/>
                <w:sz w:val="20"/>
                <w:szCs w:val="20"/>
                <w:u w:val="none"/>
                <w:lang w:val="en-US"/>
              </w:rPr>
              <w:t xml:space="preserve"> not necessarily contain CORESET#0. Furthermore, mandatory FG 6-1a allows frequency-domain location</w:t>
            </w:r>
            <w:r>
              <w:rPr>
                <w:rFonts w:hint="eastAsia" w:ascii="Times New Roman" w:hAnsi="Times New Roman" w:eastAsia="宋体" w:cs="Times New Roman"/>
                <w:i w:val="0"/>
                <w:caps w:val="0"/>
                <w:color w:val="auto"/>
                <w:spacing w:val="0"/>
                <w:sz w:val="20"/>
                <w:szCs w:val="20"/>
                <w:u w:val="none"/>
                <w:lang w:val="en-US" w:eastAsia="zh-CN"/>
              </w:rPr>
              <w:t>s</w:t>
            </w:r>
            <w:r>
              <w:rPr>
                <w:rFonts w:hint="default" w:ascii="Times New Roman" w:hAnsi="Times New Roman" w:eastAsia="宋体" w:cs="Times New Roman"/>
                <w:i w:val="0"/>
                <w:caps w:val="0"/>
                <w:color w:val="auto"/>
                <w:spacing w:val="0"/>
                <w:sz w:val="20"/>
                <w:szCs w:val="20"/>
                <w:u w:val="none"/>
                <w:lang w:val="en-US"/>
              </w:rPr>
              <w:t xml:space="preserve"> of UE-specific RRC configured BWPs not to be restricted by SSB/CORESET#0, which helps to mitigate the PUSCH resource fragmentation problem.</w:t>
            </w:r>
            <w:r>
              <w:rPr>
                <w:rFonts w:hint="eastAsia" w:ascii="Times New Roman" w:hAnsi="Times New Roman" w:eastAsia="宋体" w:cs="Times New Roman"/>
                <w:i w:val="0"/>
                <w:caps w:val="0"/>
                <w:color w:val="auto"/>
                <w:spacing w:val="0"/>
                <w:sz w:val="20"/>
                <w:szCs w:val="20"/>
                <w:u w:val="non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0" w:firstLineChars="0"/>
              <w:jc w:val="both"/>
              <w:textAlignment w:val="auto"/>
              <w:rPr>
                <w:rFonts w:hint="default" w:ascii="Times New Roman" w:hAnsi="Times New Roman" w:eastAsia="Batang" w:cs="Times New Roman"/>
                <w:lang w:val="en-US" w:eastAsia="ko-KR" w:bidi="ar-SA"/>
              </w:rPr>
            </w:pPr>
            <w:r>
              <w:rPr>
                <w:rFonts w:hint="default" w:ascii="Times New Roman" w:hAnsi="Times New Roman" w:eastAsia="宋体" w:cs="Times New Roman"/>
                <w:i w:val="0"/>
                <w:caps w:val="0"/>
                <w:color w:val="auto"/>
                <w:spacing w:val="0"/>
                <w:sz w:val="20"/>
                <w:szCs w:val="20"/>
                <w:u w:val="none"/>
                <w:lang w:val="en-US" w:eastAsia="zh-CN"/>
              </w:rPr>
              <w:t>Therefore, we believe that RedCap UEs should support FG 6-1a as a mandatory feature</w:t>
            </w:r>
            <w:r>
              <w:rPr>
                <w:rFonts w:hint="eastAsia" w:eastAsia="宋体" w:cs="Times New Roman"/>
                <w:i w:val="0"/>
                <w:caps w:val="0"/>
                <w:color w:val="auto"/>
                <w:spacing w:val="0"/>
                <w:sz w:val="20"/>
                <w:szCs w:val="20"/>
                <w:u w:val="none"/>
                <w:lang w:val="en-US" w:eastAsia="zh-CN"/>
              </w:rPr>
              <w:t xml:space="preserve"> if separate initial DL BWP without SSB can be configured. </w:t>
            </w:r>
            <w:r>
              <w:rPr>
                <w:rFonts w:hint="eastAsia" w:eastAsia="宋体" w:cs="Times New Roman"/>
                <w:i w:val="0"/>
                <w:color w:val="auto"/>
                <w:spacing w:val="0"/>
                <w:sz w:val="20"/>
                <w:szCs w:val="20"/>
                <w:u w:val="none"/>
                <w:lang w:val="en-US" w:eastAsia="zh-CN"/>
              </w:rPr>
              <w:t>C</w:t>
            </w:r>
            <w:r>
              <w:rPr>
                <w:rFonts w:hint="eastAsia" w:eastAsia="宋体" w:cs="Times New Roman"/>
                <w:i w:val="0"/>
                <w:caps w:val="0"/>
                <w:color w:val="auto"/>
                <w:spacing w:val="0"/>
                <w:sz w:val="20"/>
                <w:szCs w:val="20"/>
                <w:u w:val="none"/>
                <w:lang w:val="en-US" w:eastAsia="zh-CN"/>
              </w:rPr>
              <w:t>onsequently, FG 6-1 is not needed.</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p>
        </w:tc>
        <w:tc>
          <w:tcPr>
            <w:tcW w:w="6780" w:type="dxa"/>
            <w:vAlign w:val="top"/>
          </w:tcPr>
          <w:p>
            <w:pPr>
              <w:rPr>
                <w:rFonts w:hint="default" w:ascii="Times New Roman" w:hAnsi="Times New Roman" w:eastAsia="宋体" w:cs="Times New Roman"/>
                <w:lang w:val="en-US" w:eastAsia="zh-CN" w:bidi="ar-SA"/>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eastAsia="宋体" w:cs="Times New Roman"/>
                <w:lang w:val="en-US" w:eastAsia="ko-KR" w:bidi="ar-SA"/>
              </w:rPr>
            </w:pPr>
            <w:r>
              <w:rPr>
                <w:rFonts w:hint="eastAsia" w:eastAsia="宋体"/>
                <w:lang w:val="en-US" w:eastAsia="zh-CN"/>
              </w:rPr>
              <w:t>Y but</w:t>
            </w:r>
          </w:p>
        </w:tc>
        <w:tc>
          <w:tcPr>
            <w:tcW w:w="6780" w:type="dxa"/>
            <w:vAlign w:val="top"/>
          </w:tcPr>
          <w:p>
            <w:pPr>
              <w:rPr>
                <w:rFonts w:hint="default" w:ascii="Times New Roman" w:hAnsi="Times New Roman" w:eastAsia="宋体" w:cs="Times New Roman"/>
                <w:lang w:val="en-US" w:eastAsia="ko-KR" w:bidi="ar-SA"/>
              </w:rPr>
            </w:pPr>
            <w:r>
              <w:rPr>
                <w:rFonts w:hint="eastAsia" w:eastAsia="宋体"/>
                <w:lang w:val="en-US" w:eastAsia="zh-CN"/>
              </w:rPr>
              <w:t>The motivation of the LS is trying to ask RAN4 whether the legacy RF retuning and/or BWP switching can be reused, instead of any optimization of the switching time.</w:t>
            </w:r>
            <w:bookmarkStart w:id="9" w:name="_GoBack"/>
            <w:bookmarkEnd w:id="9"/>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Support of reduced max UE BW for RedCap</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8"/>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2">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0">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1">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页眉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Char"/>
    <w:link w:val="9"/>
    <w:qFormat/>
    <w:uiPriority w:val="0"/>
    <w:rPr>
      <w:rFonts w:ascii="Arial" w:hAnsi="Arial"/>
      <w:sz w:val="36"/>
      <w:lang w:val="en-GB" w:eastAsia="en-US"/>
    </w:rPr>
  </w:style>
  <w:style w:type="character" w:customStyle="1" w:styleId="46">
    <w:name w:val="标题 3 Char"/>
    <w:link w:val="4"/>
    <w:qFormat/>
    <w:uiPriority w:val="0"/>
    <w:rPr>
      <w:rFonts w:ascii="Arial" w:hAnsi="Arial"/>
      <w:sz w:val="28"/>
      <w:lang w:val="en-GB" w:eastAsia="en-US"/>
    </w:rPr>
  </w:style>
  <w:style w:type="character" w:customStyle="1" w:styleId="47">
    <w:name w:val="列出段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Char"/>
    <w:link w:val="21"/>
    <w:qFormat/>
    <w:uiPriority w:val="99"/>
    <w:rPr>
      <w:lang w:val="en-GB" w:eastAsia="en-US"/>
    </w:rPr>
  </w:style>
  <w:style w:type="character" w:customStyle="1" w:styleId="50">
    <w:name w:val="批注主题 Char"/>
    <w:link w:val="33"/>
    <w:qFormat/>
    <w:uiPriority w:val="0"/>
    <w:rPr>
      <w:b/>
      <w:bCs/>
      <w:lang w:val="en-GB" w:eastAsia="en-US"/>
    </w:rPr>
  </w:style>
  <w:style w:type="character" w:customStyle="1" w:styleId="51">
    <w:name w:val="正文文本 Char"/>
    <w:link w:val="23"/>
    <w:qFormat/>
    <w:uiPriority w:val="0"/>
    <w:rPr>
      <w:rFonts w:ascii="Arial" w:hAnsi="Arial"/>
      <w:b/>
      <w:sz w:val="18"/>
      <w:lang w:val="en-GB" w:eastAsia="ja-JP"/>
    </w:rPr>
  </w:style>
  <w:style w:type="character" w:customStyle="1" w:styleId="52">
    <w:name w:val="题注 Char2"/>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标题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文档结构图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纯文本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Unresolved Mention"/>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6FA8B-484E-458B-A269-4D6C51998082}">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19E808FE-228C-4443-A34B-566E1DD17D4F}">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20</Pages>
  <Words>8391</Words>
  <Characters>47831</Characters>
  <Lines>398</Lines>
  <Paragraphs>112</Paragraphs>
  <TotalTime>1</TotalTime>
  <ScaleCrop>false</ScaleCrop>
  <LinksUpToDate>false</LinksUpToDate>
  <CharactersWithSpaces>56110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2021-10-11T09:15:00Z</dcterms:created>
  <dc:creator>Johan Bergman</dc:creator>
  <cp:lastModifiedBy>ZTE-Youjun Hu</cp:lastModifiedBy>
  <dcterms:modified xsi:type="dcterms:W3CDTF">2021-10-11T09:35:49Z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