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RedCap/non-RedCap is band-specific.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down-select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Huawei/</w:t>
            </w:r>
            <w:proofErr w:type="spellStart"/>
            <w:r>
              <w:rPr>
                <w:rFonts w:eastAsia="Yu Mincho"/>
                <w:color w:val="4472C4" w:themeColor="accent1"/>
                <w:lang w:val="en-US" w:eastAsia="ja-JP"/>
              </w:rPr>
              <w:t>HiSilicon</w:t>
            </w:r>
            <w:proofErr w:type="spellEnd"/>
            <w:r>
              <w:rPr>
                <w:rFonts w:eastAsia="Yu Mincho"/>
                <w:color w:val="4472C4" w:themeColor="accent1"/>
                <w:lang w:val="en-US" w:eastAsia="ja-JP"/>
              </w:rPr>
              <w:t xml:space="preserve">,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RedCap UE type need clarification. For example, to differentiate RedCap UE or non-RedCap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ZTE/Saneships: the motivation to define the RedCap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RedCap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constraining the use of those RedCap capabilities only for RedCap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primary aims of the RedCap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Yu Mincho"/>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Yu Mincho"/>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could be a subset of the capabilities that RedCap UE mandatorily to support. Thus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RedCap UE type as follows:</w:t>
            </w:r>
          </w:p>
          <w:p w14:paraId="4B193863" w14:textId="77777777" w:rsidR="005D3C1A" w:rsidRDefault="00304505">
            <w:pPr>
              <w:rPr>
                <w:rFonts w:eastAsia="Yu Mincho"/>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proofErr w:type="spellStart"/>
            <w:r w:rsidRPr="00DF5BF2">
              <w:rPr>
                <w:rFonts w:ascii="Calibri" w:eastAsia="SimSun" w:hAnsi="Calibri" w:cs="Calibri"/>
                <w:sz w:val="21"/>
                <w:szCs w:val="21"/>
                <w:lang w:val="en-US" w:eastAsia="en-GB"/>
              </w:rPr>
              <w:t>gNB</w:t>
            </w:r>
            <w:proofErr w:type="spellEnd"/>
            <w:r w:rsidRPr="00DF5BF2">
              <w:rPr>
                <w:rFonts w:ascii="Calibri" w:eastAsia="SimSun" w:hAnsi="Calibri" w:cs="Calibri"/>
                <w:sz w:val="21"/>
                <w:szCs w:val="21"/>
                <w:lang w:val="en-US" w:eastAsia="en-GB"/>
              </w:rPr>
              <w:t xml:space="preserve">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ListParagraph"/>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ListParagraph"/>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ListParagraph"/>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ListParagraph"/>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ListParagraph"/>
              <w:ind w:left="1364"/>
              <w:rPr>
                <w:sz w:val="20"/>
                <w:szCs w:val="20"/>
                <w:lang w:val="en-US" w:eastAsia="zh-CN"/>
              </w:rPr>
            </w:pPr>
          </w:p>
          <w:p w14:paraId="416D9482" w14:textId="5D0DCCA7" w:rsidR="003A7D80" w:rsidRDefault="003A7D80" w:rsidP="003A7D80">
            <w:pPr>
              <w:pStyle w:val="ListParagraph"/>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ListParagraph"/>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ListParagraph"/>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ListParagraph"/>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ListParagraph"/>
              <w:ind w:left="1364"/>
              <w:rPr>
                <w:b/>
                <w:bCs/>
                <w:sz w:val="20"/>
                <w:szCs w:val="20"/>
                <w:lang w:val="en-US" w:eastAsia="en-GB"/>
              </w:rPr>
            </w:pPr>
          </w:p>
          <w:p w14:paraId="3D4D0341" w14:textId="4F36AD5A" w:rsidR="00405BD7" w:rsidRPr="003A7D80" w:rsidRDefault="00405BD7" w:rsidP="00405BD7">
            <w:pPr>
              <w:pStyle w:val="ListParagraph"/>
              <w:ind w:left="1364"/>
              <w:rPr>
                <w:sz w:val="20"/>
                <w:szCs w:val="20"/>
                <w:lang w:val="en-US" w:eastAsia="en-GB"/>
              </w:rPr>
            </w:pPr>
          </w:p>
          <w:p w14:paraId="081DBBA2" w14:textId="3A4D456F" w:rsidR="003A7D80" w:rsidRPr="003A7D80" w:rsidRDefault="003A7D80" w:rsidP="003A7D80">
            <w:pPr>
              <w:pStyle w:val="ListParagraph"/>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ListParagraph"/>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ListParagraph"/>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ListParagraph"/>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ListParagraph"/>
              <w:ind w:left="644"/>
              <w:rPr>
                <w:sz w:val="20"/>
                <w:szCs w:val="20"/>
                <w:lang w:val="en-US" w:eastAsia="zh-CN"/>
              </w:rPr>
            </w:pPr>
          </w:p>
          <w:p w14:paraId="3E3ED649" w14:textId="03F7FB22" w:rsidR="004417B9" w:rsidRPr="003A7D80" w:rsidRDefault="004417B9" w:rsidP="008429ED">
            <w:pPr>
              <w:pStyle w:val="ListParagraph"/>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BodyText"/>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BodyText"/>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BodyText"/>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lang w:val="en-US" w:eastAsia="zh-CN"/>
              </w:rPr>
            </w:pPr>
            <w:r>
              <w:t>And we assume a RedCap UE with 2Rx branches needs to comply with performance requirement for 2Rx antenna ports.</w:t>
            </w:r>
          </w:p>
        </w:tc>
      </w:tr>
      <w:tr w:rsidR="007F08E3" w14:paraId="51592C63" w14:textId="77777777" w:rsidTr="00BE207E">
        <w:tc>
          <w:tcPr>
            <w:tcW w:w="1479" w:type="dxa"/>
          </w:tcPr>
          <w:p w14:paraId="0E260C5A" w14:textId="2CDB3C15" w:rsidR="007F08E3" w:rsidRDefault="007F08E3">
            <w:pPr>
              <w:rPr>
                <w:rFonts w:eastAsia="SimSun"/>
                <w:lang w:eastAsia="zh-CN"/>
              </w:rPr>
            </w:pPr>
            <w:r>
              <w:rPr>
                <w:rFonts w:eastAsia="SimSun" w:hint="eastAsia"/>
                <w:lang w:eastAsia="zh-CN"/>
              </w:rPr>
              <w:t>v</w:t>
            </w:r>
            <w:r>
              <w:rPr>
                <w:rFonts w:eastAsia="SimSun"/>
                <w:lang w:eastAsia="zh-CN"/>
              </w:rPr>
              <w:t>ivo</w:t>
            </w:r>
          </w:p>
        </w:tc>
        <w:tc>
          <w:tcPr>
            <w:tcW w:w="1635" w:type="dxa"/>
          </w:tcPr>
          <w:p w14:paraId="64B48606" w14:textId="1810D130" w:rsidR="007F08E3" w:rsidRDefault="007F08E3">
            <w:pPr>
              <w:tabs>
                <w:tab w:val="left" w:pos="551"/>
              </w:tabs>
              <w:rPr>
                <w:rFonts w:eastAsia="DengXian"/>
                <w:lang w:eastAsia="zh-CN"/>
              </w:rPr>
            </w:pPr>
            <w:r>
              <w:rPr>
                <w:rFonts w:eastAsia="DengXian" w:hint="eastAsia"/>
                <w:lang w:eastAsia="zh-CN"/>
              </w:rPr>
              <w:t>U</w:t>
            </w:r>
            <w:r>
              <w:rPr>
                <w:rFonts w:eastAsia="DengXian"/>
                <w:lang w:eastAsia="zh-CN"/>
              </w:rPr>
              <w:t>nderstanding 2</w:t>
            </w:r>
          </w:p>
        </w:tc>
        <w:tc>
          <w:tcPr>
            <w:tcW w:w="6517" w:type="dxa"/>
          </w:tcPr>
          <w:p w14:paraId="7C869042" w14:textId="4B92923D" w:rsidR="007F08E3" w:rsidRPr="007F08E3" w:rsidRDefault="007F08E3" w:rsidP="00E012E6">
            <w:pPr>
              <w:rPr>
                <w:rFonts w:eastAsia="DengXian"/>
                <w:lang w:eastAsia="zh-CN"/>
              </w:rPr>
            </w:pPr>
            <w:r>
              <w:rPr>
                <w:rFonts w:eastAsia="DengXian" w:hint="eastAsia"/>
                <w:lang w:eastAsia="zh-CN"/>
              </w:rPr>
              <w:t>@</w:t>
            </w:r>
            <w:r>
              <w:rPr>
                <w:rFonts w:eastAsia="DengXian"/>
                <w:lang w:eastAsia="zh-CN"/>
              </w:rPr>
              <w:t>Nodic, “</w:t>
            </w:r>
            <w:r>
              <w:rPr>
                <w:lang w:val="en-US" w:eastAsia="zh-CN"/>
              </w:rPr>
              <w:t>indicate only one layer with 2Rx</w:t>
            </w:r>
            <w:r>
              <w:rPr>
                <w:rFonts w:eastAsia="DengXian"/>
                <w:lang w:eastAsia="zh-CN"/>
              </w:rPr>
              <w:t xml:space="preserve">” is not allowed by the WID as quoted by NEC above. </w:t>
            </w:r>
          </w:p>
        </w:tc>
      </w:tr>
      <w:tr w:rsidR="0054067C" w14:paraId="66A8E5CE" w14:textId="77777777" w:rsidTr="00BE207E">
        <w:tc>
          <w:tcPr>
            <w:tcW w:w="1479" w:type="dxa"/>
          </w:tcPr>
          <w:p w14:paraId="0F0465AE" w14:textId="2F493278" w:rsidR="0054067C" w:rsidRPr="0054067C" w:rsidRDefault="0054067C" w:rsidP="0054067C">
            <w:pPr>
              <w:rPr>
                <w:rFonts w:eastAsia="SimSun"/>
                <w:lang w:eastAsia="zh-CN"/>
              </w:rPr>
            </w:pPr>
            <w:r>
              <w:rPr>
                <w:rFonts w:eastAsia="SimSun" w:hint="eastAsia"/>
                <w:lang w:eastAsia="zh-CN"/>
              </w:rPr>
              <w:t>C</w:t>
            </w:r>
            <w:r>
              <w:rPr>
                <w:rFonts w:eastAsia="SimSun"/>
                <w:lang w:eastAsia="zh-CN"/>
              </w:rPr>
              <w:t>MCC</w:t>
            </w:r>
          </w:p>
        </w:tc>
        <w:tc>
          <w:tcPr>
            <w:tcW w:w="1635" w:type="dxa"/>
          </w:tcPr>
          <w:p w14:paraId="36BD6CE6" w14:textId="2621F877" w:rsidR="0054067C" w:rsidRDefault="0054067C" w:rsidP="0054067C">
            <w:pPr>
              <w:tabs>
                <w:tab w:val="left" w:pos="551"/>
              </w:tabs>
              <w:rPr>
                <w:rFonts w:eastAsia="DengXian"/>
                <w:lang w:eastAsia="zh-CN"/>
              </w:rPr>
            </w:pPr>
            <w:r>
              <w:rPr>
                <w:rFonts w:eastAsia="DengXian"/>
                <w:lang w:eastAsia="zh-CN"/>
              </w:rPr>
              <w:t>Understanding 2</w:t>
            </w:r>
          </w:p>
        </w:tc>
        <w:tc>
          <w:tcPr>
            <w:tcW w:w="6517" w:type="dxa"/>
          </w:tcPr>
          <w:p w14:paraId="0045C307" w14:textId="77777777" w:rsidR="0054067C" w:rsidRDefault="0054067C" w:rsidP="0054067C">
            <w:pPr>
              <w:rPr>
                <w:rFonts w:eastAsia="DengXian"/>
                <w:lang w:eastAsia="zh-CN"/>
              </w:rPr>
            </w:pPr>
            <w:r>
              <w:rPr>
                <w:rFonts w:eastAsia="DengXian"/>
                <w:lang w:eastAsia="zh-CN"/>
              </w:rPr>
              <w:t>To our understanding, 1Rx is adopted due to its low cost and compact former size of some devices. If a RedCap device has chosen to equip with 2Rx, it doesn’t make sense to support 1Rx.</w:t>
            </w:r>
            <w:r>
              <w:rPr>
                <w:rFonts w:eastAsia="DengXian" w:hint="eastAsia"/>
                <w:lang w:eastAsia="zh-CN"/>
              </w:rPr>
              <w:t xml:space="preserve"> </w:t>
            </w:r>
            <w:r>
              <w:rPr>
                <w:rFonts w:eastAsia="DengXian"/>
                <w:lang w:eastAsia="zh-CN"/>
              </w:rPr>
              <w:t>Similarly, for FD-FDD case, there is no benefit for a FD-FDD device to act as an HD-FDD case.</w:t>
            </w:r>
          </w:p>
          <w:p w14:paraId="1C077F3C" w14:textId="0F579633" w:rsidR="0054067C" w:rsidRDefault="0054067C" w:rsidP="0054067C">
            <w:pPr>
              <w:rPr>
                <w:rFonts w:eastAsia="DengXian"/>
                <w:lang w:eastAsia="zh-CN"/>
              </w:rPr>
            </w:pPr>
            <w:r>
              <w:rPr>
                <w:rFonts w:eastAsia="DengXian"/>
                <w:lang w:eastAsia="zh-CN"/>
              </w:rPr>
              <w:t xml:space="preserve">As to the device type definition, </w:t>
            </w:r>
            <w:r w:rsidRPr="0093473C">
              <w:rPr>
                <w:rFonts w:eastAsia="DengXian"/>
                <w:lang w:eastAsia="zh-CN"/>
              </w:rPr>
              <w:t xml:space="preserve">since the WID states that “Specify definition of one RedCap UE type including capabilities for RedCap UE identification and for constraining the use of those RedCap capabilities only for RedCap UEs”, to constrain the use of those RedCap capabilities only for RedCap UEs, </w:t>
            </w:r>
            <w:r w:rsidRPr="0093473C">
              <w:rPr>
                <w:rFonts w:eastAsia="DengXian"/>
                <w:lang w:eastAsia="zh-CN"/>
              </w:rPr>
              <w:lastRenderedPageBreak/>
              <w:t xml:space="preserve">it should be clear enough that what RedCap capabilities they are supposed to use for distinguishing RedCap with non-RedCap devices, just as option4 says—minimum set of the reduced capabilities that one RedCap UE type shall </w:t>
            </w:r>
            <w:r>
              <w:rPr>
                <w:rFonts w:eastAsia="DengXian"/>
                <w:lang w:eastAsia="zh-CN"/>
              </w:rPr>
              <w:t>mandatorily support, such as the BWP, RX, modulation order,…, it is fine to define more than one values for each mandatorily supported capability.</w:t>
            </w:r>
          </w:p>
        </w:tc>
      </w:tr>
      <w:tr w:rsidR="00514F08" w14:paraId="10C48B44" w14:textId="77777777" w:rsidTr="00BE207E">
        <w:tc>
          <w:tcPr>
            <w:tcW w:w="1479" w:type="dxa"/>
          </w:tcPr>
          <w:p w14:paraId="4C239C23" w14:textId="6108E57D" w:rsidR="00514F08" w:rsidRDefault="00514F08" w:rsidP="0054067C">
            <w:pPr>
              <w:rPr>
                <w:rFonts w:eastAsia="SimSun"/>
                <w:lang w:eastAsia="zh-CN"/>
              </w:rPr>
            </w:pPr>
            <w:r>
              <w:rPr>
                <w:rFonts w:eastAsia="SimSun"/>
                <w:lang w:eastAsia="zh-CN"/>
              </w:rPr>
              <w:lastRenderedPageBreak/>
              <w:t>Sierra Wireless</w:t>
            </w:r>
          </w:p>
        </w:tc>
        <w:tc>
          <w:tcPr>
            <w:tcW w:w="1635" w:type="dxa"/>
          </w:tcPr>
          <w:p w14:paraId="0D29D305" w14:textId="5C9EB5D1" w:rsidR="00514F08" w:rsidRDefault="0034658B" w:rsidP="0054067C">
            <w:pPr>
              <w:tabs>
                <w:tab w:val="left" w:pos="551"/>
              </w:tabs>
              <w:rPr>
                <w:rFonts w:eastAsia="DengXian"/>
                <w:lang w:eastAsia="zh-CN"/>
              </w:rPr>
            </w:pPr>
            <w:r>
              <w:rPr>
                <w:lang w:eastAsia="zh-CN"/>
              </w:rPr>
              <w:t>Understanding 2</w:t>
            </w:r>
          </w:p>
        </w:tc>
        <w:tc>
          <w:tcPr>
            <w:tcW w:w="6517" w:type="dxa"/>
          </w:tcPr>
          <w:p w14:paraId="7FDAD59A" w14:textId="77777777" w:rsidR="0034658B" w:rsidRDefault="0034658B" w:rsidP="0034658B">
            <w:pPr>
              <w:rPr>
                <w:lang w:val="en-US" w:eastAsia="zh-CN"/>
              </w:rPr>
            </w:pPr>
            <w:r>
              <w:rPr>
                <w:lang w:eastAsia="zh-CN"/>
              </w:rPr>
              <w:t xml:space="preserve">A simple definition could be: </w:t>
            </w:r>
          </w:p>
          <w:p w14:paraId="0941730E" w14:textId="77777777" w:rsidR="0034658B" w:rsidRDefault="0034658B" w:rsidP="0034658B">
            <w:pPr>
              <w:rPr>
                <w:lang w:eastAsia="zh-CN"/>
              </w:rPr>
            </w:pPr>
            <w:r>
              <w:rPr>
                <w:lang w:eastAsia="zh-CN"/>
              </w:rPr>
              <w:t xml:space="preserve">A FR1 RedCap UE type has a bandwidth of 20MHz </w:t>
            </w:r>
          </w:p>
          <w:p w14:paraId="2EE7882D" w14:textId="77777777" w:rsidR="0034658B" w:rsidRDefault="0034658B" w:rsidP="0034658B">
            <w:pPr>
              <w:pStyle w:val="ListBullet"/>
              <w:rPr>
                <w:lang w:eastAsia="zh-CN"/>
              </w:rPr>
            </w:pPr>
            <w:r>
              <w:rPr>
                <w:lang w:eastAsia="zh-CN"/>
              </w:rPr>
              <w:t>May have 1 or 2 RX Antenna</w:t>
            </w:r>
          </w:p>
          <w:p w14:paraId="035FE0A5" w14:textId="77777777" w:rsidR="0034658B" w:rsidRDefault="0034658B" w:rsidP="0034658B">
            <w:pPr>
              <w:pStyle w:val="ListBullet"/>
              <w:rPr>
                <w:lang w:eastAsia="zh-CN"/>
              </w:rPr>
            </w:pPr>
            <w:r>
              <w:rPr>
                <w:lang w:eastAsia="zh-CN"/>
              </w:rPr>
              <w:t>May be FD-FDD or HD-FDD</w:t>
            </w:r>
          </w:p>
          <w:p w14:paraId="1039D98F" w14:textId="77777777" w:rsidR="0034658B" w:rsidRDefault="0034658B" w:rsidP="0034658B">
            <w:pPr>
              <w:pStyle w:val="ListBullet"/>
              <w:rPr>
                <w:lang w:eastAsia="zh-CN"/>
              </w:rPr>
            </w:pPr>
            <w:r>
              <w:rPr>
                <w:lang w:eastAsia="zh-CN"/>
              </w:rPr>
              <w:t>May support DL 64 QAM or 256 QAM</w:t>
            </w:r>
          </w:p>
          <w:p w14:paraId="165BFE98" w14:textId="77777777" w:rsidR="0034658B" w:rsidRDefault="0034658B" w:rsidP="0034658B">
            <w:pPr>
              <w:pStyle w:val="ListBullet"/>
              <w:numPr>
                <w:ilvl w:val="0"/>
                <w:numId w:val="0"/>
              </w:numPr>
              <w:tabs>
                <w:tab w:val="left" w:pos="720"/>
              </w:tabs>
              <w:rPr>
                <w:lang w:eastAsia="zh-CN"/>
              </w:rPr>
            </w:pPr>
          </w:p>
          <w:p w14:paraId="1891144D" w14:textId="702A0BE7" w:rsidR="00514F08" w:rsidRDefault="0034658B" w:rsidP="0034658B">
            <w:pPr>
              <w:rPr>
                <w:rFonts w:eastAsia="DengXian"/>
                <w:lang w:eastAsia="zh-CN"/>
              </w:rPr>
            </w:pPr>
            <w:r>
              <w:rPr>
                <w:lang w:eastAsia="zh-CN"/>
              </w:rPr>
              <w:t>It’s not that the UE needs to support 1 RX (or HD-FDD), it’s that the network needs to treat the RedCap UE in a manner that it may support RedCap devices with either 1 RX or 2 RX, HD or FD (i.e., any RedCap UE).</w:t>
            </w:r>
          </w:p>
        </w:tc>
      </w:tr>
      <w:tr w:rsidR="00CA14A6" w14:paraId="36669127" w14:textId="77777777" w:rsidTr="00BE207E">
        <w:tc>
          <w:tcPr>
            <w:tcW w:w="1479" w:type="dxa"/>
          </w:tcPr>
          <w:p w14:paraId="69197800" w14:textId="7BDFCCB6" w:rsidR="00CA14A6" w:rsidRDefault="00CA14A6" w:rsidP="00CA14A6">
            <w:pPr>
              <w:rPr>
                <w:rFonts w:eastAsia="SimSun"/>
                <w:lang w:eastAsia="zh-CN"/>
              </w:rPr>
            </w:pPr>
            <w:r>
              <w:rPr>
                <w:lang w:eastAsia="zh-CN"/>
              </w:rPr>
              <w:t>LG</w:t>
            </w:r>
          </w:p>
        </w:tc>
        <w:tc>
          <w:tcPr>
            <w:tcW w:w="1635" w:type="dxa"/>
          </w:tcPr>
          <w:p w14:paraId="111D8EFD" w14:textId="53BD6B03" w:rsidR="00CA14A6" w:rsidRDefault="00CA14A6" w:rsidP="00CA14A6">
            <w:pPr>
              <w:tabs>
                <w:tab w:val="left" w:pos="551"/>
              </w:tabs>
              <w:rPr>
                <w:lang w:eastAsia="zh-CN"/>
              </w:rPr>
            </w:pPr>
            <w:r>
              <w:rPr>
                <w:lang w:eastAsia="zh-CN"/>
              </w:rPr>
              <w:t>Understanding 2</w:t>
            </w:r>
          </w:p>
        </w:tc>
        <w:tc>
          <w:tcPr>
            <w:tcW w:w="6517" w:type="dxa"/>
          </w:tcPr>
          <w:p w14:paraId="36034478" w14:textId="24BF2689" w:rsidR="00CA14A6" w:rsidRDefault="00CA14A6" w:rsidP="00CA14A6">
            <w:pPr>
              <w:rPr>
                <w:lang w:eastAsia="zh-CN"/>
              </w:rPr>
            </w:pPr>
            <w:r>
              <w:t xml:space="preserve">We assume that the number of RX and FD/HD can be part of RedCap UE capability. On one hand, if UE capability is known to </w:t>
            </w:r>
            <w:proofErr w:type="spellStart"/>
            <w:r>
              <w:t>gNB</w:t>
            </w:r>
            <w:proofErr w:type="spellEnd"/>
            <w:r>
              <w:t xml:space="preserve">, </w:t>
            </w:r>
            <w:proofErr w:type="spellStart"/>
            <w:r>
              <w:t>gNB</w:t>
            </w:r>
            <w:proofErr w:type="spellEnd"/>
            <w:r>
              <w:t xml:space="preserve"> could properly support the UE based on UE capability. On the other hand, if UE capability is unknown to </w:t>
            </w:r>
            <w:proofErr w:type="spellStart"/>
            <w:r>
              <w:t>gNB</w:t>
            </w:r>
            <w:proofErr w:type="spellEnd"/>
            <w:r>
              <w:t xml:space="preserve"> i.e. during initial access, </w:t>
            </w:r>
            <w:proofErr w:type="spellStart"/>
            <w:r>
              <w:t>gNB</w:t>
            </w:r>
            <w:proofErr w:type="spellEnd"/>
            <w:r>
              <w:t xml:space="preserve"> would conservatively support the UE e.g. based on early indication, but </w:t>
            </w:r>
            <w:r>
              <w:rPr>
                <w:lang w:eastAsia="zh-CN"/>
              </w:rPr>
              <w:t>RedCap UEs supporting 2Rx and/or FD-FDD would not need to downgrade their operation. We wonder why such RedCap UEs should downgrade their operation e.g. for initial access.</w:t>
            </w:r>
          </w:p>
        </w:tc>
      </w:tr>
      <w:tr w:rsidR="00062950" w14:paraId="2F68519D" w14:textId="77777777" w:rsidTr="00BE207E">
        <w:tc>
          <w:tcPr>
            <w:tcW w:w="1479" w:type="dxa"/>
          </w:tcPr>
          <w:p w14:paraId="2F7A8378" w14:textId="09A155F5" w:rsidR="00062950" w:rsidRDefault="00062950" w:rsidP="00CA14A6">
            <w:pPr>
              <w:rPr>
                <w:lang w:eastAsia="zh-CN"/>
              </w:rPr>
            </w:pPr>
            <w:r>
              <w:rPr>
                <w:lang w:eastAsia="zh-CN"/>
              </w:rPr>
              <w:t>Intel</w:t>
            </w:r>
          </w:p>
        </w:tc>
        <w:tc>
          <w:tcPr>
            <w:tcW w:w="1635" w:type="dxa"/>
          </w:tcPr>
          <w:p w14:paraId="0A125FB3" w14:textId="0C1A527F" w:rsidR="00062950" w:rsidRDefault="00062950" w:rsidP="00CA14A6">
            <w:pPr>
              <w:tabs>
                <w:tab w:val="left" w:pos="551"/>
              </w:tabs>
              <w:rPr>
                <w:lang w:eastAsia="zh-CN"/>
              </w:rPr>
            </w:pPr>
            <w:r>
              <w:rPr>
                <w:lang w:eastAsia="zh-CN"/>
              </w:rPr>
              <w:t>Understanding 2</w:t>
            </w:r>
          </w:p>
        </w:tc>
        <w:tc>
          <w:tcPr>
            <w:tcW w:w="6517" w:type="dxa"/>
          </w:tcPr>
          <w:p w14:paraId="55A51C23" w14:textId="77777777" w:rsidR="00062950" w:rsidRDefault="00062950" w:rsidP="00CA14A6">
            <w:r>
              <w:t xml:space="preserve">Agree with </w:t>
            </w:r>
            <w:r w:rsidR="00F5242D">
              <w:t xml:space="preserve">NEC, vivo, and others on # of Rx branches. </w:t>
            </w:r>
          </w:p>
          <w:p w14:paraId="083F3314" w14:textId="77777777" w:rsidR="00F5242D" w:rsidRDefault="00F5242D" w:rsidP="00CA14A6">
            <w:r>
              <w:t>Agree with Qualcomm and others on optional support of HD-FDD.</w:t>
            </w:r>
          </w:p>
          <w:p w14:paraId="7DEE05FA" w14:textId="269BCF5C" w:rsidR="00F25DB0" w:rsidRDefault="00F25DB0" w:rsidP="00CA14A6">
            <w:r>
              <w:t>Agree with Sierra Wireless on the overall characterization.</w:t>
            </w: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lastRenderedPageBreak/>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lastRenderedPageBreak/>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r>
              <w:rPr>
                <w:rFonts w:eastAsia="Yu Mincho" w:hint="eastAsia"/>
                <w:sz w:val="20"/>
                <w:szCs w:val="21"/>
              </w:rPr>
              <w:t>N</w:t>
            </w:r>
            <w:r>
              <w:rPr>
                <w:rFonts w:eastAsia="Yu Mincho"/>
                <w:sz w:val="20"/>
                <w:szCs w:val="21"/>
              </w:rPr>
              <w:t xml:space="preserve">one: </w:t>
            </w:r>
            <w:r>
              <w:rPr>
                <w:color w:val="4472C4" w:themeColor="accent1"/>
                <w:sz w:val="20"/>
                <w:szCs w:val="21"/>
                <w:lang w:val="en-US" w:eastAsia="ko-KR"/>
              </w:rPr>
              <w:t>Huawei/</w:t>
            </w:r>
            <w:proofErr w:type="spellStart"/>
            <w:r>
              <w:rPr>
                <w:color w:val="4472C4" w:themeColor="accent1"/>
                <w:sz w:val="20"/>
                <w:szCs w:val="21"/>
                <w:lang w:val="en-US" w:eastAsia="ko-KR"/>
              </w:rPr>
              <w:t>HiSilicon</w:t>
            </w:r>
            <w:proofErr w:type="spellEnd"/>
            <w:r>
              <w:rPr>
                <w:color w:val="4472C4" w:themeColor="accent1"/>
                <w:sz w:val="20"/>
                <w:szCs w:val="21"/>
                <w:lang w:val="en-US" w:eastAsia="ko-KR"/>
              </w:rPr>
              <w:t xml:space="preserve">,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lastRenderedPageBreak/>
        <w:t>Early indication of RedCap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RedCap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functionality that will enable RedCap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RedCap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RedCap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w:t>
      </w:r>
      <w:proofErr w:type="spellStart"/>
      <w:r>
        <w:rPr>
          <w:rFonts w:cs="Arial"/>
          <w:szCs w:val="18"/>
          <w:lang w:eastAsia="ja-JP"/>
        </w:rPr>
        <w:t>Ues</w:t>
      </w:r>
      <w:proofErr w:type="spellEnd"/>
      <w:r>
        <w:rPr>
          <w:rFonts w:cs="Arial"/>
          <w:szCs w:val="18"/>
          <w:lang w:eastAsia="ja-JP"/>
        </w:rPr>
        <w:t xml:space="preserve"> and separate initial UL BWP for RedCap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w:t>
            </w:r>
            <w:proofErr w:type="spellStart"/>
            <w:r>
              <w:rPr>
                <w:bCs/>
                <w:szCs w:val="22"/>
                <w:lang w:eastAsia="zh-CN"/>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lastRenderedPageBreak/>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w:t>
            </w:r>
            <w:r>
              <w:rPr>
                <w:rFonts w:hint="eastAsia"/>
                <w:lang w:val="en-US" w:eastAsia="zh-CN"/>
              </w:rPr>
              <w:lastRenderedPageBreak/>
              <w:t xml:space="preserve">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lastRenderedPageBreak/>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RedCap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We can leave the RA-RNTI discussion to RAN2, unless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RAN1 defers to RAN2 whether/how to address RA-RNTI overlapping issue in the early indication of RedCap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RedCap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RedCap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RedCap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RedCap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RedCap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RedCap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 xml:space="preserve">Huawei, </w:t>
            </w:r>
            <w:proofErr w:type="spellStart"/>
            <w:r>
              <w:rPr>
                <w:lang w:val="en-US" w:eastAsia="ko-KR"/>
              </w:rPr>
              <w:t>HiSilicon</w:t>
            </w:r>
            <w:proofErr w:type="spellEnd"/>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RedCap UE from that for non-RedCap UE. Early indication of RedCap UEs in Msg3 can </w:t>
            </w:r>
            <w:r>
              <w:rPr>
                <w:rFonts w:eastAsia="Yu Mincho"/>
                <w:lang w:val="en-US" w:eastAsia="ja-JP"/>
              </w:rPr>
              <w:lastRenderedPageBreak/>
              <w:t xml:space="preserve">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RedCap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RedCap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Yu Mincho" w:hint="eastAsia"/>
                <w:lang w:val="en-US" w:eastAsia="ja-JP"/>
              </w:rPr>
              <w:t>F</w:t>
            </w:r>
            <w:r>
              <w:rPr>
                <w:rFonts w:eastAsia="Yu Mincho"/>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w:t>
            </w:r>
            <w:r>
              <w:rPr>
                <w:rFonts w:eastAsia="DengXian"/>
                <w:lang w:val="en-US" w:eastAsia="zh-CN"/>
              </w:rPr>
              <w:lastRenderedPageBreak/>
              <w:t>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RedCap UE with a specific configuration.   In scenarios where coverage is not an issue,  MSG3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RedCap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RedCap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w:t>
            </w:r>
            <w:r>
              <w:rPr>
                <w:lang w:val="en-US" w:eastAsia="zh-CN"/>
              </w:rPr>
              <w:lastRenderedPageBreak/>
              <w:t xml:space="preserve">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RedCap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RedCap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RedCap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lastRenderedPageBreak/>
              <w:t xml:space="preserve">Remaining discussion point for Msg3 early indication is whether to send an LS to RAN2 to inform potential RAN1 observations for the scenarios where </w:t>
            </w:r>
            <w:r>
              <w:rPr>
                <w:bCs/>
                <w:szCs w:val="22"/>
                <w:lang w:eastAsia="zh-CN"/>
              </w:rPr>
              <w:t xml:space="preserve">the early indication of RedCap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RedCap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RedCap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RedCap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RedCap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lastRenderedPageBreak/>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ListParagraph"/>
              <w:numPr>
                <w:ilvl w:val="2"/>
                <w:numId w:val="9"/>
              </w:numPr>
              <w:jc w:val="both"/>
              <w:rPr>
                <w:sz w:val="20"/>
                <w:szCs w:val="20"/>
              </w:rPr>
            </w:pPr>
            <w:r>
              <w:rPr>
                <w:sz w:val="20"/>
                <w:szCs w:val="20"/>
              </w:rPr>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RedCap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RedCap,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DengXian"/>
                <w:lang w:eastAsia="zh-CN"/>
              </w:rPr>
            </w:pPr>
            <w:r>
              <w:rPr>
                <w:lang w:val="en-US"/>
              </w:rPr>
              <w:lastRenderedPageBreak/>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RedCap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RedCap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lastRenderedPageBreak/>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RedCap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 xml:space="preserve">Huawei, </w:t>
            </w:r>
            <w:proofErr w:type="spellStart"/>
            <w:r>
              <w:rPr>
                <w:lang w:val="en-US" w:eastAsia="ko-KR"/>
              </w:rPr>
              <w:t>HiSilicon</w:t>
            </w:r>
            <w:proofErr w:type="spellEnd"/>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RedCap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lastRenderedPageBreak/>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RedCap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w:t>
            </w:r>
            <w:proofErr w:type="spellStart"/>
            <w:r>
              <w:rPr>
                <w:rFonts w:eastAsia="Yu Mincho"/>
                <w:color w:val="4472C4" w:themeColor="accent1"/>
                <w:sz w:val="20"/>
                <w:szCs w:val="21"/>
                <w:lang w:val="en-US"/>
              </w:rPr>
              <w:t>HiSilicon</w:t>
            </w:r>
            <w:proofErr w:type="spellEnd"/>
            <w:r>
              <w:rPr>
                <w:rFonts w:eastAsia="Yu Mincho"/>
                <w:color w:val="4472C4" w:themeColor="accent1"/>
                <w:sz w:val="20"/>
                <w:szCs w:val="21"/>
                <w:lang w:val="en-US"/>
              </w:rPr>
              <w:t>,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lastRenderedPageBreak/>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r>
        <w:rPr>
          <w:rFonts w:eastAsia="Yu Mincho"/>
          <w:lang w:eastAsia="ja-JP"/>
        </w:rPr>
        <w:t xml:space="preserve">A number of contributions discuss what kind of system information indication is necessary, which would be discussed in RAN2. One contribution [1] suggests the </w:t>
      </w:r>
      <w:r>
        <w:t xml:space="preserve">indication whether NW supports RedCap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RedCap </w:t>
      </w:r>
      <w:proofErr w:type="spellStart"/>
      <w:r>
        <w:t>Ues</w:t>
      </w:r>
      <w:proofErr w:type="spellEnd"/>
      <w:r>
        <w:t xml:space="preserve"> with 1Rx or 2Rx. Another contribution [31] suggests that </w:t>
      </w:r>
      <w:proofErr w:type="spellStart"/>
      <w:r>
        <w:t>gNB</w:t>
      </w:r>
      <w:proofErr w:type="spellEnd"/>
      <w:r>
        <w:t xml:space="preserve"> can deprioritize RedCap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RedCap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RedCap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RedCap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RedCap UE either as mandatory or as optional unless precluded by a specific RedCap feature. Some contributions [27, 29] also suggest RedCap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lastRenderedPageBreak/>
        <w:t>I</w:t>
      </w:r>
      <w:r>
        <w:rPr>
          <w:rFonts w:eastAsia="Yu Mincho"/>
          <w:lang w:eastAsia="ja-JP"/>
        </w:rPr>
        <w:t xml:space="preserve">n addition, some contributions [27, 28, 29] suggest at least for the features that are mandatory without capability signalling for non-RedCap </w:t>
      </w:r>
      <w:proofErr w:type="spellStart"/>
      <w:r>
        <w:rPr>
          <w:rFonts w:eastAsia="Yu Mincho"/>
          <w:lang w:eastAsia="ja-JP"/>
        </w:rPr>
        <w:t>Ues</w:t>
      </w:r>
      <w:proofErr w:type="spellEnd"/>
      <w:r>
        <w:rPr>
          <w:rFonts w:eastAsia="Yu Mincho"/>
          <w:lang w:eastAsia="ja-JP"/>
        </w:rPr>
        <w:t xml:space="preserve">, the RedCap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RedCap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RedCap </w:t>
                  </w:r>
                  <w:proofErr w:type="spellStart"/>
                  <w:r>
                    <w:rPr>
                      <w:rFonts w:eastAsia="DengXian"/>
                      <w:lang w:eastAsia="zh-CN"/>
                    </w:rPr>
                    <w:t>Ues</w:t>
                  </w:r>
                  <w:proofErr w:type="spellEnd"/>
                  <w:r>
                    <w:rPr>
                      <w:rFonts w:eastAsia="DengXian"/>
                      <w:lang w:eastAsia="zh-CN"/>
                    </w:rPr>
                    <w:t xml:space="preserve">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lastRenderedPageBreak/>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RedCap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 xml:space="preserve">Huawei, </w:t>
            </w:r>
            <w:proofErr w:type="spellStart"/>
            <w:r>
              <w:rPr>
                <w:rFonts w:eastAsia="SimSun"/>
                <w:lang w:val="en-US" w:eastAsia="zh-CN"/>
              </w:rPr>
              <w:t>HiSilicon</w:t>
            </w:r>
            <w:proofErr w:type="spellEnd"/>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lastRenderedPageBreak/>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RedCap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RedCap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 xml:space="preserve">Huawei, </w:t>
            </w:r>
            <w:proofErr w:type="spellStart"/>
            <w:r>
              <w:rPr>
                <w:rFonts w:eastAsia="SimSun"/>
                <w:lang w:val="en-US" w:eastAsia="zh-CN"/>
              </w:rPr>
              <w:t>HiSilicon</w:t>
            </w:r>
            <w:proofErr w:type="spellEnd"/>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RedCap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lastRenderedPageBreak/>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RedCap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RedCap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RedCap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 xml:space="preserve">apabilities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lastRenderedPageBreak/>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and also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RedCap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RedCap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lang w:val="en-US" w:eastAsia="zh-CN"/>
              </w:rPr>
            </w:pPr>
            <w:r>
              <w:rPr>
                <w:rFonts w:eastAsia="SimSun"/>
                <w:lang w:val="en-US" w:eastAsia="zh-CN"/>
              </w:rPr>
              <w:t>Y</w:t>
            </w:r>
          </w:p>
        </w:tc>
        <w:tc>
          <w:tcPr>
            <w:tcW w:w="6780" w:type="dxa"/>
          </w:tcPr>
          <w:p w14:paraId="51D02A16" w14:textId="77777777" w:rsidR="00E012E6" w:rsidRDefault="00E012E6" w:rsidP="004416B7">
            <w:pPr>
              <w:spacing w:line="252" w:lineRule="auto"/>
              <w:jc w:val="both"/>
              <w:rPr>
                <w:lang w:eastAsia="zh-CN"/>
              </w:rPr>
            </w:pPr>
          </w:p>
        </w:tc>
      </w:tr>
      <w:tr w:rsidR="00177AC2" w14:paraId="30273C36" w14:textId="77777777">
        <w:tc>
          <w:tcPr>
            <w:tcW w:w="1479" w:type="dxa"/>
          </w:tcPr>
          <w:p w14:paraId="707DEC20" w14:textId="1E6B84B6" w:rsidR="00177AC2" w:rsidRDefault="00177AC2">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29D874B9" w14:textId="1DCF00ED" w:rsidR="00177AC2" w:rsidRDefault="00177AC2">
            <w:pPr>
              <w:tabs>
                <w:tab w:val="left" w:pos="551"/>
              </w:tabs>
              <w:rPr>
                <w:rFonts w:eastAsia="SimSun"/>
                <w:lang w:val="en-US" w:eastAsia="zh-CN"/>
              </w:rPr>
            </w:pPr>
            <w:r>
              <w:rPr>
                <w:rFonts w:eastAsia="SimSun" w:hint="eastAsia"/>
                <w:lang w:val="en-US" w:eastAsia="zh-CN"/>
              </w:rPr>
              <w:t>Y</w:t>
            </w:r>
          </w:p>
        </w:tc>
        <w:tc>
          <w:tcPr>
            <w:tcW w:w="6780" w:type="dxa"/>
          </w:tcPr>
          <w:p w14:paraId="7002A2AA" w14:textId="77777777" w:rsidR="00177AC2" w:rsidRDefault="00177AC2" w:rsidP="004416B7">
            <w:pPr>
              <w:spacing w:line="252" w:lineRule="auto"/>
              <w:jc w:val="both"/>
              <w:rPr>
                <w:lang w:eastAsia="zh-CN"/>
              </w:rPr>
            </w:pPr>
          </w:p>
        </w:tc>
      </w:tr>
      <w:tr w:rsidR="0054067C" w14:paraId="75CE80D0" w14:textId="77777777">
        <w:tc>
          <w:tcPr>
            <w:tcW w:w="1479" w:type="dxa"/>
          </w:tcPr>
          <w:p w14:paraId="100EE43A" w14:textId="1CE86264" w:rsidR="0054067C" w:rsidRDefault="0054067C">
            <w:pPr>
              <w:rPr>
                <w:rFonts w:eastAsia="SimSun"/>
                <w:lang w:val="en-US" w:eastAsia="zh-CN"/>
              </w:rPr>
            </w:pPr>
            <w:r>
              <w:rPr>
                <w:rFonts w:eastAsia="SimSun" w:hint="eastAsia"/>
                <w:lang w:val="en-US" w:eastAsia="zh-CN"/>
              </w:rPr>
              <w:t>CMC</w:t>
            </w:r>
            <w:r>
              <w:rPr>
                <w:rFonts w:eastAsia="SimSun"/>
                <w:lang w:val="en-US" w:eastAsia="zh-CN"/>
              </w:rPr>
              <w:t>C</w:t>
            </w:r>
          </w:p>
        </w:tc>
        <w:tc>
          <w:tcPr>
            <w:tcW w:w="1372" w:type="dxa"/>
          </w:tcPr>
          <w:p w14:paraId="26563E05" w14:textId="1A1355A5" w:rsidR="0054067C" w:rsidRDefault="0054067C">
            <w:pPr>
              <w:tabs>
                <w:tab w:val="left" w:pos="551"/>
              </w:tabs>
              <w:rPr>
                <w:rFonts w:eastAsia="SimSun"/>
                <w:lang w:val="en-US" w:eastAsia="zh-CN"/>
              </w:rPr>
            </w:pPr>
            <w:r>
              <w:rPr>
                <w:rFonts w:eastAsia="SimSun" w:hint="eastAsia"/>
                <w:lang w:val="en-US" w:eastAsia="zh-CN"/>
              </w:rPr>
              <w:t>Y</w:t>
            </w:r>
          </w:p>
        </w:tc>
        <w:tc>
          <w:tcPr>
            <w:tcW w:w="6780" w:type="dxa"/>
          </w:tcPr>
          <w:p w14:paraId="5595FB17" w14:textId="77777777" w:rsidR="0054067C" w:rsidRDefault="0054067C" w:rsidP="004416B7">
            <w:pPr>
              <w:spacing w:line="252" w:lineRule="auto"/>
              <w:jc w:val="both"/>
              <w:rPr>
                <w:lang w:eastAsia="zh-CN"/>
              </w:rPr>
            </w:pPr>
          </w:p>
        </w:tc>
      </w:tr>
      <w:tr w:rsidR="00CA14A6" w14:paraId="54CA5735" w14:textId="77777777">
        <w:tc>
          <w:tcPr>
            <w:tcW w:w="1479" w:type="dxa"/>
          </w:tcPr>
          <w:p w14:paraId="72975B6F" w14:textId="71806797" w:rsidR="00CA14A6" w:rsidRPr="00CA14A6" w:rsidRDefault="00CA14A6">
            <w:pPr>
              <w:rPr>
                <w:rFonts w:eastAsia="Malgun Gothic"/>
                <w:lang w:val="en-US" w:eastAsia="ko-KR"/>
              </w:rPr>
            </w:pPr>
            <w:r>
              <w:rPr>
                <w:rFonts w:eastAsia="Malgun Gothic" w:hint="eastAsia"/>
                <w:lang w:val="en-US" w:eastAsia="ko-KR"/>
              </w:rPr>
              <w:lastRenderedPageBreak/>
              <w:t>LG</w:t>
            </w:r>
          </w:p>
        </w:tc>
        <w:tc>
          <w:tcPr>
            <w:tcW w:w="1372" w:type="dxa"/>
          </w:tcPr>
          <w:p w14:paraId="339B9714" w14:textId="6612F5CD" w:rsidR="00CA14A6" w:rsidRPr="00CA14A6" w:rsidRDefault="00CA14A6">
            <w:pPr>
              <w:tabs>
                <w:tab w:val="left" w:pos="551"/>
              </w:tabs>
              <w:rPr>
                <w:rFonts w:eastAsia="Malgun Gothic"/>
                <w:lang w:val="en-US" w:eastAsia="ko-KR"/>
              </w:rPr>
            </w:pPr>
            <w:r>
              <w:rPr>
                <w:rFonts w:eastAsia="Malgun Gothic" w:hint="eastAsia"/>
                <w:lang w:val="en-US" w:eastAsia="ko-KR"/>
              </w:rPr>
              <w:t>Y</w:t>
            </w:r>
          </w:p>
        </w:tc>
        <w:tc>
          <w:tcPr>
            <w:tcW w:w="6780" w:type="dxa"/>
          </w:tcPr>
          <w:p w14:paraId="72FFA784" w14:textId="77777777" w:rsidR="00CA14A6" w:rsidRDefault="00CA14A6" w:rsidP="004416B7">
            <w:pPr>
              <w:spacing w:line="252" w:lineRule="auto"/>
              <w:jc w:val="both"/>
              <w:rPr>
                <w:lang w:eastAsia="zh-CN"/>
              </w:rPr>
            </w:pPr>
          </w:p>
        </w:tc>
      </w:tr>
      <w:tr w:rsidR="00F85C3A" w14:paraId="74322000" w14:textId="77777777">
        <w:tc>
          <w:tcPr>
            <w:tcW w:w="1479" w:type="dxa"/>
          </w:tcPr>
          <w:p w14:paraId="44A17D07" w14:textId="279AEA6B" w:rsidR="00F85C3A" w:rsidRDefault="00F85C3A">
            <w:pPr>
              <w:rPr>
                <w:rFonts w:eastAsia="Malgun Gothic"/>
                <w:lang w:val="en-US" w:eastAsia="ko-KR"/>
              </w:rPr>
            </w:pPr>
            <w:r>
              <w:rPr>
                <w:rFonts w:eastAsia="Malgun Gothic"/>
                <w:lang w:val="en-US" w:eastAsia="ko-KR"/>
              </w:rPr>
              <w:t>Intel</w:t>
            </w:r>
          </w:p>
        </w:tc>
        <w:tc>
          <w:tcPr>
            <w:tcW w:w="1372" w:type="dxa"/>
          </w:tcPr>
          <w:p w14:paraId="02466065" w14:textId="7D1FE3F5" w:rsidR="00F85C3A" w:rsidRDefault="00F85C3A">
            <w:pPr>
              <w:tabs>
                <w:tab w:val="left" w:pos="551"/>
              </w:tabs>
              <w:rPr>
                <w:rFonts w:eastAsia="Malgun Gothic"/>
                <w:lang w:val="en-US" w:eastAsia="ko-KR"/>
              </w:rPr>
            </w:pPr>
            <w:r>
              <w:rPr>
                <w:rFonts w:eastAsia="Malgun Gothic"/>
                <w:lang w:val="en-US" w:eastAsia="ko-KR"/>
              </w:rPr>
              <w:t>Y</w:t>
            </w:r>
          </w:p>
        </w:tc>
        <w:tc>
          <w:tcPr>
            <w:tcW w:w="6780" w:type="dxa"/>
          </w:tcPr>
          <w:p w14:paraId="60ECB6EA" w14:textId="77777777" w:rsidR="00F85C3A" w:rsidRDefault="00F85C3A"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similar to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F25DB0">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lastRenderedPageBreak/>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RedCap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F25DB0">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F25DB0">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lastRenderedPageBreak/>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proofErr w:type="spellStart"/>
            <w:r>
              <w:rPr>
                <w:rFonts w:eastAsia="Yu Mincho"/>
                <w:lang w:eastAsia="ja-JP"/>
              </w:rPr>
              <w:t>Yuantao</w:t>
            </w:r>
            <w:proofErr w:type="spellEnd"/>
            <w:r>
              <w:rPr>
                <w:rFonts w:eastAsia="Yu Mincho"/>
                <w:lang w:eastAsia="ja-JP"/>
              </w:rPr>
              <w:t xml:space="preserve">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F25DB0">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F25DB0">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F25DB0">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F25DB0">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F25DB0">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F25DB0">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F25DB0">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F25DB0">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F25DB0">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F25DB0">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F25DB0">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F25DB0">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 xml:space="preserve">Huawei, </w:t>
            </w:r>
            <w:proofErr w:type="spellStart"/>
            <w:r>
              <w:t>HiSilicon</w:t>
            </w:r>
            <w:proofErr w:type="spellEnd"/>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F25DB0">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F25DB0">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F25DB0">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F25DB0">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F25DB0">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F25DB0">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F25DB0">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F25DB0">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F25DB0">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F25DB0">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F25DB0">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F25DB0">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F25DB0">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F25DB0">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F25DB0">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F25DB0">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F25DB0">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F25DB0">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F25DB0">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F25DB0">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F25DB0">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lastRenderedPageBreak/>
              <w:t>[23]</w:t>
            </w:r>
          </w:p>
        </w:tc>
        <w:tc>
          <w:tcPr>
            <w:tcW w:w="1456" w:type="dxa"/>
            <w:tcMar>
              <w:top w:w="0" w:type="dxa"/>
              <w:left w:w="70" w:type="dxa"/>
              <w:bottom w:w="0" w:type="dxa"/>
              <w:right w:w="70" w:type="dxa"/>
            </w:tcMar>
          </w:tcPr>
          <w:p w14:paraId="38333CEE" w14:textId="77777777" w:rsidR="005D3C1A" w:rsidRDefault="00F25DB0">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F25DB0">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F25DB0">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F25DB0">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F25DB0">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F25DB0">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F25DB0">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F25DB0">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F25DB0">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F25DB0">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 xml:space="preserve">Huawei, </w:t>
            </w:r>
            <w:proofErr w:type="spellStart"/>
            <w:r>
              <w:rPr>
                <w:lang w:eastAsia="sv-SE"/>
              </w:rPr>
              <w:t>HiSilicon</w:t>
            </w:r>
            <w:proofErr w:type="spellEnd"/>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F25DB0">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F25DB0">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70658" w14:textId="77777777" w:rsidR="00600315" w:rsidRDefault="00600315" w:rsidP="00F74CDF">
      <w:pPr>
        <w:spacing w:after="0" w:line="240" w:lineRule="auto"/>
      </w:pPr>
      <w:r>
        <w:separator/>
      </w:r>
    </w:p>
  </w:endnote>
  <w:endnote w:type="continuationSeparator" w:id="0">
    <w:p w14:paraId="02E2D7F8" w14:textId="77777777" w:rsidR="00600315" w:rsidRDefault="00600315"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MS Mincho">
    <w:altName w:val="ＭＳ 明朝"/>
    <w:panose1 w:val="02020609040205080304"/>
    <w:charset w:val="80"/>
    <w:family w:val="modern"/>
    <w:pitch w:val="fixed"/>
    <w:sig w:usb0="00000001" w:usb1="08070000" w:usb2="00000010" w:usb3="00000000" w:csb0="00020000" w:csb1="00000000"/>
  </w:font>
  <w:font w:name="Yu Mincho">
    <w:altName w:val="MS Gothic"/>
    <w:charset w:val="80"/>
    <w:family w:val="roman"/>
    <w:pitch w:val="variable"/>
    <w:sig w:usb0="00000001"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E9CE1" w14:textId="77777777" w:rsidR="00600315" w:rsidRDefault="00600315" w:rsidP="00F74CDF">
      <w:pPr>
        <w:spacing w:after="0" w:line="240" w:lineRule="auto"/>
      </w:pPr>
      <w:r>
        <w:separator/>
      </w:r>
    </w:p>
  </w:footnote>
  <w:footnote w:type="continuationSeparator" w:id="0">
    <w:p w14:paraId="05972FFB" w14:textId="77777777" w:rsidR="00600315" w:rsidRDefault="00600315"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636C850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0"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15"/>
  </w:num>
  <w:num w:numId="4">
    <w:abstractNumId w:val="18"/>
    <w:lvlOverride w:ilvl="0">
      <w:startOverride w:val="1"/>
    </w:lvlOverride>
  </w:num>
  <w:num w:numId="5">
    <w:abstractNumId w:val="10"/>
  </w:num>
  <w:num w:numId="6">
    <w:abstractNumId w:val="14"/>
  </w:num>
  <w:num w:numId="7">
    <w:abstractNumId w:val="26"/>
  </w:num>
  <w:num w:numId="8">
    <w:abstractNumId w:val="16"/>
  </w:num>
  <w:num w:numId="9">
    <w:abstractNumId w:val="11"/>
  </w:num>
  <w:num w:numId="10">
    <w:abstractNumId w:val="13"/>
  </w:num>
  <w:num w:numId="11">
    <w:abstractNumId w:val="22"/>
  </w:num>
  <w:num w:numId="12">
    <w:abstractNumId w:val="7"/>
  </w:num>
  <w:num w:numId="13">
    <w:abstractNumId w:val="21"/>
  </w:num>
  <w:num w:numId="14">
    <w:abstractNumId w:val="4"/>
  </w:num>
  <w:num w:numId="15">
    <w:abstractNumId w:val="30"/>
  </w:num>
  <w:num w:numId="16">
    <w:abstractNumId w:val="33"/>
  </w:num>
  <w:num w:numId="17">
    <w:abstractNumId w:val="17"/>
  </w:num>
  <w:num w:numId="18">
    <w:abstractNumId w:val="27"/>
  </w:num>
  <w:num w:numId="19">
    <w:abstractNumId w:val="8"/>
  </w:num>
  <w:num w:numId="20">
    <w:abstractNumId w:val="31"/>
  </w:num>
  <w:num w:numId="21">
    <w:abstractNumId w:val="29"/>
  </w:num>
  <w:num w:numId="22">
    <w:abstractNumId w:val="0"/>
  </w:num>
  <w:num w:numId="23">
    <w:abstractNumId w:val="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0"/>
  </w:num>
  <w:num w:numId="27">
    <w:abstractNumId w:val="12"/>
  </w:num>
  <w:num w:numId="28">
    <w:abstractNumId w:val="6"/>
  </w:num>
  <w:num w:numId="29">
    <w:abstractNumId w:val="25"/>
  </w:num>
  <w:num w:numId="30">
    <w:abstractNumId w:val="11"/>
  </w:num>
  <w:num w:numId="31">
    <w:abstractNumId w:val="24"/>
  </w:num>
  <w:num w:numId="32">
    <w:abstractNumId w:val="11"/>
  </w:num>
  <w:num w:numId="33">
    <w:abstractNumId w:val="32"/>
  </w:num>
  <w:num w:numId="34">
    <w:abstractNumId w:val="28"/>
  </w:num>
  <w:num w:numId="35">
    <w:abstractNumId w:val="1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hideSpellingErrors/>
  <w:proofState w:spelling="clean"/>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950"/>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AC2"/>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58B"/>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4F08"/>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67C"/>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15"/>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08E3"/>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300"/>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0F58"/>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0F4"/>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4A6"/>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4DE"/>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5DD2"/>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DB0"/>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42D"/>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C3A"/>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 w:type="paragraph" w:styleId="ListBullet">
    <w:name w:val="List Bullet"/>
    <w:basedOn w:val="Normal"/>
    <w:uiPriority w:val="99"/>
    <w:semiHidden/>
    <w:unhideWhenUsed/>
    <w:rsid w:val="0034658B"/>
    <w:pPr>
      <w:numPr>
        <w:numId w:val="36"/>
      </w:numPr>
      <w:spacing w:line="252" w:lineRule="auto"/>
      <w:contextualSpacing/>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889">
      <w:bodyDiv w:val="1"/>
      <w:marLeft w:val="0"/>
      <w:marRight w:val="0"/>
      <w:marTop w:val="0"/>
      <w:marBottom w:val="0"/>
      <w:divBdr>
        <w:top w:val="none" w:sz="0" w:space="0" w:color="auto"/>
        <w:left w:val="none" w:sz="0" w:space="0" w:color="auto"/>
        <w:bottom w:val="none" w:sz="0" w:space="0" w:color="auto"/>
        <w:right w:val="none" w:sz="0" w:space="0" w:color="auto"/>
      </w:divBdr>
    </w:div>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24EFB-06D1-4EB0-B4BE-F144648C5C30}">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17442</Words>
  <Characters>93772</Characters>
  <Application>Microsoft Office Word</Application>
  <DocSecurity>0</DocSecurity>
  <Lines>781</Lines>
  <Paragraphs>221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Chatterjee, Debdeep</cp:lastModifiedBy>
  <cp:revision>7</cp:revision>
  <dcterms:created xsi:type="dcterms:W3CDTF">2021-08-25T06:27:00Z</dcterms:created>
  <dcterms:modified xsi:type="dcterms:W3CDTF">2021-08-25T07:05:00Z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