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">
                <v:textbo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lastRenderedPageBreak/>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w:t>
            </w:r>
            <w:r>
              <w:rPr>
                <w:sz w:val="20"/>
                <w:szCs w:val="20"/>
              </w:rPr>
              <w:lastRenderedPageBreak/>
              <w:t xml:space="preserve">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lastRenderedPageBreak/>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lastRenderedPageBreak/>
              <w:t>A1: Yes, we share same view as FL</w:t>
            </w:r>
          </w:p>
          <w:p w14:paraId="0843E861" w14:textId="77777777" w:rsidR="00C01785" w:rsidRDefault="004D6702">
            <w:pPr>
              <w:pStyle w:val="BodyText"/>
              <w:spacing w:after="0"/>
              <w:ind w:right="27"/>
            </w:pPr>
            <w:r>
              <w:t>A2&amp;A3: Yes, additional (</w:t>
            </w:r>
            <w:proofErr w:type="spellStart"/>
            <w:r>
              <w:t>UE_EIRP,TxBF</w:t>
            </w:r>
            <w:proofErr w:type="spell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lastRenderedPageBreak/>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lastRenderedPageBreak/>
              <w:t xml:space="preserve">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lastRenderedPageBreak/>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w:t>
      </w:r>
      <w:r>
        <w:rPr>
          <w:rFonts w:cs="Arial"/>
          <w:lang w:val="en-US"/>
        </w:rPr>
        <w:lastRenderedPageBreak/>
        <w:t>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lastRenderedPageBreak/>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w:t>
            </w:r>
            <w:r>
              <w:rPr>
                <w:rFonts w:eastAsia="Malgun Gothic"/>
                <w:lang w:val="en-US" w:eastAsia="ko-KR"/>
              </w:rPr>
              <w:lastRenderedPageBreak/>
              <w:t xml:space="preserve">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lastRenderedPageBreak/>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lastRenderedPageBreak/>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r>
              <w:lastRenderedPageBreak/>
              <w:t>Futurewei</w:t>
            </w:r>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BodyText"/>
              <w:spacing w:after="0"/>
              <w:ind w:right="27"/>
            </w:pPr>
            <w:r>
              <w:t xml:space="preserve">Intel </w:t>
            </w:r>
          </w:p>
        </w:tc>
        <w:tc>
          <w:tcPr>
            <w:tcW w:w="7560" w:type="dxa"/>
          </w:tcPr>
          <w:p w14:paraId="40B0361D" w14:textId="3894A792" w:rsidR="00B13008" w:rsidRDefault="00B13008" w:rsidP="00362491">
            <w:pPr>
              <w:pStyle w:val="BodyText"/>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BodyText"/>
              <w:spacing w:after="0"/>
              <w:ind w:right="27"/>
              <w:rPr>
                <w:lang w:val="en-US"/>
              </w:rPr>
            </w:pPr>
          </w:p>
          <w:p w14:paraId="332526C6" w14:textId="01CBEABB" w:rsidR="00F16B8B" w:rsidRDefault="00F16B8B" w:rsidP="00362491">
            <w:pPr>
              <w:pStyle w:val="BodyText"/>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BodyText"/>
              <w:spacing w:after="0"/>
              <w:ind w:right="27"/>
              <w:rPr>
                <w:lang w:val="en-US"/>
              </w:rPr>
            </w:pPr>
          </w:p>
          <w:p w14:paraId="58039CE8" w14:textId="4318D53F" w:rsidR="00B13008" w:rsidRDefault="00B13008" w:rsidP="00362491">
            <w:pPr>
              <w:pStyle w:val="BodyText"/>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BodyText"/>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BodyText"/>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BodyText"/>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BodyText"/>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BodyText"/>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BodyText"/>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BodyText"/>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BodyText"/>
              <w:spacing w:after="0"/>
              <w:ind w:right="27"/>
              <w:rPr>
                <w:b/>
                <w:bCs/>
                <w:sz w:val="20"/>
                <w:lang w:val="en-US"/>
              </w:rPr>
            </w:pPr>
          </w:p>
          <w:p w14:paraId="2737F8E8" w14:textId="7F438EE2" w:rsidR="00DB35D4" w:rsidRPr="00F813B7" w:rsidRDefault="00DB35D4" w:rsidP="00DB35D4">
            <w:pPr>
              <w:pStyle w:val="BodyText"/>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BodyText"/>
              <w:spacing w:after="0"/>
              <w:ind w:right="27"/>
              <w:rPr>
                <w:b/>
                <w:bCs/>
                <w:sz w:val="20"/>
                <w:lang w:val="en-US"/>
              </w:rPr>
            </w:pPr>
          </w:p>
          <w:p w14:paraId="57F20BF8" w14:textId="181043E6" w:rsidR="001831CE" w:rsidRPr="00F813B7" w:rsidRDefault="001831CE" w:rsidP="00DB35D4">
            <w:pPr>
              <w:pStyle w:val="BodyText"/>
              <w:spacing w:after="0"/>
              <w:ind w:right="27"/>
              <w:rPr>
                <w:b/>
                <w:bCs/>
                <w:sz w:val="20"/>
                <w:lang w:val="en-US"/>
              </w:rPr>
            </w:pPr>
            <w:r w:rsidRPr="00F813B7">
              <w:rPr>
                <w:b/>
                <w:bCs/>
                <w:noProof/>
                <w:lang w:val="en-US"/>
              </w:rPr>
              <w:lastRenderedPageBreak/>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83A2F37" w:rsidR="00DB35D4" w:rsidRPr="00F813B7" w:rsidRDefault="00DB35D4" w:rsidP="00DB35D4">
            <w:pPr>
              <w:pStyle w:val="BodyText"/>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BodyText"/>
              <w:spacing w:after="0"/>
              <w:ind w:right="27"/>
              <w:rPr>
                <w:b/>
                <w:bCs/>
                <w:sz w:val="20"/>
                <w:lang w:val="en-US"/>
              </w:rPr>
            </w:pPr>
          </w:p>
          <w:p w14:paraId="372608F6" w14:textId="7F7D54FE" w:rsidR="001831CE" w:rsidRPr="00F813B7" w:rsidRDefault="001831CE" w:rsidP="00DB35D4">
            <w:pPr>
              <w:pStyle w:val="BodyText"/>
              <w:spacing w:after="0"/>
              <w:ind w:right="27"/>
              <w:rPr>
                <w:b/>
                <w:bCs/>
                <w:sz w:val="20"/>
                <w:lang w:val="en-US"/>
              </w:rPr>
            </w:pPr>
            <w:r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BodyText"/>
              <w:spacing w:after="0"/>
              <w:ind w:right="27"/>
              <w:rPr>
                <w:b/>
                <w:bCs/>
                <w:sz w:val="20"/>
                <w:lang w:val="en-US"/>
              </w:rPr>
            </w:pPr>
          </w:p>
          <w:p w14:paraId="3751A162" w14:textId="7DCE16E4" w:rsidR="001831CE" w:rsidRPr="00F813B7" w:rsidRDefault="001831CE" w:rsidP="00DB35D4">
            <w:pPr>
              <w:pStyle w:val="BodyText"/>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BodyText"/>
              <w:spacing w:after="0"/>
              <w:ind w:right="27"/>
              <w:rPr>
                <w:b/>
                <w:bCs/>
                <w:sz w:val="20"/>
                <w:lang w:val="en-US"/>
              </w:rPr>
            </w:pPr>
          </w:p>
        </w:tc>
      </w:tr>
      <w:tr w:rsidR="00DB35D4" w:rsidRPr="00DB35D4" w14:paraId="71E7F868" w14:textId="77777777">
        <w:tc>
          <w:tcPr>
            <w:tcW w:w="1525" w:type="dxa"/>
          </w:tcPr>
          <w:p w14:paraId="6E2C8CD3" w14:textId="77777777" w:rsidR="00DB35D4" w:rsidRDefault="00DB35D4" w:rsidP="00362491">
            <w:pPr>
              <w:pStyle w:val="BodyText"/>
              <w:spacing w:after="0"/>
              <w:ind w:right="27"/>
            </w:pPr>
          </w:p>
        </w:tc>
        <w:tc>
          <w:tcPr>
            <w:tcW w:w="7560" w:type="dxa"/>
          </w:tcPr>
          <w:p w14:paraId="3E23790F" w14:textId="77777777" w:rsidR="00DB35D4" w:rsidRDefault="00DB35D4" w:rsidP="00362491">
            <w:pPr>
              <w:pStyle w:val="BodyText"/>
              <w:spacing w:after="0"/>
              <w:ind w:right="27"/>
              <w:rPr>
                <w:lang w:val="en-US"/>
              </w:rPr>
            </w:pP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lastRenderedPageBreak/>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1A78EF">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6.75pt;height:14.75pt;mso-width-percent:0;mso-height-percent:0;mso-width-percent:0;mso-height-percent:0" equationxml="&lt;">
                  <v:imagedata r:id="rId17" o:title="" chromakey="white"/>
                </v:shape>
              </w:pict>
            </w:r>
            <w:r>
              <w:rPr>
                <w:i/>
                <w:iCs/>
                <w:lang w:val="en-US"/>
              </w:rPr>
              <w:t xml:space="preserve">  where </w:t>
            </w:r>
            <w:r w:rsidR="001A78EF">
              <w:rPr>
                <w:noProof/>
                <w:position w:val="-5"/>
                <w:sz w:val="20"/>
                <w:szCs w:val="20"/>
              </w:rPr>
              <w:pict w14:anchorId="75E3EE8B">
                <v:shape id="_x0000_i1025" type="#_x0000_t75" alt="" style="width:35.7pt;height:14.75pt;mso-width-percent:0;mso-height-percent:0;mso-width-percent:0;mso-height-percent:0" equationxml="&lt;">
                  <v:imagedata r:id="rId18"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lastRenderedPageBreak/>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lastRenderedPageBreak/>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lastRenderedPageBreak/>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lastRenderedPageBreak/>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lastRenderedPageBreak/>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w:t>
            </w:r>
            <w:r>
              <w:rPr>
                <w:rFonts w:eastAsia="SimSun"/>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lastRenderedPageBreak/>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lastRenderedPageBreak/>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lastRenderedPageBreak/>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lastRenderedPageBreak/>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lastRenderedPageBreak/>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lastRenderedPageBreak/>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BodyText"/>
              <w:spacing w:after="0"/>
              <w:ind w:right="27"/>
              <w:rPr>
                <w:lang w:val="en-US"/>
              </w:rPr>
            </w:pPr>
            <w:r>
              <w:rPr>
                <w:lang w:val="en-US"/>
              </w:rPr>
              <w:t>Intel</w:t>
            </w:r>
          </w:p>
        </w:tc>
        <w:tc>
          <w:tcPr>
            <w:tcW w:w="7560" w:type="dxa"/>
          </w:tcPr>
          <w:p w14:paraId="0CA48A4E" w14:textId="26D9A9FC" w:rsidR="005862DF" w:rsidRDefault="00EC53AE" w:rsidP="005862DF">
            <w:pPr>
              <w:pStyle w:val="BodyText"/>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BodyText"/>
              <w:spacing w:after="0"/>
              <w:ind w:right="27"/>
              <w:rPr>
                <w:lang w:val="en-US"/>
              </w:rPr>
            </w:pPr>
            <w:r>
              <w:rPr>
                <w:lang w:val="en-US"/>
              </w:rPr>
              <w:t>Apple</w:t>
            </w:r>
          </w:p>
        </w:tc>
        <w:tc>
          <w:tcPr>
            <w:tcW w:w="7560" w:type="dxa"/>
          </w:tcPr>
          <w:p w14:paraId="71E79513" w14:textId="6C847C64" w:rsidR="006C65FE" w:rsidRDefault="006C65FE" w:rsidP="005862DF">
            <w:pPr>
              <w:pStyle w:val="BodyText"/>
              <w:spacing w:after="0"/>
              <w:ind w:right="27"/>
              <w:rPr>
                <w:lang w:val="en-US"/>
              </w:rPr>
            </w:pPr>
            <w:r>
              <w:rPr>
                <w:lang w:val="en-US"/>
              </w:rPr>
              <w:t xml:space="preserve">We have strong concerns in supporting both. </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lastRenderedPageBreak/>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lastRenderedPageBreak/>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lastRenderedPageBreak/>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 xml:space="preserve">For DMRS of enhanced PF4, again, there is a very strong majority view for supporting Alt-1 (13 companies for Alt-1; 1 company for Alt-2). Given that two companies found no gain from Alt-2, and that </w:t>
      </w:r>
      <w:r>
        <w:rPr>
          <w:rFonts w:cs="Arial"/>
          <w:lang w:val="en-US"/>
        </w:rPr>
        <w:lastRenderedPageBreak/>
        <w:t>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lastRenderedPageBreak/>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lastRenderedPageBreak/>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lastRenderedPageBreak/>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1A78EF">
                              <w:rPr>
                                <w:rFonts w:eastAsia="SimSun"/>
                                <w:noProof/>
                                <w:position w:val="-12"/>
                                <w:highlight w:val="yellow"/>
                              </w:rPr>
                              <w:object w:dxaOrig="420" w:dyaOrig="300" w14:anchorId="4CF61AC0">
                                <v:shape id="_x0000_i1034" type="#_x0000_t75" alt="" style="width:21pt;height:14.75pt;mso-width-percent:0;mso-height-percent:0;mso-width-percent:0;mso-height-percent:0">
                                  <v:imagedata r:id="rId19" o:title=""/>
                                </v:shape>
                                <o:OLEObject Type="Embed" ProgID="Equation.3" ShapeID="_x0000_i1034" DrawAspect="Content" ObjectID="_1691420771" r:id="rId20"/>
                              </w:object>
                            </w:r>
                            <w:r>
                              <w:rPr>
                                <w:rFonts w:eastAsia="SimSun" w:hint="eastAsia"/>
                                <w:highlight w:val="yellow"/>
                                <w:lang w:eastAsia="zh-CN"/>
                              </w:rPr>
                              <w:t xml:space="preserve"> is given by Table 6.3.1.4-1, where </w:t>
                            </w:r>
                            <w:r w:rsidR="001A78EF">
                              <w:rPr>
                                <w:rFonts w:eastAsia="SimSun"/>
                                <w:noProof/>
                                <w:position w:val="-14"/>
                                <w:highlight w:val="yellow"/>
                              </w:rPr>
                              <w:object w:dxaOrig="720" w:dyaOrig="420" w14:anchorId="186D17A9">
                                <v:shape id="_x0000_i1033" type="#_x0000_t75" alt="" style="width:36.3pt;height:21pt;mso-width-percent:0;mso-height-percent:0;mso-width-percent:0;mso-height-percent:0">
                                  <v:imagedata r:id="rId21" o:title=""/>
                                </v:shape>
                                <o:OLEObject Type="Embed" ProgID="Equation.3" ShapeID="_x0000_i1033" DrawAspect="Content" ObjectID="_1691420772" r:id="rId22"/>
                              </w:object>
                            </w:r>
                            <w:r>
                              <w:rPr>
                                <w:rFonts w:eastAsia="SimSun" w:hint="eastAsia"/>
                                <w:highlight w:val="yellow"/>
                                <w:lang w:eastAsia="zh-CN"/>
                              </w:rPr>
                              <w:t xml:space="preserve"> , </w:t>
                            </w:r>
                            <w:r w:rsidR="001A78EF">
                              <w:rPr>
                                <w:rFonts w:eastAsia="SimSun"/>
                                <w:noProof/>
                                <w:position w:val="-14"/>
                                <w:highlight w:val="yellow"/>
                              </w:rPr>
                              <w:object w:dxaOrig="720" w:dyaOrig="420" w14:anchorId="2C31750E">
                                <v:shape id="_x0000_i1032" type="#_x0000_t75" alt="" style="width:36.3pt;height:21pt;mso-width-percent:0;mso-height-percent:0;mso-width-percent:0;mso-height-percent:0">
                                  <v:imagedata r:id="rId23" o:title=""/>
                                </v:shape>
                                <o:OLEObject Type="Embed" ProgID="Equation.3" ShapeID="_x0000_i1032" DrawAspect="Content" ObjectID="_1691420773" r:id="rId24"/>
                              </w:object>
                            </w:r>
                            <w:r>
                              <w:rPr>
                                <w:rFonts w:eastAsia="SimSun" w:hint="eastAsia"/>
                                <w:highlight w:val="yellow"/>
                                <w:lang w:eastAsia="zh-CN"/>
                              </w:rPr>
                              <w:t>,</w:t>
                            </w:r>
                            <w:r>
                              <w:rPr>
                                <w:rFonts w:eastAsia="SimSun" w:hint="eastAsia"/>
                                <w:lang w:eastAsia="zh-CN"/>
                              </w:rPr>
                              <w:t xml:space="preserve"> and </w:t>
                            </w:r>
                            <w:r w:rsidR="001A78EF">
                              <w:rPr>
                                <w:rFonts w:eastAsia="SimSun"/>
                                <w:noProof/>
                                <w:position w:val="-14"/>
                              </w:rPr>
                              <w:object w:dxaOrig="720" w:dyaOrig="420" w14:anchorId="00645895">
                                <v:shape id="_x0000_i1031" type="#_x0000_t75" alt="" style="width:36.3pt;height:21pt;mso-width-percent:0;mso-height-percent:0;mso-width-percent:0;mso-height-percent:0">
                                  <v:imagedata r:id="rId25" o:title=""/>
                                </v:shape>
                                <o:OLEObject Type="Embed" ProgID="Equation.3" ShapeID="_x0000_i1031" DrawAspect="Content" ObjectID="_1691420774"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1A78EF">
                              <w:rPr>
                                <w:rFonts w:eastAsia="SimSun"/>
                                <w:noProof/>
                                <w:position w:val="-10"/>
                                <w:highlight w:val="yellow"/>
                              </w:rPr>
                              <w:object w:dxaOrig="720" w:dyaOrig="300" w14:anchorId="24A6EBFA">
                                <v:shape id="_x0000_i1030" type="#_x0000_t75" alt="" style="width:36.3pt;height:14.75pt;mso-width-percent:0;mso-height-percent:0;mso-width-percent:0;mso-height-percent:0">
                                  <v:imagedata r:id="rId27" o:title=""/>
                                </v:shape>
                                <o:OLEObject Type="Embed" ProgID="Equation.3" ShapeID="_x0000_i1030" DrawAspect="Content" ObjectID="_1691420775" r:id="rId28"/>
                              </w:object>
                            </w:r>
                            <w:r>
                              <w:rPr>
                                <w:rFonts w:eastAsia="SimSun" w:hint="eastAsia"/>
                                <w:highlight w:val="yellow"/>
                                <w:lang w:eastAsia="zh-CN"/>
                              </w:rPr>
                              <w:t xml:space="preserve"> and </w:t>
                            </w:r>
                            <w:r w:rsidR="001A78EF">
                              <w:rPr>
                                <w:rFonts w:eastAsia="SimSun"/>
                                <w:noProof/>
                                <w:position w:val="-10"/>
                                <w:highlight w:val="yellow"/>
                              </w:rPr>
                              <w:object w:dxaOrig="720" w:dyaOrig="300" w14:anchorId="32B790DE">
                                <v:shape id="_x0000_i1029" type="#_x0000_t75" alt="" style="width:36.3pt;height:14.75pt;mso-width-percent:0;mso-height-percent:0;mso-width-percent:0;mso-height-percent:0">
                                  <v:imagedata r:id="rId29" o:title=""/>
                                </v:shape>
                                <o:OLEObject Type="Embed" ProgID="Equation.3" ShapeID="_x0000_i1029" DrawAspect="Content" ObjectID="_1691420776"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1A78EF">
                              <w:rPr>
                                <w:rFonts w:eastAsia="SimSun"/>
                                <w:noProof/>
                                <w:position w:val="-12"/>
                              </w:rPr>
                              <w:object w:dxaOrig="720" w:dyaOrig="300" w14:anchorId="473D5B9B">
                                <v:shape id="_x0000_i1028" type="#_x0000_t75" alt="" style="width:36.3pt;height:14.75pt;mso-width-percent:0;mso-height-percent:0;mso-width-percent:0;mso-height-percent:0">
                                  <v:imagedata r:id="rId31" o:title=""/>
                                </v:shape>
                                <o:OLEObject Type="Embed" ProgID="Equation.3" ShapeID="_x0000_i1028" DrawAspect="Content" ObjectID="_1691420777"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1A78EF">
                              <w:rPr>
                                <w:rFonts w:eastAsia="SimSun"/>
                                <w:b/>
                                <w:noProof/>
                                <w:position w:val="-12"/>
                              </w:rPr>
                              <w:object w:dxaOrig="420" w:dyaOrig="300" w14:anchorId="17F023AD">
                                <v:shape id="_x0000_i1027" type="#_x0000_t75" alt="" style="width:21pt;height:14.75pt;mso-width-percent:0;mso-height-percent:0;mso-width-percent:0;mso-height-percent:0">
                                  <v:imagedata r:id="rId33" o:title=""/>
                                </v:shape>
                                <o:OLEObject Type="Embed" ProgID="Equation.3" ShapeID="_x0000_i1027" DrawAspect="Content" ObjectID="_1691420778"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">
                <v:textbox>
                  <w:txbxContent>
                    <w:p w14:paraId="5AB55517" w14:textId="77777777" w:rsidR="00DB35D4" w:rsidRDefault="00DB35D4">
                      <w:pPr>
                        <w:pStyle w:val="BodyText"/>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1A78EF">
                        <w:rPr>
                          <w:rFonts w:eastAsia="SimSun"/>
                          <w:noProof/>
                          <w:position w:val="-12"/>
                          <w:highlight w:val="yellow"/>
                        </w:rPr>
                        <w:object w:dxaOrig="420" w:dyaOrig="300" w14:anchorId="4CF61AC0">
                          <v:shape id="_x0000_i1034" type="#_x0000_t75" alt="" style="width:21pt;height:14.75pt;mso-width-percent:0;mso-height-percent:0;mso-width-percent:0;mso-height-percent:0">
                            <v:imagedata r:id="rId19" o:title=""/>
                          </v:shape>
                          <o:OLEObject Type="Embed" ProgID="Equation.3" ShapeID="_x0000_i1034" DrawAspect="Content" ObjectID="_1691420771" r:id="rId35"/>
                        </w:object>
                      </w:r>
                      <w:r>
                        <w:rPr>
                          <w:rFonts w:eastAsia="SimSun" w:hint="eastAsia"/>
                          <w:highlight w:val="yellow"/>
                          <w:lang w:eastAsia="zh-CN"/>
                        </w:rPr>
                        <w:t xml:space="preserve"> is given by Table 6.3.1.4-1, where </w:t>
                      </w:r>
                      <w:r w:rsidR="001A78EF">
                        <w:rPr>
                          <w:rFonts w:eastAsia="SimSun"/>
                          <w:noProof/>
                          <w:position w:val="-14"/>
                          <w:highlight w:val="yellow"/>
                        </w:rPr>
                        <w:object w:dxaOrig="720" w:dyaOrig="420" w14:anchorId="186D17A9">
                          <v:shape id="_x0000_i1033" type="#_x0000_t75" alt="" style="width:36.3pt;height:21pt;mso-width-percent:0;mso-height-percent:0;mso-width-percent:0;mso-height-percent:0">
                            <v:imagedata r:id="rId21" o:title=""/>
                          </v:shape>
                          <o:OLEObject Type="Embed" ProgID="Equation.3" ShapeID="_x0000_i1033" DrawAspect="Content" ObjectID="_1691420772" r:id="rId36"/>
                        </w:object>
                      </w:r>
                      <w:r>
                        <w:rPr>
                          <w:rFonts w:eastAsia="SimSun" w:hint="eastAsia"/>
                          <w:highlight w:val="yellow"/>
                          <w:lang w:eastAsia="zh-CN"/>
                        </w:rPr>
                        <w:t xml:space="preserve"> , </w:t>
                      </w:r>
                      <w:r w:rsidR="001A78EF">
                        <w:rPr>
                          <w:rFonts w:eastAsia="SimSun"/>
                          <w:noProof/>
                          <w:position w:val="-14"/>
                          <w:highlight w:val="yellow"/>
                        </w:rPr>
                        <w:object w:dxaOrig="720" w:dyaOrig="420" w14:anchorId="2C31750E">
                          <v:shape id="_x0000_i1032" type="#_x0000_t75" alt="" style="width:36.3pt;height:21pt;mso-width-percent:0;mso-height-percent:0;mso-width-percent:0;mso-height-percent:0">
                            <v:imagedata r:id="rId23" o:title=""/>
                          </v:shape>
                          <o:OLEObject Type="Embed" ProgID="Equation.3" ShapeID="_x0000_i1032" DrawAspect="Content" ObjectID="_1691420773" r:id="rId37"/>
                        </w:object>
                      </w:r>
                      <w:r>
                        <w:rPr>
                          <w:rFonts w:eastAsia="SimSun" w:hint="eastAsia"/>
                          <w:highlight w:val="yellow"/>
                          <w:lang w:eastAsia="zh-CN"/>
                        </w:rPr>
                        <w:t>,</w:t>
                      </w:r>
                      <w:r>
                        <w:rPr>
                          <w:rFonts w:eastAsia="SimSun" w:hint="eastAsia"/>
                          <w:lang w:eastAsia="zh-CN"/>
                        </w:rPr>
                        <w:t xml:space="preserve"> and </w:t>
                      </w:r>
                      <w:r w:rsidR="001A78EF">
                        <w:rPr>
                          <w:rFonts w:eastAsia="SimSun"/>
                          <w:noProof/>
                          <w:position w:val="-14"/>
                        </w:rPr>
                        <w:object w:dxaOrig="720" w:dyaOrig="420" w14:anchorId="00645895">
                          <v:shape id="_x0000_i1031" type="#_x0000_t75" alt="" style="width:36.3pt;height:21pt;mso-width-percent:0;mso-height-percent:0;mso-width-percent:0;mso-height-percent:0">
                            <v:imagedata r:id="rId25" o:title=""/>
                          </v:shape>
                          <o:OLEObject Type="Embed" ProgID="Equation.3" ShapeID="_x0000_i1031" DrawAspect="Content" ObjectID="_1691420774"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1A78EF">
                        <w:rPr>
                          <w:rFonts w:eastAsia="SimSun"/>
                          <w:noProof/>
                          <w:position w:val="-10"/>
                          <w:highlight w:val="yellow"/>
                        </w:rPr>
                        <w:object w:dxaOrig="720" w:dyaOrig="300" w14:anchorId="24A6EBFA">
                          <v:shape id="_x0000_i1030" type="#_x0000_t75" alt="" style="width:36.3pt;height:14.75pt;mso-width-percent:0;mso-height-percent:0;mso-width-percent:0;mso-height-percent:0">
                            <v:imagedata r:id="rId27" o:title=""/>
                          </v:shape>
                          <o:OLEObject Type="Embed" ProgID="Equation.3" ShapeID="_x0000_i1030" DrawAspect="Content" ObjectID="_1691420775" r:id="rId39"/>
                        </w:object>
                      </w:r>
                      <w:r>
                        <w:rPr>
                          <w:rFonts w:eastAsia="SimSun" w:hint="eastAsia"/>
                          <w:highlight w:val="yellow"/>
                          <w:lang w:eastAsia="zh-CN"/>
                        </w:rPr>
                        <w:t xml:space="preserve"> and </w:t>
                      </w:r>
                      <w:r w:rsidR="001A78EF">
                        <w:rPr>
                          <w:rFonts w:eastAsia="SimSun"/>
                          <w:noProof/>
                          <w:position w:val="-10"/>
                          <w:highlight w:val="yellow"/>
                        </w:rPr>
                        <w:object w:dxaOrig="720" w:dyaOrig="300" w14:anchorId="32B790DE">
                          <v:shape id="_x0000_i1029" type="#_x0000_t75" alt="" style="width:36.3pt;height:14.75pt;mso-width-percent:0;mso-height-percent:0;mso-width-percent:0;mso-height-percent:0">
                            <v:imagedata r:id="rId29" o:title=""/>
                          </v:shape>
                          <o:OLEObject Type="Embed" ProgID="Equation.3" ShapeID="_x0000_i1029" DrawAspect="Content" ObjectID="_1691420776"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1A78EF">
                        <w:rPr>
                          <w:rFonts w:eastAsia="SimSun"/>
                          <w:noProof/>
                          <w:position w:val="-12"/>
                        </w:rPr>
                        <w:object w:dxaOrig="720" w:dyaOrig="300" w14:anchorId="473D5B9B">
                          <v:shape id="_x0000_i1028" type="#_x0000_t75" alt="" style="width:36.3pt;height:14.75pt;mso-width-percent:0;mso-height-percent:0;mso-width-percent:0;mso-height-percent:0">
                            <v:imagedata r:id="rId31" o:title=""/>
                          </v:shape>
                          <o:OLEObject Type="Embed" ProgID="Equation.3" ShapeID="_x0000_i1028" DrawAspect="Content" ObjectID="_1691420777"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1A78EF">
                        <w:rPr>
                          <w:rFonts w:eastAsia="SimSun"/>
                          <w:b/>
                          <w:noProof/>
                          <w:position w:val="-12"/>
                        </w:rPr>
                        <w:object w:dxaOrig="420" w:dyaOrig="300" w14:anchorId="17F023AD">
                          <v:shape id="_x0000_i1027" type="#_x0000_t75" alt="" style="width:21pt;height:14.75pt;mso-width-percent:0;mso-height-percent:0;mso-width-percent:0;mso-height-percent:0">
                            <v:imagedata r:id="rId33" o:title=""/>
                          </v:shape>
                          <o:OLEObject Type="Embed" ProgID="Equation.3" ShapeID="_x0000_i1027" DrawAspect="Content" ObjectID="_1691420778"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SimSun"/>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SimSun"/>
                                <w:sz w:val="18"/>
                                <w:lang w:eastAsia="zh-CN"/>
                              </w:rPr>
                            </w:pPr>
                            <w:r>
                              <w:rPr>
                                <w:rFonts w:eastAsia="SimSun"/>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DB35D4" w:rsidRDefault="00DB35D4"/>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lastRenderedPageBreak/>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lastRenderedPageBreak/>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lastRenderedPageBreak/>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lastRenderedPageBreak/>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lastRenderedPageBreak/>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lastRenderedPageBreak/>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lastRenderedPageBreak/>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lastRenderedPageBreak/>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lastRenderedPageBreak/>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lastRenderedPageBreak/>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lastRenderedPageBreak/>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3D2EA36E" w:rsidR="00C01785" w:rsidRDefault="004D6702">
            <w:pPr>
              <w:pStyle w:val="BodyText"/>
              <w:spacing w:after="0"/>
              <w:ind w:right="27"/>
              <w:rPr>
                <w:rFonts w:eastAsia="SimSun"/>
                <w:sz w:val="20"/>
                <w:szCs w:val="20"/>
                <w:lang w:val="en-US"/>
              </w:rPr>
            </w:pPr>
            <w:r>
              <w:rPr>
                <w:rFonts w:eastAsia="SimSun"/>
                <w:sz w:val="20"/>
                <w:szCs w:val="20"/>
                <w:lang w:val="en-US"/>
              </w:rPr>
              <w:t xml:space="preserve">We are fine with Example </w:t>
            </w:r>
            <w:r w:rsidR="006C65FE">
              <w:rPr>
                <w:rFonts w:eastAsia="SimSun"/>
                <w:lang w:val="en-US"/>
              </w:rPr>
              <w:t>construction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 xml:space="preserve">the indicated N_RB and initial UL BWP size are compatible to </w:t>
            </w:r>
            <w:r>
              <w:lastRenderedPageBreak/>
              <w:t>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lastRenderedPageBreak/>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lastRenderedPageBreak/>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6D63" w14:textId="77777777" w:rsidR="001A78EF" w:rsidRDefault="001A78EF">
      <w:pPr>
        <w:spacing w:after="0" w:line="240" w:lineRule="auto"/>
      </w:pPr>
      <w:r>
        <w:separator/>
      </w:r>
    </w:p>
  </w:endnote>
  <w:endnote w:type="continuationSeparator" w:id="0">
    <w:p w14:paraId="29394786" w14:textId="77777777" w:rsidR="001A78EF" w:rsidRDefault="001A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B0604020202020204"/>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panose1 w:val="020B0604020202020204"/>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550" w14:textId="1E729F87" w:rsidR="00DB35D4" w:rsidRDefault="00DB35D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AF69" w14:textId="77777777" w:rsidR="001A78EF" w:rsidRDefault="001A78EF">
      <w:pPr>
        <w:spacing w:after="0" w:line="240" w:lineRule="auto"/>
      </w:pPr>
      <w:r>
        <w:separator/>
      </w:r>
    </w:p>
  </w:footnote>
  <w:footnote w:type="continuationSeparator" w:id="0">
    <w:p w14:paraId="52361A1D" w14:textId="77777777" w:rsidR="001A78EF" w:rsidRDefault="001A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CBF" w14:textId="77777777" w:rsidR="00DB35D4" w:rsidRDefault="00DB35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2"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7"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11"/>
  </w:num>
  <w:num w:numId="4">
    <w:abstractNumId w:val="24"/>
  </w:num>
  <w:num w:numId="5">
    <w:abstractNumId w:val="22"/>
  </w:num>
  <w:num w:numId="6">
    <w:abstractNumId w:val="55"/>
  </w:num>
  <w:num w:numId="7">
    <w:abstractNumId w:val="0"/>
  </w:num>
  <w:num w:numId="8">
    <w:abstractNumId w:val="70"/>
  </w:num>
  <w:num w:numId="9">
    <w:abstractNumId w:val="30"/>
  </w:num>
  <w:num w:numId="10">
    <w:abstractNumId w:val="44"/>
  </w:num>
  <w:num w:numId="11">
    <w:abstractNumId w:val="38"/>
  </w:num>
  <w:num w:numId="12">
    <w:abstractNumId w:val="47"/>
  </w:num>
  <w:num w:numId="13">
    <w:abstractNumId w:val="50"/>
  </w:num>
  <w:num w:numId="14">
    <w:abstractNumId w:val="37"/>
  </w:num>
  <w:num w:numId="15">
    <w:abstractNumId w:val="32"/>
  </w:num>
  <w:num w:numId="16">
    <w:abstractNumId w:val="72"/>
  </w:num>
  <w:num w:numId="17">
    <w:abstractNumId w:val="61"/>
  </w:num>
  <w:num w:numId="18">
    <w:abstractNumId w:val="46"/>
  </w:num>
  <w:num w:numId="19">
    <w:abstractNumId w:val="69"/>
  </w:num>
  <w:num w:numId="20">
    <w:abstractNumId w:val="66"/>
  </w:num>
  <w:num w:numId="21">
    <w:abstractNumId w:val="59"/>
  </w:num>
  <w:num w:numId="22">
    <w:abstractNumId w:val="41"/>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4"/>
  </w:num>
  <w:num w:numId="31">
    <w:abstractNumId w:val="58"/>
  </w:num>
  <w:num w:numId="32">
    <w:abstractNumId w:val="73"/>
  </w:num>
  <w:num w:numId="33">
    <w:abstractNumId w:val="4"/>
  </w:num>
  <w:num w:numId="34">
    <w:abstractNumId w:val="54"/>
  </w:num>
  <w:num w:numId="35">
    <w:abstractNumId w:val="15"/>
  </w:num>
  <w:num w:numId="36">
    <w:abstractNumId w:val="56"/>
  </w:num>
  <w:num w:numId="37">
    <w:abstractNumId w:val="39"/>
  </w:num>
  <w:num w:numId="38">
    <w:abstractNumId w:val="35"/>
  </w:num>
  <w:num w:numId="39">
    <w:abstractNumId w:val="21"/>
  </w:num>
  <w:num w:numId="40">
    <w:abstractNumId w:val="63"/>
  </w:num>
  <w:num w:numId="41">
    <w:abstractNumId w:val="48"/>
  </w:num>
  <w:num w:numId="42">
    <w:abstractNumId w:val="2"/>
  </w:num>
  <w:num w:numId="43">
    <w:abstractNumId w:val="1"/>
  </w:num>
  <w:num w:numId="44">
    <w:abstractNumId w:val="71"/>
  </w:num>
  <w:num w:numId="45">
    <w:abstractNumId w:val="10"/>
  </w:num>
  <w:num w:numId="46">
    <w:abstractNumId w:val="40"/>
  </w:num>
  <w:num w:numId="47">
    <w:abstractNumId w:val="49"/>
  </w:num>
  <w:num w:numId="48">
    <w:abstractNumId w:val="29"/>
  </w:num>
  <w:num w:numId="49">
    <w:abstractNumId w:val="18"/>
  </w:num>
  <w:num w:numId="50">
    <w:abstractNumId w:val="53"/>
  </w:num>
  <w:num w:numId="51">
    <w:abstractNumId w:val="60"/>
  </w:num>
  <w:num w:numId="52">
    <w:abstractNumId w:val="36"/>
  </w:num>
  <w:num w:numId="53">
    <w:abstractNumId w:val="45"/>
  </w:num>
  <w:num w:numId="54">
    <w:abstractNumId w:val="42"/>
  </w:num>
  <w:num w:numId="55">
    <w:abstractNumId w:val="52"/>
  </w:num>
  <w:num w:numId="56">
    <w:abstractNumId w:val="57"/>
  </w:num>
  <w:num w:numId="57">
    <w:abstractNumId w:val="33"/>
  </w:num>
  <w:num w:numId="58">
    <w:abstractNumId w:val="14"/>
  </w:num>
  <w:num w:numId="59">
    <w:abstractNumId w:val="62"/>
  </w:num>
  <w:num w:numId="60">
    <w:abstractNumId w:val="7"/>
  </w:num>
  <w:num w:numId="61">
    <w:abstractNumId w:val="12"/>
  </w:num>
  <w:num w:numId="62">
    <w:abstractNumId w:val="16"/>
  </w:num>
  <w:num w:numId="63">
    <w:abstractNumId w:val="67"/>
  </w:num>
  <w:num w:numId="64">
    <w:abstractNumId w:val="3"/>
  </w:num>
  <w:num w:numId="65">
    <w:abstractNumId w:val="5"/>
  </w:num>
  <w:num w:numId="66">
    <w:abstractNumId w:val="19"/>
  </w:num>
  <w:num w:numId="67">
    <w:abstractNumId w:val="43"/>
  </w:num>
  <w:num w:numId="68">
    <w:abstractNumId w:val="68"/>
  </w:num>
  <w:num w:numId="69">
    <w:abstractNumId w:val="13"/>
  </w:num>
  <w:num w:numId="70">
    <w:abstractNumId w:val="51"/>
  </w:num>
  <w:num w:numId="71">
    <w:abstractNumId w:val="8"/>
  </w:num>
  <w:num w:numId="72">
    <w:abstractNumId w:val="28"/>
  </w:num>
  <w:num w:numId="73">
    <w:abstractNumId w:val="31"/>
  </w:num>
  <w:num w:numId="74">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6D"/>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3.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8.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18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customXml/itemProps4.xml><?xml version="1.0" encoding="utf-8"?>
<ds:datastoreItem xmlns:ds="http://schemas.openxmlformats.org/officeDocument/2006/customXml" ds:itemID="{5D5782BC-144C-4AAC-A911-305A66A99986}">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4</TotalTime>
  <Pages>66</Pages>
  <Words>24142</Words>
  <Characters>137611</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2021-08-26T00:52:00Z</dcterms:created>
  <dcterms:modified xsi:type="dcterms:W3CDTF">2021-08-26T00:52:00Z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