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43015F" w:rsidRDefault="0043015F">
                            <w:pPr>
                              <w:spacing w:before="120" w:after="60"/>
                              <w:rPr>
                                <w:rFonts w:eastAsia="Malgun Gothic"/>
                                <w:b/>
                                <w:bCs/>
                                <w:lang w:eastAsia="en-GB"/>
                              </w:rPr>
                            </w:pPr>
                            <w:r>
                              <w:rPr>
                                <w:rFonts w:eastAsia="Malgun Gothic"/>
                                <w:b/>
                                <w:bCs/>
                                <w:lang w:eastAsia="en-GB"/>
                              </w:rPr>
                              <w:t>Answer</w:t>
                            </w:r>
                          </w:p>
                          <w:p w14:paraId="769A9222" w14:textId="77777777" w:rsidR="0043015F" w:rsidRDefault="0043015F">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43015F" w:rsidRDefault="0043015F">
                            <w:pPr>
                              <w:spacing w:after="0" w:line="240" w:lineRule="auto"/>
                              <w:rPr>
                                <w:rFonts w:eastAsia="Malgun Gothic"/>
                                <w:lang w:eastAsia="en-GB"/>
                              </w:rPr>
                            </w:pPr>
                          </w:p>
                          <w:p w14:paraId="4B93B186" w14:textId="77777777" w:rsidR="0043015F" w:rsidRDefault="0043015F">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43015F" w:rsidRDefault="0043015F">
                            <w:pPr>
                              <w:spacing w:after="0" w:line="240" w:lineRule="auto"/>
                              <w:rPr>
                                <w:rFonts w:eastAsia="Malgun Gothic"/>
                                <w:lang w:eastAsia="en-GB"/>
                              </w:rPr>
                            </w:pPr>
                          </w:p>
                          <w:p w14:paraId="4722A51A" w14:textId="77777777" w:rsidR="0043015F" w:rsidRDefault="0043015F">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43015F" w:rsidRDefault="0043015F">
                            <w:pPr>
                              <w:spacing w:after="120" w:line="240" w:lineRule="auto"/>
                              <w:rPr>
                                <w:rFonts w:eastAsia="Malgun Gothic"/>
                                <w:lang w:eastAsia="en-GB"/>
                              </w:rPr>
                            </w:pPr>
                          </w:p>
                          <w:p w14:paraId="779C9A64" w14:textId="77777777" w:rsidR="0043015F" w:rsidRDefault="0043015F">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43015F" w14:paraId="6E9AF3B8" w14:textId="77777777">
                              <w:trPr>
                                <w:trHeight w:val="576"/>
                                <w:jc w:val="center"/>
                              </w:trPr>
                              <w:tc>
                                <w:tcPr>
                                  <w:tcW w:w="2592" w:type="dxa"/>
                                  <w:tcBorders>
                                    <w:top w:val="double" w:sz="12" w:space="0" w:color="auto"/>
                                    <w:left w:val="nil"/>
                                  </w:tcBorders>
                                  <w:vAlign w:val="center"/>
                                </w:tcPr>
                                <w:p w14:paraId="4DDBF712" w14:textId="77777777" w:rsidR="0043015F" w:rsidRDefault="0043015F">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r>
                            <w:tr w:rsidR="0043015F" w14:paraId="7382C728" w14:textId="77777777">
                              <w:trPr>
                                <w:trHeight w:val="288"/>
                                <w:jc w:val="center"/>
                              </w:trPr>
                              <w:tc>
                                <w:tcPr>
                                  <w:tcW w:w="2592" w:type="dxa"/>
                                  <w:vMerge w:val="restart"/>
                                  <w:tcBorders>
                                    <w:left w:val="nil"/>
                                  </w:tcBorders>
                                  <w:vAlign w:val="center"/>
                                </w:tcPr>
                                <w:p w14:paraId="4984D147" w14:textId="77777777" w:rsidR="0043015F" w:rsidRDefault="0043015F">
                                  <w:pPr>
                                    <w:spacing w:after="40"/>
                                    <w:rPr>
                                      <w:rFonts w:eastAsia="Malgun Gothic"/>
                                      <w:sz w:val="18"/>
                                      <w:szCs w:val="18"/>
                                      <w:lang w:eastAsia="en-GB"/>
                                    </w:rPr>
                                  </w:pPr>
                                  <w:r>
                                    <w:rPr>
                                      <w:rFonts w:eastAsia="Malgun Gothic"/>
                                      <w:sz w:val="18"/>
                                      <w:szCs w:val="18"/>
                                      <w:lang w:eastAsia="en-GB"/>
                                    </w:rPr>
                                    <w:t>Power class 1</w:t>
                                  </w:r>
                                </w:p>
                                <w:p w14:paraId="075D7F51"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43015F" w:rsidRDefault="0043015F">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43015F" w:rsidRDefault="0043015F">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43015F" w:rsidRDefault="0043015F">
                                  <w:pPr>
                                    <w:spacing w:after="0"/>
                                    <w:jc w:val="center"/>
                                    <w:rPr>
                                      <w:rFonts w:eastAsia="Malgun Gothic"/>
                                      <w:sz w:val="18"/>
                                      <w:szCs w:val="18"/>
                                      <w:lang w:eastAsia="en-GB"/>
                                    </w:rPr>
                                  </w:pPr>
                                  <w:r>
                                    <w:rPr>
                                      <w:rFonts w:eastAsia="Malgun Gothic"/>
                                      <w:sz w:val="18"/>
                                      <w:szCs w:val="18"/>
                                      <w:lang w:eastAsia="en-GB"/>
                                    </w:rPr>
                                    <w:t>55</w:t>
                                  </w:r>
                                </w:p>
                              </w:tc>
                            </w:tr>
                            <w:tr w:rsidR="0043015F" w14:paraId="3CA58DD5" w14:textId="77777777">
                              <w:trPr>
                                <w:trHeight w:val="288"/>
                                <w:jc w:val="center"/>
                              </w:trPr>
                              <w:tc>
                                <w:tcPr>
                                  <w:tcW w:w="2592" w:type="dxa"/>
                                  <w:vMerge/>
                                  <w:tcBorders>
                                    <w:left w:val="nil"/>
                                    <w:bottom w:val="single" w:sz="12" w:space="0" w:color="auto"/>
                                  </w:tcBorders>
                                  <w:vAlign w:val="center"/>
                                </w:tcPr>
                                <w:p w14:paraId="7B1F4B14" w14:textId="77777777" w:rsidR="0043015F" w:rsidRDefault="0043015F">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43015F" w:rsidRDefault="0043015F">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43015F" w:rsidRDefault="0043015F">
                                  <w:pPr>
                                    <w:spacing w:after="0"/>
                                    <w:jc w:val="center"/>
                                    <w:rPr>
                                      <w:rFonts w:eastAsia="Malgun Gothic"/>
                                      <w:sz w:val="18"/>
                                      <w:szCs w:val="18"/>
                                      <w:lang w:eastAsia="en-GB"/>
                                    </w:rPr>
                                  </w:pPr>
                                </w:p>
                              </w:tc>
                            </w:tr>
                            <w:tr w:rsidR="0043015F" w14:paraId="41CBD996" w14:textId="77777777">
                              <w:trPr>
                                <w:trHeight w:val="432"/>
                                <w:jc w:val="center"/>
                              </w:trPr>
                              <w:tc>
                                <w:tcPr>
                                  <w:tcW w:w="2592" w:type="dxa"/>
                                  <w:tcBorders>
                                    <w:left w:val="nil"/>
                                    <w:bottom w:val="single" w:sz="12" w:space="0" w:color="auto"/>
                                  </w:tcBorders>
                                  <w:vAlign w:val="center"/>
                                </w:tcPr>
                                <w:p w14:paraId="363EE8DD" w14:textId="77777777" w:rsidR="0043015F" w:rsidRDefault="0043015F">
                                  <w:pPr>
                                    <w:spacing w:after="40"/>
                                    <w:rPr>
                                      <w:rFonts w:eastAsia="Malgun Gothic"/>
                                      <w:sz w:val="18"/>
                                      <w:szCs w:val="18"/>
                                      <w:lang w:eastAsia="en-GB"/>
                                    </w:rPr>
                                  </w:pPr>
                                  <w:r>
                                    <w:rPr>
                                      <w:rFonts w:eastAsia="Malgun Gothic"/>
                                      <w:sz w:val="18"/>
                                      <w:szCs w:val="18"/>
                                      <w:lang w:eastAsia="en-GB"/>
                                    </w:rPr>
                                    <w:t>Power class 2</w:t>
                                  </w:r>
                                </w:p>
                                <w:p w14:paraId="267840E0" w14:textId="77777777" w:rsidR="0043015F" w:rsidRDefault="0043015F">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43015F" w:rsidRDefault="0043015F">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43015F" w:rsidRDefault="0043015F">
                                  <w:pPr>
                                    <w:spacing w:after="40"/>
                                    <w:rPr>
                                      <w:rFonts w:eastAsia="Malgun Gothic"/>
                                      <w:sz w:val="18"/>
                                      <w:szCs w:val="18"/>
                                      <w:lang w:eastAsia="en-GB"/>
                                    </w:rPr>
                                  </w:pPr>
                                  <w:r>
                                    <w:rPr>
                                      <w:rFonts w:eastAsia="Malgun Gothic"/>
                                      <w:sz w:val="18"/>
                                      <w:szCs w:val="18"/>
                                      <w:lang w:eastAsia="en-GB"/>
                                    </w:rPr>
                                    <w:t>Power class 3</w:t>
                                  </w:r>
                                </w:p>
                                <w:p w14:paraId="42D4E8A2" w14:textId="77777777" w:rsidR="0043015F" w:rsidRDefault="0043015F">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43015F" w:rsidRDefault="0043015F">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6F905842" w14:textId="77777777">
                              <w:trPr>
                                <w:trHeight w:val="288"/>
                                <w:jc w:val="center"/>
                              </w:trPr>
                              <w:tc>
                                <w:tcPr>
                                  <w:tcW w:w="2592" w:type="dxa"/>
                                  <w:vMerge/>
                                  <w:tcBorders>
                                    <w:left w:val="nil"/>
                                  </w:tcBorders>
                                  <w:vAlign w:val="center"/>
                                </w:tcPr>
                                <w:p w14:paraId="4BF9021D" w14:textId="77777777" w:rsidR="0043015F" w:rsidRDefault="0043015F">
                                  <w:pPr>
                                    <w:spacing w:after="0"/>
                                    <w:rPr>
                                      <w:rFonts w:eastAsia="Malgun Gothic"/>
                                      <w:sz w:val="18"/>
                                      <w:szCs w:val="18"/>
                                      <w:lang w:eastAsia="en-GB"/>
                                    </w:rPr>
                                  </w:pPr>
                                </w:p>
                              </w:tc>
                              <w:tc>
                                <w:tcPr>
                                  <w:tcW w:w="1440" w:type="dxa"/>
                                  <w:vMerge/>
                                </w:tcPr>
                                <w:p w14:paraId="2AD3015B" w14:textId="77777777" w:rsidR="0043015F" w:rsidRDefault="0043015F">
                                  <w:pPr>
                                    <w:spacing w:after="0"/>
                                    <w:rPr>
                                      <w:rFonts w:eastAsia="Malgun Gothic"/>
                                      <w:sz w:val="18"/>
                                      <w:szCs w:val="18"/>
                                      <w:lang w:eastAsia="en-GB"/>
                                    </w:rPr>
                                  </w:pPr>
                                </w:p>
                              </w:tc>
                              <w:tc>
                                <w:tcPr>
                                  <w:tcW w:w="1584" w:type="dxa"/>
                                  <w:vAlign w:val="center"/>
                                </w:tcPr>
                                <w:p w14:paraId="7BE7CC55"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43015F" w:rsidRDefault="0043015F">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43015F" w:rsidRDefault="0043015F">
                                  <w:pPr>
                                    <w:spacing w:after="0"/>
                                    <w:jc w:val="center"/>
                                    <w:rPr>
                                      <w:rFonts w:eastAsia="Malgun Gothic"/>
                                      <w:sz w:val="18"/>
                                      <w:szCs w:val="18"/>
                                      <w:lang w:eastAsia="en-GB"/>
                                    </w:rPr>
                                  </w:pPr>
                                </w:p>
                              </w:tc>
                            </w:tr>
                            <w:tr w:rsidR="0043015F" w14:paraId="4E5F3C39" w14:textId="77777777">
                              <w:trPr>
                                <w:trHeight w:val="288"/>
                                <w:jc w:val="center"/>
                              </w:trPr>
                              <w:tc>
                                <w:tcPr>
                                  <w:tcW w:w="2592" w:type="dxa"/>
                                  <w:vMerge/>
                                  <w:tcBorders>
                                    <w:left w:val="nil"/>
                                  </w:tcBorders>
                                  <w:vAlign w:val="center"/>
                                </w:tcPr>
                                <w:p w14:paraId="0F96E194" w14:textId="77777777" w:rsidR="0043015F" w:rsidRDefault="0043015F">
                                  <w:pPr>
                                    <w:spacing w:after="0"/>
                                    <w:rPr>
                                      <w:rFonts w:eastAsia="Malgun Gothic"/>
                                      <w:sz w:val="18"/>
                                      <w:szCs w:val="18"/>
                                      <w:lang w:eastAsia="en-GB"/>
                                    </w:rPr>
                                  </w:pPr>
                                </w:p>
                              </w:tc>
                              <w:tc>
                                <w:tcPr>
                                  <w:tcW w:w="1440" w:type="dxa"/>
                                  <w:vMerge/>
                                </w:tcPr>
                                <w:p w14:paraId="2A589926" w14:textId="77777777" w:rsidR="0043015F" w:rsidRDefault="0043015F">
                                  <w:pPr>
                                    <w:spacing w:after="0"/>
                                    <w:rPr>
                                      <w:rFonts w:eastAsia="Malgun Gothic"/>
                                      <w:sz w:val="18"/>
                                      <w:szCs w:val="18"/>
                                      <w:lang w:eastAsia="en-GB"/>
                                    </w:rPr>
                                  </w:pPr>
                                </w:p>
                              </w:tc>
                              <w:tc>
                                <w:tcPr>
                                  <w:tcW w:w="1584" w:type="dxa"/>
                                  <w:vAlign w:val="center"/>
                                </w:tcPr>
                                <w:p w14:paraId="23F80AFE" w14:textId="77777777" w:rsidR="0043015F" w:rsidRDefault="0043015F">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43015F" w:rsidRDefault="0043015F">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43015F" w:rsidRDefault="0043015F">
                                  <w:pPr>
                                    <w:spacing w:after="0"/>
                                    <w:jc w:val="center"/>
                                    <w:rPr>
                                      <w:rFonts w:eastAsia="Malgun Gothic"/>
                                      <w:sz w:val="18"/>
                                      <w:szCs w:val="18"/>
                                      <w:lang w:eastAsia="en-GB"/>
                                    </w:rPr>
                                  </w:pPr>
                                </w:p>
                              </w:tc>
                            </w:tr>
                            <w:tr w:rsidR="0043015F" w14:paraId="365D67D9" w14:textId="77777777">
                              <w:trPr>
                                <w:trHeight w:val="288"/>
                                <w:jc w:val="center"/>
                              </w:trPr>
                              <w:tc>
                                <w:tcPr>
                                  <w:tcW w:w="2592" w:type="dxa"/>
                                  <w:vMerge/>
                                  <w:tcBorders>
                                    <w:left w:val="nil"/>
                                    <w:bottom w:val="single" w:sz="12" w:space="0" w:color="auto"/>
                                  </w:tcBorders>
                                  <w:vAlign w:val="center"/>
                                </w:tcPr>
                                <w:p w14:paraId="369636C4"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3BBFD1CC"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43015F" w:rsidRDefault="0043015F">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43015F" w:rsidRDefault="0043015F">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43015F" w:rsidRDefault="0043015F">
                                  <w:pPr>
                                    <w:spacing w:after="0"/>
                                    <w:jc w:val="center"/>
                                    <w:rPr>
                                      <w:rFonts w:eastAsia="Malgun Gothic"/>
                                      <w:sz w:val="18"/>
                                      <w:szCs w:val="18"/>
                                      <w:lang w:eastAsia="en-GB"/>
                                    </w:rPr>
                                  </w:pPr>
                                </w:p>
                              </w:tc>
                            </w:tr>
                            <w:tr w:rsidR="0043015F"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43015F" w:rsidRDefault="0043015F">
                                  <w:pPr>
                                    <w:spacing w:after="40"/>
                                    <w:rPr>
                                      <w:rFonts w:eastAsia="Malgun Gothic"/>
                                      <w:sz w:val="18"/>
                                      <w:szCs w:val="18"/>
                                      <w:lang w:eastAsia="en-GB"/>
                                    </w:rPr>
                                  </w:pPr>
                                  <w:r>
                                    <w:rPr>
                                      <w:rFonts w:eastAsia="Malgun Gothic"/>
                                      <w:sz w:val="18"/>
                                      <w:szCs w:val="18"/>
                                      <w:lang w:eastAsia="en-GB"/>
                                    </w:rPr>
                                    <w:t>Power class 4</w:t>
                                  </w:r>
                                </w:p>
                                <w:p w14:paraId="35526D82" w14:textId="77777777" w:rsidR="0043015F" w:rsidRDefault="0043015F">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43015F" w:rsidRDefault="0043015F">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040215F0" w14:textId="77777777">
                              <w:trPr>
                                <w:trHeight w:val="288"/>
                                <w:jc w:val="center"/>
                              </w:trPr>
                              <w:tc>
                                <w:tcPr>
                                  <w:tcW w:w="2592" w:type="dxa"/>
                                  <w:vMerge/>
                                  <w:tcBorders>
                                    <w:left w:val="nil"/>
                                    <w:bottom w:val="single" w:sz="12" w:space="0" w:color="auto"/>
                                  </w:tcBorders>
                                  <w:vAlign w:val="center"/>
                                </w:tcPr>
                                <w:p w14:paraId="3FF16815"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2B32C107"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43015F" w:rsidRDefault="0043015F">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43015F" w:rsidRDefault="0043015F">
                                  <w:pPr>
                                    <w:spacing w:after="0"/>
                                    <w:jc w:val="center"/>
                                    <w:rPr>
                                      <w:rFonts w:eastAsia="Malgun Gothic"/>
                                      <w:sz w:val="18"/>
                                      <w:szCs w:val="18"/>
                                      <w:lang w:eastAsia="en-GB"/>
                                    </w:rPr>
                                  </w:pPr>
                                </w:p>
                              </w:tc>
                            </w:tr>
                            <w:tr w:rsidR="0043015F"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43015F" w:rsidRDefault="0043015F">
                                  <w:pPr>
                                    <w:spacing w:after="40"/>
                                    <w:rPr>
                                      <w:rFonts w:eastAsia="Malgun Gothic"/>
                                      <w:sz w:val="18"/>
                                      <w:szCs w:val="18"/>
                                      <w:lang w:eastAsia="en-GB"/>
                                    </w:rPr>
                                  </w:pPr>
                                  <w:r>
                                    <w:rPr>
                                      <w:rFonts w:eastAsia="Malgun Gothic"/>
                                      <w:sz w:val="18"/>
                                      <w:szCs w:val="18"/>
                                      <w:lang w:eastAsia="en-GB"/>
                                    </w:rPr>
                                    <w:t>Power class 5</w:t>
                                  </w:r>
                                </w:p>
                                <w:p w14:paraId="0E3975AF"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43015F" w:rsidRDefault="0043015F">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43015F" w:rsidRDefault="0043015F">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4154F909" w14:textId="77777777">
                              <w:trPr>
                                <w:trHeight w:val="288"/>
                                <w:jc w:val="center"/>
                              </w:trPr>
                              <w:tc>
                                <w:tcPr>
                                  <w:tcW w:w="2592" w:type="dxa"/>
                                  <w:vMerge/>
                                  <w:tcBorders>
                                    <w:left w:val="nil"/>
                                    <w:bottom w:val="single" w:sz="12" w:space="0" w:color="auto"/>
                                  </w:tcBorders>
                                  <w:vAlign w:val="center"/>
                                </w:tcPr>
                                <w:p w14:paraId="3A4C140B" w14:textId="77777777" w:rsidR="0043015F" w:rsidRDefault="0043015F">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43015F" w:rsidRDefault="0043015F">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43015F" w:rsidRDefault="0043015F">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43015F" w:rsidRDefault="0043015F">
                                  <w:pPr>
                                    <w:spacing w:after="0"/>
                                    <w:jc w:val="center"/>
                                    <w:rPr>
                                      <w:rFonts w:eastAsia="Malgun Gothic"/>
                                      <w:sz w:val="18"/>
                                      <w:szCs w:val="18"/>
                                      <w:lang w:eastAsia="en-GB"/>
                                    </w:rPr>
                                  </w:pPr>
                                </w:p>
                              </w:tc>
                            </w:tr>
                          </w:tbl>
                          <w:p w14:paraId="73E2A722" w14:textId="77777777" w:rsidR="0043015F" w:rsidRDefault="0043015F">
                            <w:pPr>
                              <w:spacing w:after="0" w:line="240" w:lineRule="auto"/>
                              <w:rPr>
                                <w:rFonts w:eastAsia="Malgun Gothic"/>
                                <w:sz w:val="10"/>
                                <w:szCs w:val="10"/>
                                <w:lang w:eastAsia="en-GB"/>
                              </w:rPr>
                            </w:pPr>
                          </w:p>
                          <w:p w14:paraId="5932AD86" w14:textId="77777777" w:rsidR="0043015F" w:rsidRDefault="0043015F">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43015F" w:rsidRDefault="0043015F">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43015F" w:rsidRDefault="0043015F">
                            <w:pPr>
                              <w:spacing w:after="60" w:line="240" w:lineRule="auto"/>
                              <w:rPr>
                                <w:rFonts w:eastAsia="Malgun Gothic"/>
                                <w:lang w:eastAsia="en-GB"/>
                              </w:rPr>
                            </w:pPr>
                          </w:p>
                          <w:p w14:paraId="379E4BA7" w14:textId="77777777" w:rsidR="0043015F" w:rsidRDefault="0043015F">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43015F" w:rsidRDefault="0043015F"/>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43015F" w:rsidRDefault="0043015F">
                      <w:pPr>
                        <w:spacing w:before="120" w:after="60"/>
                        <w:rPr>
                          <w:rFonts w:eastAsia="Malgun Gothic"/>
                          <w:b/>
                          <w:bCs/>
                          <w:lang w:eastAsia="en-GB"/>
                        </w:rPr>
                      </w:pPr>
                      <w:r>
                        <w:rPr>
                          <w:rFonts w:eastAsia="Malgun Gothic"/>
                          <w:b/>
                          <w:bCs/>
                          <w:lang w:eastAsia="en-GB"/>
                        </w:rPr>
                        <w:t>Answer</w:t>
                      </w:r>
                    </w:p>
                    <w:p w14:paraId="769A9222" w14:textId="77777777" w:rsidR="0043015F" w:rsidRDefault="0043015F">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43015F" w:rsidRDefault="0043015F">
                      <w:pPr>
                        <w:spacing w:after="0" w:line="240" w:lineRule="auto"/>
                        <w:rPr>
                          <w:rFonts w:eastAsia="Malgun Gothic"/>
                          <w:lang w:eastAsia="en-GB"/>
                        </w:rPr>
                      </w:pPr>
                    </w:p>
                    <w:p w14:paraId="4B93B186" w14:textId="77777777" w:rsidR="0043015F" w:rsidRDefault="0043015F">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43015F" w:rsidRDefault="0043015F">
                      <w:pPr>
                        <w:spacing w:after="0" w:line="240" w:lineRule="auto"/>
                        <w:rPr>
                          <w:rFonts w:eastAsia="Malgun Gothic"/>
                          <w:lang w:eastAsia="en-GB"/>
                        </w:rPr>
                      </w:pPr>
                    </w:p>
                    <w:p w14:paraId="4722A51A" w14:textId="77777777" w:rsidR="0043015F" w:rsidRDefault="0043015F">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43015F" w:rsidRDefault="0043015F">
                      <w:pPr>
                        <w:spacing w:after="120" w:line="240" w:lineRule="auto"/>
                        <w:rPr>
                          <w:rFonts w:eastAsia="Malgun Gothic"/>
                          <w:lang w:eastAsia="en-GB"/>
                        </w:rPr>
                      </w:pPr>
                    </w:p>
                    <w:p w14:paraId="779C9A64" w14:textId="77777777" w:rsidR="0043015F" w:rsidRDefault="0043015F">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43015F" w14:paraId="6E9AF3B8" w14:textId="77777777">
                        <w:trPr>
                          <w:trHeight w:val="576"/>
                          <w:jc w:val="center"/>
                        </w:trPr>
                        <w:tc>
                          <w:tcPr>
                            <w:tcW w:w="2592" w:type="dxa"/>
                            <w:tcBorders>
                              <w:top w:val="double" w:sz="12" w:space="0" w:color="auto"/>
                              <w:left w:val="nil"/>
                            </w:tcBorders>
                            <w:vAlign w:val="center"/>
                          </w:tcPr>
                          <w:p w14:paraId="4DDBF712" w14:textId="77777777" w:rsidR="0043015F" w:rsidRDefault="0043015F">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43015F" w:rsidRDefault="0043015F">
                            <w:pPr>
                              <w:spacing w:after="0"/>
                              <w:jc w:val="center"/>
                              <w:rPr>
                                <w:rFonts w:eastAsia="Malgun Gothic"/>
                                <w:b/>
                                <w:bCs/>
                                <w:sz w:val="18"/>
                                <w:szCs w:val="18"/>
                                <w:lang w:eastAsia="en-GB"/>
                              </w:rPr>
                            </w:pPr>
                            <w:r>
                              <w:rPr>
                                <w:rFonts w:eastAsia="Malgun Gothic"/>
                                <w:b/>
                                <w:bCs/>
                                <w:sz w:val="18"/>
                                <w:szCs w:val="18"/>
                                <w:lang w:eastAsia="en-GB"/>
                              </w:rPr>
                              <w:t>[dBm]</w:t>
                            </w:r>
                          </w:p>
                        </w:tc>
                      </w:tr>
                      <w:tr w:rsidR="0043015F" w14:paraId="7382C728" w14:textId="77777777">
                        <w:trPr>
                          <w:trHeight w:val="288"/>
                          <w:jc w:val="center"/>
                        </w:trPr>
                        <w:tc>
                          <w:tcPr>
                            <w:tcW w:w="2592" w:type="dxa"/>
                            <w:vMerge w:val="restart"/>
                            <w:tcBorders>
                              <w:left w:val="nil"/>
                            </w:tcBorders>
                            <w:vAlign w:val="center"/>
                          </w:tcPr>
                          <w:p w14:paraId="4984D147" w14:textId="77777777" w:rsidR="0043015F" w:rsidRDefault="0043015F">
                            <w:pPr>
                              <w:spacing w:after="40"/>
                              <w:rPr>
                                <w:rFonts w:eastAsia="Malgun Gothic"/>
                                <w:sz w:val="18"/>
                                <w:szCs w:val="18"/>
                                <w:lang w:eastAsia="en-GB"/>
                              </w:rPr>
                            </w:pPr>
                            <w:r>
                              <w:rPr>
                                <w:rFonts w:eastAsia="Malgun Gothic"/>
                                <w:sz w:val="18"/>
                                <w:szCs w:val="18"/>
                                <w:lang w:eastAsia="en-GB"/>
                              </w:rPr>
                              <w:t>Power class 1</w:t>
                            </w:r>
                          </w:p>
                          <w:p w14:paraId="075D7F51"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43015F" w:rsidRDefault="0043015F">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43015F" w:rsidRDefault="0043015F">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43015F" w:rsidRDefault="0043015F">
                            <w:pPr>
                              <w:spacing w:after="0"/>
                              <w:jc w:val="center"/>
                              <w:rPr>
                                <w:rFonts w:eastAsia="Malgun Gothic"/>
                                <w:sz w:val="18"/>
                                <w:szCs w:val="18"/>
                                <w:lang w:eastAsia="en-GB"/>
                              </w:rPr>
                            </w:pPr>
                            <w:r>
                              <w:rPr>
                                <w:rFonts w:eastAsia="Malgun Gothic"/>
                                <w:sz w:val="18"/>
                                <w:szCs w:val="18"/>
                                <w:lang w:eastAsia="en-GB"/>
                              </w:rPr>
                              <w:t>55</w:t>
                            </w:r>
                          </w:p>
                        </w:tc>
                      </w:tr>
                      <w:tr w:rsidR="0043015F" w14:paraId="3CA58DD5" w14:textId="77777777">
                        <w:trPr>
                          <w:trHeight w:val="288"/>
                          <w:jc w:val="center"/>
                        </w:trPr>
                        <w:tc>
                          <w:tcPr>
                            <w:tcW w:w="2592" w:type="dxa"/>
                            <w:vMerge/>
                            <w:tcBorders>
                              <w:left w:val="nil"/>
                              <w:bottom w:val="single" w:sz="12" w:space="0" w:color="auto"/>
                            </w:tcBorders>
                            <w:vAlign w:val="center"/>
                          </w:tcPr>
                          <w:p w14:paraId="7B1F4B14" w14:textId="77777777" w:rsidR="0043015F" w:rsidRDefault="0043015F">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43015F" w:rsidRDefault="0043015F">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43015F" w:rsidRDefault="0043015F">
                            <w:pPr>
                              <w:spacing w:after="0"/>
                              <w:jc w:val="center"/>
                              <w:rPr>
                                <w:rFonts w:eastAsia="Malgun Gothic"/>
                                <w:sz w:val="18"/>
                                <w:szCs w:val="18"/>
                                <w:lang w:eastAsia="en-GB"/>
                              </w:rPr>
                            </w:pPr>
                          </w:p>
                        </w:tc>
                      </w:tr>
                      <w:tr w:rsidR="0043015F" w14:paraId="41CBD996" w14:textId="77777777">
                        <w:trPr>
                          <w:trHeight w:val="432"/>
                          <w:jc w:val="center"/>
                        </w:trPr>
                        <w:tc>
                          <w:tcPr>
                            <w:tcW w:w="2592" w:type="dxa"/>
                            <w:tcBorders>
                              <w:left w:val="nil"/>
                              <w:bottom w:val="single" w:sz="12" w:space="0" w:color="auto"/>
                            </w:tcBorders>
                            <w:vAlign w:val="center"/>
                          </w:tcPr>
                          <w:p w14:paraId="363EE8DD" w14:textId="77777777" w:rsidR="0043015F" w:rsidRDefault="0043015F">
                            <w:pPr>
                              <w:spacing w:after="40"/>
                              <w:rPr>
                                <w:rFonts w:eastAsia="Malgun Gothic"/>
                                <w:sz w:val="18"/>
                                <w:szCs w:val="18"/>
                                <w:lang w:eastAsia="en-GB"/>
                              </w:rPr>
                            </w:pPr>
                            <w:r>
                              <w:rPr>
                                <w:rFonts w:eastAsia="Malgun Gothic"/>
                                <w:sz w:val="18"/>
                                <w:szCs w:val="18"/>
                                <w:lang w:eastAsia="en-GB"/>
                              </w:rPr>
                              <w:t>Power class 2</w:t>
                            </w:r>
                          </w:p>
                          <w:p w14:paraId="267840E0" w14:textId="77777777" w:rsidR="0043015F" w:rsidRDefault="0043015F">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43015F" w:rsidRDefault="0043015F">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43015F" w:rsidRDefault="0043015F">
                            <w:pPr>
                              <w:spacing w:after="40"/>
                              <w:rPr>
                                <w:rFonts w:eastAsia="Malgun Gothic"/>
                                <w:sz w:val="18"/>
                                <w:szCs w:val="18"/>
                                <w:lang w:eastAsia="en-GB"/>
                              </w:rPr>
                            </w:pPr>
                            <w:r>
                              <w:rPr>
                                <w:rFonts w:eastAsia="Malgun Gothic"/>
                                <w:sz w:val="18"/>
                                <w:szCs w:val="18"/>
                                <w:lang w:eastAsia="en-GB"/>
                              </w:rPr>
                              <w:t>Power class 3</w:t>
                            </w:r>
                          </w:p>
                          <w:p w14:paraId="42D4E8A2" w14:textId="77777777" w:rsidR="0043015F" w:rsidRDefault="0043015F">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43015F" w:rsidRDefault="0043015F">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6F905842" w14:textId="77777777">
                        <w:trPr>
                          <w:trHeight w:val="288"/>
                          <w:jc w:val="center"/>
                        </w:trPr>
                        <w:tc>
                          <w:tcPr>
                            <w:tcW w:w="2592" w:type="dxa"/>
                            <w:vMerge/>
                            <w:tcBorders>
                              <w:left w:val="nil"/>
                            </w:tcBorders>
                            <w:vAlign w:val="center"/>
                          </w:tcPr>
                          <w:p w14:paraId="4BF9021D" w14:textId="77777777" w:rsidR="0043015F" w:rsidRDefault="0043015F">
                            <w:pPr>
                              <w:spacing w:after="0"/>
                              <w:rPr>
                                <w:rFonts w:eastAsia="Malgun Gothic"/>
                                <w:sz w:val="18"/>
                                <w:szCs w:val="18"/>
                                <w:lang w:eastAsia="en-GB"/>
                              </w:rPr>
                            </w:pPr>
                          </w:p>
                        </w:tc>
                        <w:tc>
                          <w:tcPr>
                            <w:tcW w:w="1440" w:type="dxa"/>
                            <w:vMerge/>
                          </w:tcPr>
                          <w:p w14:paraId="2AD3015B" w14:textId="77777777" w:rsidR="0043015F" w:rsidRDefault="0043015F">
                            <w:pPr>
                              <w:spacing w:after="0"/>
                              <w:rPr>
                                <w:rFonts w:eastAsia="Malgun Gothic"/>
                                <w:sz w:val="18"/>
                                <w:szCs w:val="18"/>
                                <w:lang w:eastAsia="en-GB"/>
                              </w:rPr>
                            </w:pPr>
                          </w:p>
                        </w:tc>
                        <w:tc>
                          <w:tcPr>
                            <w:tcW w:w="1584" w:type="dxa"/>
                            <w:vAlign w:val="center"/>
                          </w:tcPr>
                          <w:p w14:paraId="7BE7CC55"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43015F" w:rsidRDefault="0043015F">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43015F" w:rsidRDefault="0043015F">
                            <w:pPr>
                              <w:spacing w:after="0"/>
                              <w:jc w:val="center"/>
                              <w:rPr>
                                <w:rFonts w:eastAsia="Malgun Gothic"/>
                                <w:sz w:val="18"/>
                                <w:szCs w:val="18"/>
                                <w:lang w:eastAsia="en-GB"/>
                              </w:rPr>
                            </w:pPr>
                          </w:p>
                        </w:tc>
                      </w:tr>
                      <w:tr w:rsidR="0043015F" w14:paraId="4E5F3C39" w14:textId="77777777">
                        <w:trPr>
                          <w:trHeight w:val="288"/>
                          <w:jc w:val="center"/>
                        </w:trPr>
                        <w:tc>
                          <w:tcPr>
                            <w:tcW w:w="2592" w:type="dxa"/>
                            <w:vMerge/>
                            <w:tcBorders>
                              <w:left w:val="nil"/>
                            </w:tcBorders>
                            <w:vAlign w:val="center"/>
                          </w:tcPr>
                          <w:p w14:paraId="0F96E194" w14:textId="77777777" w:rsidR="0043015F" w:rsidRDefault="0043015F">
                            <w:pPr>
                              <w:spacing w:after="0"/>
                              <w:rPr>
                                <w:rFonts w:eastAsia="Malgun Gothic"/>
                                <w:sz w:val="18"/>
                                <w:szCs w:val="18"/>
                                <w:lang w:eastAsia="en-GB"/>
                              </w:rPr>
                            </w:pPr>
                          </w:p>
                        </w:tc>
                        <w:tc>
                          <w:tcPr>
                            <w:tcW w:w="1440" w:type="dxa"/>
                            <w:vMerge/>
                          </w:tcPr>
                          <w:p w14:paraId="2A589926" w14:textId="77777777" w:rsidR="0043015F" w:rsidRDefault="0043015F">
                            <w:pPr>
                              <w:spacing w:after="0"/>
                              <w:rPr>
                                <w:rFonts w:eastAsia="Malgun Gothic"/>
                                <w:sz w:val="18"/>
                                <w:szCs w:val="18"/>
                                <w:lang w:eastAsia="en-GB"/>
                              </w:rPr>
                            </w:pPr>
                          </w:p>
                        </w:tc>
                        <w:tc>
                          <w:tcPr>
                            <w:tcW w:w="1584" w:type="dxa"/>
                            <w:vAlign w:val="center"/>
                          </w:tcPr>
                          <w:p w14:paraId="23F80AFE" w14:textId="77777777" w:rsidR="0043015F" w:rsidRDefault="0043015F">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43015F" w:rsidRDefault="0043015F">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43015F" w:rsidRDefault="0043015F">
                            <w:pPr>
                              <w:spacing w:after="0"/>
                              <w:jc w:val="center"/>
                              <w:rPr>
                                <w:rFonts w:eastAsia="Malgun Gothic"/>
                                <w:sz w:val="18"/>
                                <w:szCs w:val="18"/>
                                <w:lang w:eastAsia="en-GB"/>
                              </w:rPr>
                            </w:pPr>
                          </w:p>
                        </w:tc>
                      </w:tr>
                      <w:tr w:rsidR="0043015F" w14:paraId="365D67D9" w14:textId="77777777">
                        <w:trPr>
                          <w:trHeight w:val="288"/>
                          <w:jc w:val="center"/>
                        </w:trPr>
                        <w:tc>
                          <w:tcPr>
                            <w:tcW w:w="2592" w:type="dxa"/>
                            <w:vMerge/>
                            <w:tcBorders>
                              <w:left w:val="nil"/>
                              <w:bottom w:val="single" w:sz="12" w:space="0" w:color="auto"/>
                            </w:tcBorders>
                            <w:vAlign w:val="center"/>
                          </w:tcPr>
                          <w:p w14:paraId="369636C4"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3BBFD1CC"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43015F" w:rsidRDefault="0043015F">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43015F" w:rsidRDefault="0043015F">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43015F" w:rsidRDefault="0043015F">
                            <w:pPr>
                              <w:spacing w:after="0"/>
                              <w:jc w:val="center"/>
                              <w:rPr>
                                <w:rFonts w:eastAsia="Malgun Gothic"/>
                                <w:sz w:val="18"/>
                                <w:szCs w:val="18"/>
                                <w:lang w:eastAsia="en-GB"/>
                              </w:rPr>
                            </w:pPr>
                          </w:p>
                        </w:tc>
                      </w:tr>
                      <w:tr w:rsidR="0043015F"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43015F" w:rsidRDefault="0043015F">
                            <w:pPr>
                              <w:spacing w:after="40"/>
                              <w:rPr>
                                <w:rFonts w:eastAsia="Malgun Gothic"/>
                                <w:sz w:val="18"/>
                                <w:szCs w:val="18"/>
                                <w:lang w:eastAsia="en-GB"/>
                              </w:rPr>
                            </w:pPr>
                            <w:r>
                              <w:rPr>
                                <w:rFonts w:eastAsia="Malgun Gothic"/>
                                <w:sz w:val="18"/>
                                <w:szCs w:val="18"/>
                                <w:lang w:eastAsia="en-GB"/>
                              </w:rPr>
                              <w:t>Power class 4</w:t>
                            </w:r>
                          </w:p>
                          <w:p w14:paraId="35526D82" w14:textId="77777777" w:rsidR="0043015F" w:rsidRDefault="0043015F">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43015F" w:rsidRDefault="0043015F">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43015F" w:rsidRDefault="0043015F">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040215F0" w14:textId="77777777">
                        <w:trPr>
                          <w:trHeight w:val="288"/>
                          <w:jc w:val="center"/>
                        </w:trPr>
                        <w:tc>
                          <w:tcPr>
                            <w:tcW w:w="2592" w:type="dxa"/>
                            <w:vMerge/>
                            <w:tcBorders>
                              <w:left w:val="nil"/>
                              <w:bottom w:val="single" w:sz="12" w:space="0" w:color="auto"/>
                            </w:tcBorders>
                            <w:vAlign w:val="center"/>
                          </w:tcPr>
                          <w:p w14:paraId="3FF16815" w14:textId="77777777" w:rsidR="0043015F" w:rsidRDefault="0043015F">
                            <w:pPr>
                              <w:spacing w:after="0"/>
                              <w:rPr>
                                <w:rFonts w:eastAsia="Malgun Gothic"/>
                                <w:sz w:val="18"/>
                                <w:szCs w:val="18"/>
                                <w:lang w:eastAsia="en-GB"/>
                              </w:rPr>
                            </w:pPr>
                          </w:p>
                        </w:tc>
                        <w:tc>
                          <w:tcPr>
                            <w:tcW w:w="1440" w:type="dxa"/>
                            <w:vMerge/>
                            <w:tcBorders>
                              <w:bottom w:val="single" w:sz="12" w:space="0" w:color="auto"/>
                            </w:tcBorders>
                          </w:tcPr>
                          <w:p w14:paraId="2B32C107"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43015F" w:rsidRDefault="0043015F">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43015F" w:rsidRDefault="0043015F">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43015F" w:rsidRDefault="0043015F">
                            <w:pPr>
                              <w:spacing w:after="0"/>
                              <w:jc w:val="center"/>
                              <w:rPr>
                                <w:rFonts w:eastAsia="Malgun Gothic"/>
                                <w:sz w:val="18"/>
                                <w:szCs w:val="18"/>
                                <w:lang w:eastAsia="en-GB"/>
                              </w:rPr>
                            </w:pPr>
                          </w:p>
                        </w:tc>
                      </w:tr>
                      <w:tr w:rsidR="0043015F"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43015F" w:rsidRDefault="0043015F">
                            <w:pPr>
                              <w:spacing w:after="40"/>
                              <w:rPr>
                                <w:rFonts w:eastAsia="Malgun Gothic"/>
                                <w:sz w:val="18"/>
                                <w:szCs w:val="18"/>
                                <w:lang w:eastAsia="en-GB"/>
                              </w:rPr>
                            </w:pPr>
                            <w:r>
                              <w:rPr>
                                <w:rFonts w:eastAsia="Malgun Gothic"/>
                                <w:sz w:val="18"/>
                                <w:szCs w:val="18"/>
                                <w:lang w:eastAsia="en-GB"/>
                              </w:rPr>
                              <w:t>Power class 5</w:t>
                            </w:r>
                          </w:p>
                          <w:p w14:paraId="0E3975AF" w14:textId="77777777" w:rsidR="0043015F" w:rsidRDefault="0043015F">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43015F" w:rsidRDefault="0043015F">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43015F" w:rsidRDefault="0043015F">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43015F" w:rsidRDefault="0043015F">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43015F" w:rsidRDefault="0043015F">
                            <w:pPr>
                              <w:spacing w:after="0"/>
                              <w:jc w:val="center"/>
                              <w:rPr>
                                <w:rFonts w:eastAsia="Malgun Gothic"/>
                                <w:sz w:val="18"/>
                                <w:szCs w:val="18"/>
                                <w:lang w:eastAsia="en-GB"/>
                              </w:rPr>
                            </w:pPr>
                            <w:r>
                              <w:rPr>
                                <w:rFonts w:eastAsia="Malgun Gothic"/>
                                <w:sz w:val="18"/>
                                <w:szCs w:val="18"/>
                                <w:lang w:eastAsia="en-GB"/>
                              </w:rPr>
                              <w:t>43</w:t>
                            </w:r>
                          </w:p>
                        </w:tc>
                      </w:tr>
                      <w:tr w:rsidR="0043015F" w14:paraId="4154F909" w14:textId="77777777">
                        <w:trPr>
                          <w:trHeight w:val="288"/>
                          <w:jc w:val="center"/>
                        </w:trPr>
                        <w:tc>
                          <w:tcPr>
                            <w:tcW w:w="2592" w:type="dxa"/>
                            <w:vMerge/>
                            <w:tcBorders>
                              <w:left w:val="nil"/>
                              <w:bottom w:val="single" w:sz="12" w:space="0" w:color="auto"/>
                            </w:tcBorders>
                            <w:vAlign w:val="center"/>
                          </w:tcPr>
                          <w:p w14:paraId="3A4C140B" w14:textId="77777777" w:rsidR="0043015F" w:rsidRDefault="0043015F">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43015F" w:rsidRDefault="0043015F">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43015F" w:rsidRDefault="0043015F">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43015F" w:rsidRDefault="0043015F">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43015F" w:rsidRDefault="0043015F">
                            <w:pPr>
                              <w:spacing w:after="0"/>
                              <w:jc w:val="center"/>
                              <w:rPr>
                                <w:rFonts w:eastAsia="Malgun Gothic"/>
                                <w:sz w:val="18"/>
                                <w:szCs w:val="18"/>
                                <w:lang w:eastAsia="en-GB"/>
                              </w:rPr>
                            </w:pPr>
                          </w:p>
                        </w:tc>
                      </w:tr>
                    </w:tbl>
                    <w:p w14:paraId="73E2A722" w14:textId="77777777" w:rsidR="0043015F" w:rsidRDefault="0043015F">
                      <w:pPr>
                        <w:spacing w:after="0" w:line="240" w:lineRule="auto"/>
                        <w:rPr>
                          <w:rFonts w:eastAsia="Malgun Gothic"/>
                          <w:sz w:val="10"/>
                          <w:szCs w:val="10"/>
                          <w:lang w:eastAsia="en-GB"/>
                        </w:rPr>
                      </w:pPr>
                    </w:p>
                    <w:p w14:paraId="5932AD86" w14:textId="77777777" w:rsidR="0043015F" w:rsidRDefault="0043015F">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43015F" w:rsidRDefault="0043015F">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43015F" w:rsidRDefault="0043015F">
                      <w:pPr>
                        <w:spacing w:after="60" w:line="240" w:lineRule="auto"/>
                        <w:rPr>
                          <w:rFonts w:eastAsia="Malgun Gothic"/>
                          <w:lang w:eastAsia="en-GB"/>
                        </w:rPr>
                      </w:pPr>
                    </w:p>
                    <w:p w14:paraId="379E4BA7" w14:textId="77777777" w:rsidR="0043015F" w:rsidRDefault="0043015F">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43015F" w:rsidRDefault="0043015F"/>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32 / ?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16 / 4 / ? (Nokia)</w:t>
      </w:r>
    </w:p>
    <w:p w14:paraId="2FCDA64C" w14:textId="77777777" w:rsidR="00C01785" w:rsidRDefault="004D6702">
      <w:pPr>
        <w:pStyle w:val="BodyText"/>
        <w:numPr>
          <w:ilvl w:val="0"/>
          <w:numId w:val="18"/>
        </w:numPr>
        <w:ind w:right="27"/>
      </w:pPr>
      <w:r>
        <w:t>16 / ?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673B4E81"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are fine with Proposal 1.</w:t>
            </w:r>
          </w:p>
          <w:p w14:paraId="693F860C"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45067CBC"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A2: Yes. TxBF should be 0dBm.</w:t>
            </w:r>
          </w:p>
          <w:p w14:paraId="24EC143C"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A3: Yes. 25 dBm could be considered.</w:t>
            </w:r>
          </w:p>
          <w:p w14:paraId="0FD116C5"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Q1: Our understanding is indeed that UE_P may be dominat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Q3:additional value is needed</w:t>
            </w:r>
          </w:p>
          <w:p w14:paraId="1A8A3EF4" w14:textId="77777777" w:rsidR="00C01785" w:rsidRDefault="004D6702">
            <w:pPr>
              <w:pStyle w:val="BodyText"/>
              <w:spacing w:after="0"/>
              <w:ind w:left="360" w:right="27"/>
            </w:pPr>
            <w:r>
              <w:rPr>
                <w:lang w:val="en-US"/>
              </w:rPr>
              <w:t>Q4:we can always try to reach some consensus in ran1. If failed then may be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We are fine with proposal 1. Given the reply from RAN4, while there are no concrent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(UE_EIRP,TxBF,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070F53DA" w14:textId="77777777" w:rsidR="00C01785" w:rsidRDefault="004D6702">
            <w:pPr>
              <w:pStyle w:val="BodyText"/>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210963A" w14:textId="77777777" w:rsidR="00C01785" w:rsidRDefault="00C01785">
            <w:pPr>
              <w:pStyle w:val="BodyText"/>
              <w:spacing w:after="0"/>
              <w:ind w:right="27"/>
              <w:rPr>
                <w:rFonts w:eastAsia="宋体"/>
                <w:sz w:val="20"/>
                <w:szCs w:val="20"/>
                <w:lang w:val="en-US"/>
              </w:rPr>
            </w:pPr>
          </w:p>
          <w:p w14:paraId="01602C94" w14:textId="77777777" w:rsidR="00C01785" w:rsidRDefault="004D6702">
            <w:pPr>
              <w:pStyle w:val="BodyText"/>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宋体"/>
                <w:sz w:val="20"/>
                <w:szCs w:val="20"/>
                <w:lang w:val="en-US"/>
              </w:rPr>
            </w:pPr>
          </w:p>
          <w:p w14:paraId="0E9654A5" w14:textId="77777777" w:rsidR="00C01785" w:rsidRDefault="004D6702">
            <w:pPr>
              <w:pStyle w:val="BodyText"/>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Huawei/HiSilicon</w:t>
            </w:r>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宋体" w:cs="Arial"/>
                <w:lang w:val="en-US"/>
              </w:rPr>
            </w:pPr>
            <w:r>
              <w:rPr>
                <w:rFonts w:eastAsia="宋体" w:cs="Arial" w:hint="eastAsia"/>
                <w:lang w:val="en-US"/>
              </w:rPr>
              <w:t>ZTE, Sanechips</w:t>
            </w:r>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宋体" w:cs="Arial"/>
                <w:lang w:val="en-US"/>
              </w:rPr>
            </w:pPr>
            <w:r>
              <w:rPr>
                <w:rFonts w:eastAsia="宋体"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宋体" w:cs="Arial"/>
              </w:rPr>
            </w:pPr>
            <w:r>
              <w:rPr>
                <w:rFonts w:eastAsia="宋体"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宋体" w:cs="Arial"/>
                <w:sz w:val="20"/>
                <w:lang w:val="en-US"/>
              </w:rPr>
            </w:pPr>
            <w:r>
              <w:rPr>
                <w:rFonts w:eastAsia="宋体"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Lenovo, Motoroloa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Huawei/HiSilicon</w:t>
            </w:r>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宋体"/>
                <w:lang w:val="en-US"/>
              </w:rPr>
            </w:pPr>
            <w:r>
              <w:rPr>
                <w:rFonts w:eastAsia="宋体" w:hint="eastAsia"/>
                <w:lang w:val="en-US"/>
              </w:rPr>
              <w:t>ZTE, Sanechips</w:t>
            </w:r>
          </w:p>
        </w:tc>
        <w:tc>
          <w:tcPr>
            <w:tcW w:w="7560" w:type="dxa"/>
          </w:tcPr>
          <w:p w14:paraId="2D107602" w14:textId="77777777" w:rsidR="00C01785" w:rsidRDefault="004D6702">
            <w:pPr>
              <w:pStyle w:val="BodyText"/>
              <w:spacing w:after="0"/>
              <w:ind w:right="27"/>
              <w:rPr>
                <w:rFonts w:eastAsia="宋体"/>
                <w:lang w:val="en-US"/>
              </w:rPr>
            </w:pPr>
            <w:r>
              <w:rPr>
                <w:rFonts w:eastAsia="宋体"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宋体"/>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ZTE, Sanechips</w:t>
            </w:r>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wayforward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Lenovo, Motoroloa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Huawei/HiSilicon</w:t>
            </w:r>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tx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gNB can configure a proper number between 1 to maximum (16) for difererent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Lenovo/Motoroloa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bookmarkStart w:id="37" w:name="_GoBack"/>
      <w:bookmarkEnd w:id="37"/>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ZTE, Sanechips</w:t>
            </w:r>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Lenovo, Motoroloa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Huawei/HiSilicon</w:t>
            </w:r>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8" w:name="_Toc79688782"/>
      <w:bookmarkStart w:id="39" w:name="_Hlk71744693"/>
      <w:r>
        <w:t>3</w:t>
      </w:r>
      <w:r>
        <w:tab/>
        <w:t>Configuration of Number of RBs</w:t>
      </w:r>
      <w:bookmarkEnd w:id="38"/>
    </w:p>
    <w:p w14:paraId="071188BC" w14:textId="77777777" w:rsidR="00C01785" w:rsidRDefault="004D6702">
      <w:pPr>
        <w:pStyle w:val="BodyText"/>
      </w:pPr>
      <w:r>
        <w:t xml:space="preserve">The following agreement was made in RAN1#104 on the configuration of the number of RBs for enhanced PF0/1/4 by dedicated </w:t>
      </w:r>
      <w:r>
        <w:pgNum/>
      </w:r>
      <w:r>
        <w:t>ignalling:</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lastRenderedPageBreak/>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9BB15C3" w14:textId="77777777" w:rsidR="00C01785" w:rsidRDefault="00C01785">
      <w:pPr>
        <w:pStyle w:val="BodyText"/>
      </w:pPr>
      <w:bookmarkStart w:id="40"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A274BC">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6" o:title="" chromakey="white"/>
                </v:shape>
              </w:pict>
            </w:r>
            <w:r>
              <w:rPr>
                <w:i/>
                <w:iCs/>
                <w:lang w:val="en-US"/>
              </w:rPr>
              <w:t xml:space="preserve">  where </w:t>
            </w:r>
            <w:r w:rsidR="00A274BC">
              <w:rPr>
                <w:position w:val="-5"/>
                <w:sz w:val="20"/>
                <w:szCs w:val="20"/>
              </w:rPr>
              <w:pict w14:anchorId="75E3EE8B">
                <v:shape id="_x0000_i1026" type="#_x0000_t75" style="width:35.8pt;height:15pt" equationxml="&lt;">
                  <v:imagedata r:id="rId17"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lastRenderedPageBreak/>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宋体"/>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1" w:name="_Toc79688783"/>
      <w:bookmarkStart w:id="42" w:name="_Toc79688477"/>
      <w:r>
        <w:t>3.1</w:t>
      </w:r>
      <w:r>
        <w:tab/>
        <w:t>&lt;1</w:t>
      </w:r>
      <w:r>
        <w:rPr>
          <w:vertAlign w:val="superscript"/>
        </w:rPr>
        <w:t>st</w:t>
      </w:r>
      <w:r>
        <w:t xml:space="preserve"> Round Comments&gt;</w:t>
      </w:r>
      <w:bookmarkEnd w:id="41"/>
      <w:bookmarkEnd w:id="42"/>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7BD561C8"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agree with Proposal 6.</w:t>
            </w:r>
          </w:p>
          <w:p w14:paraId="44154332"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7EBFB3A5" w14:textId="77777777" w:rsidR="00C01785" w:rsidRDefault="00C01785">
            <w:pPr>
              <w:pStyle w:val="BodyText"/>
              <w:spacing w:after="0"/>
              <w:ind w:right="27"/>
              <w:rPr>
                <w:rFonts w:eastAsia="宋体"/>
                <w:sz w:val="20"/>
                <w:szCs w:val="20"/>
                <w:lang w:val="en-US"/>
              </w:rPr>
            </w:pPr>
          </w:p>
          <w:p w14:paraId="1B5BC305" w14:textId="77777777" w:rsidR="00C01785" w:rsidRDefault="00C01785">
            <w:pPr>
              <w:pStyle w:val="BodyText"/>
              <w:spacing w:after="0"/>
              <w:ind w:right="27"/>
              <w:rPr>
                <w:rFonts w:eastAsia="宋体"/>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lastRenderedPageBreak/>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lastRenderedPageBreak/>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lastRenderedPageBreak/>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宋体"/>
                <w:lang w:val="en-US"/>
              </w:rPr>
            </w:pPr>
            <w:r>
              <w:rPr>
                <w:rFonts w:eastAsia="宋体" w:hint="eastAsia"/>
                <w:lang w:val="en-US"/>
              </w:rPr>
              <w:t>ZTE, Sanechips</w:t>
            </w:r>
          </w:p>
        </w:tc>
        <w:tc>
          <w:tcPr>
            <w:tcW w:w="7560" w:type="dxa"/>
          </w:tcPr>
          <w:p w14:paraId="2A572A9F" w14:textId="77777777" w:rsidR="00C01785" w:rsidRDefault="004D6702">
            <w:pPr>
              <w:pStyle w:val="BodyText"/>
              <w:spacing w:after="0"/>
              <w:ind w:right="27"/>
              <w:rPr>
                <w:rFonts w:eastAsia="宋体"/>
                <w:lang w:val="en-US"/>
              </w:rPr>
            </w:pPr>
            <w:r>
              <w:rPr>
                <w:rFonts w:eastAsia="宋体"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宋体"/>
                <w:lang w:val="en-US"/>
              </w:rPr>
            </w:pPr>
            <w:r>
              <w:rPr>
                <w:rFonts w:eastAsia="宋体"/>
                <w:lang w:val="en-US"/>
              </w:rPr>
              <w:t>CATT</w:t>
            </w:r>
          </w:p>
        </w:tc>
        <w:tc>
          <w:tcPr>
            <w:tcW w:w="7560" w:type="dxa"/>
          </w:tcPr>
          <w:p w14:paraId="0F4DEF40" w14:textId="77777777" w:rsidR="00C01785" w:rsidRDefault="004D6702">
            <w:pPr>
              <w:pStyle w:val="BodyText"/>
              <w:spacing w:after="0"/>
              <w:ind w:right="27"/>
              <w:rPr>
                <w:rFonts w:eastAsia="宋体"/>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lastRenderedPageBreak/>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3" w:name="_Toc79688784"/>
      <w:bookmarkEnd w:id="40"/>
      <w:r>
        <w:t>4</w:t>
      </w:r>
      <w:r>
        <w:tab/>
        <w:t>Sequence Construction for Enhanced PF0/1</w:t>
      </w:r>
      <w:bookmarkEnd w:id="43"/>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4"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xml:space="preserve">, unless it is </w:t>
            </w:r>
            <w:r>
              <w:rPr>
                <w:rFonts w:eastAsia="宋体"/>
                <w:b/>
                <w:bCs/>
                <w:i/>
                <w:iCs/>
                <w:color w:val="000000"/>
                <w:lang w:val="en-US" w:eastAsia="en-US"/>
              </w:rPr>
              <w:lastRenderedPageBreak/>
              <w:t>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5"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5"/>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宋体"/>
                <w:i/>
                <w:lang w:eastAsia="en-US"/>
              </w:rPr>
            </w:pPr>
            <w:bookmarkStart w:id="46"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6"/>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lastRenderedPageBreak/>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lastRenderedPageBreak/>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t>MediaTek</w:t>
            </w:r>
          </w:p>
        </w:tc>
        <w:tc>
          <w:tcPr>
            <w:tcW w:w="7560" w:type="dxa"/>
          </w:tcPr>
          <w:p w14:paraId="5D684160" w14:textId="77777777" w:rsidR="00C01785" w:rsidRDefault="004D6702">
            <w:pPr>
              <w:pStyle w:val="Caption"/>
            </w:pPr>
            <w:bookmarkStart w:id="47" w:name="_Ref68353572"/>
            <w:r>
              <w:t>Proposal 1: Alternative 1 should be adopted as the base sequence design for enhanced PUCCH format 0/1.</w:t>
            </w:r>
            <w:bookmarkEnd w:id="47"/>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lastRenderedPageBreak/>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lastRenderedPageBreak/>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lastRenderedPageBreak/>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8" w:name="_Toc79688479"/>
      <w:bookmarkStart w:id="49" w:name="_Toc79688785"/>
      <w:r>
        <w:t>4.1</w:t>
      </w:r>
      <w:r>
        <w:tab/>
        <w:t>&lt;1</w:t>
      </w:r>
      <w:r>
        <w:rPr>
          <w:vertAlign w:val="superscript"/>
        </w:rPr>
        <w:t>st</w:t>
      </w:r>
      <w:r>
        <w:t xml:space="preserve"> Round Comments&gt;</w:t>
      </w:r>
      <w:bookmarkEnd w:id="48"/>
      <w:bookmarkEnd w:id="49"/>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683D0E80"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lastRenderedPageBreak/>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4"/>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lastRenderedPageBreak/>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宋体"/>
                <w:lang w:val="en-US"/>
              </w:rPr>
            </w:pPr>
            <w:r>
              <w:rPr>
                <w:rFonts w:eastAsia="宋体" w:hint="eastAsia"/>
                <w:lang w:val="en-US"/>
              </w:rPr>
              <w:t>ZTE, Sanechips</w:t>
            </w:r>
          </w:p>
        </w:tc>
        <w:tc>
          <w:tcPr>
            <w:tcW w:w="7560" w:type="dxa"/>
          </w:tcPr>
          <w:p w14:paraId="75D3F024" w14:textId="77777777" w:rsidR="00C01785" w:rsidRDefault="004D6702">
            <w:pPr>
              <w:pStyle w:val="BodyText"/>
              <w:spacing w:after="0"/>
              <w:ind w:right="27"/>
              <w:rPr>
                <w:rFonts w:eastAsia="宋体"/>
                <w:lang w:val="en-US"/>
              </w:rPr>
            </w:pPr>
            <w:r>
              <w:rPr>
                <w:rFonts w:eastAsia="宋体" w:hint="eastAsia"/>
                <w:lang w:val="en-US"/>
              </w:rPr>
              <w:t>Q1: Yes</w:t>
            </w:r>
          </w:p>
          <w:p w14:paraId="5EB098F3" w14:textId="77777777" w:rsidR="00C01785" w:rsidRDefault="004D6702">
            <w:pPr>
              <w:pStyle w:val="BodyText"/>
              <w:spacing w:after="0"/>
              <w:ind w:right="27"/>
              <w:rPr>
                <w:rFonts w:eastAsia="宋体"/>
                <w:lang w:val="en-US"/>
              </w:rPr>
            </w:pPr>
            <w:r>
              <w:rPr>
                <w:rFonts w:eastAsia="宋体"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宋体"/>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宋体"/>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lastRenderedPageBreak/>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lastRenderedPageBreak/>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05C2C007"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50" w:name="_Toc69069516"/>
      <w:bookmarkStart w:id="51" w:name="_Toc71910526"/>
      <w:bookmarkStart w:id="52" w:name="_Toc79688786"/>
      <w:r>
        <w:t>5</w:t>
      </w:r>
      <w:r>
        <w:tab/>
        <w:t>RE Mapping for Enhanced PF0/1/4 for 120 kHz SCS</w:t>
      </w:r>
      <w:bookmarkEnd w:id="50"/>
      <w:bookmarkEnd w:id="51"/>
      <w:bookmarkEnd w:id="52"/>
    </w:p>
    <w:p w14:paraId="0301D306" w14:textId="77777777" w:rsidR="00C01785" w:rsidRDefault="004D6702">
      <w:pPr>
        <w:spacing w:after="0"/>
        <w:rPr>
          <w:lang w:eastAsia="zh-CN"/>
        </w:rPr>
      </w:pPr>
      <w:bookmarkStart w:id="53"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4" w:name="_Hlk79402574"/>
      <w:bookmarkEnd w:id="53"/>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5"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5"/>
            <w:r>
              <w:rPr>
                <w:rFonts w:eastAsia="Times New Roman"/>
                <w:b/>
                <w:lang w:eastAsia="en-US"/>
              </w:rPr>
              <w:t xml:space="preserve"> </w:t>
            </w:r>
            <w:bookmarkStart w:id="56"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6"/>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lastRenderedPageBreak/>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宋体"/>
                <w:i/>
                <w:lang w:eastAsia="en-US"/>
              </w:rPr>
            </w:pPr>
            <w:bookmarkStart w:id="57"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7"/>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8" w:name="_Ref79074362"/>
            <w:r>
              <w:t>Proposal 2: Support only Alt-1 as the RE mapping scheme for enhanced PUCCH format 4.</w:t>
            </w:r>
            <w:bookmarkEnd w:id="58"/>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lastRenderedPageBreak/>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lastRenderedPageBreak/>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lastRenderedPageBreak/>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9" w:name="_Toc79688481"/>
      <w:bookmarkStart w:id="60" w:name="_Toc79688787"/>
      <w:bookmarkStart w:id="61" w:name="_Hlk62139257"/>
      <w:r>
        <w:t>5.1</w:t>
      </w:r>
      <w:r>
        <w:tab/>
        <w:t>&lt;1</w:t>
      </w:r>
      <w:r>
        <w:rPr>
          <w:vertAlign w:val="superscript"/>
        </w:rPr>
        <w:t>st</w:t>
      </w:r>
      <w:r>
        <w:t xml:space="preserve"> Round Comments&gt;</w:t>
      </w:r>
      <w:bookmarkEnd w:id="59"/>
      <w:bookmarkEnd w:id="60"/>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22E5A114"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宋体"/>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4"/>
      <w:bookmarkEnd w:id="61"/>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lastRenderedPageBreak/>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宋体"/>
                <w:lang w:val="en-US"/>
              </w:rPr>
            </w:pPr>
            <w:r>
              <w:rPr>
                <w:rFonts w:eastAsia="宋体" w:hint="eastAsia"/>
                <w:lang w:val="en-US"/>
              </w:rPr>
              <w:t>ZTE, Sanechips</w:t>
            </w:r>
          </w:p>
        </w:tc>
        <w:tc>
          <w:tcPr>
            <w:tcW w:w="7560" w:type="dxa"/>
          </w:tcPr>
          <w:p w14:paraId="20DB467B" w14:textId="77777777" w:rsidR="00C01785" w:rsidRDefault="004D6702">
            <w:pPr>
              <w:pStyle w:val="BodyText"/>
              <w:spacing w:after="0"/>
              <w:ind w:right="27"/>
              <w:rPr>
                <w:rFonts w:eastAsia="宋体"/>
                <w:lang w:val="en-US"/>
              </w:rPr>
            </w:pPr>
            <w:r>
              <w:rPr>
                <w:rFonts w:eastAsia="宋体"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宋体"/>
                <w:lang w:val="en-US"/>
              </w:rPr>
            </w:pPr>
            <w:r>
              <w:t>Futurewei</w:t>
            </w:r>
          </w:p>
        </w:tc>
        <w:tc>
          <w:tcPr>
            <w:tcW w:w="7560" w:type="dxa"/>
          </w:tcPr>
          <w:p w14:paraId="70366619" w14:textId="77777777" w:rsidR="00C01785" w:rsidRDefault="004D6702">
            <w:pPr>
              <w:pStyle w:val="BodyText"/>
              <w:spacing w:after="0"/>
              <w:ind w:right="27"/>
              <w:rPr>
                <w:rFonts w:eastAsia="宋体"/>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lastRenderedPageBreak/>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2" w:name="_Toc79688788"/>
      <w:bookmarkStart w:id="63" w:name="_Toc62396112"/>
      <w:bookmarkStart w:id="64" w:name="_Toc69069530"/>
      <w:bookmarkStart w:id="65" w:name="_Toc71910532"/>
      <w:bookmarkEnd w:id="17"/>
      <w:bookmarkEnd w:id="18"/>
      <w:bookmarkEnd w:id="19"/>
      <w:bookmarkEnd w:id="20"/>
      <w:bookmarkEnd w:id="21"/>
      <w:bookmarkEnd w:id="22"/>
      <w:bookmarkEnd w:id="23"/>
      <w:bookmarkEnd w:id="39"/>
      <w:r>
        <w:t>6</w:t>
      </w:r>
      <w:r>
        <w:tab/>
        <w:t>Payload Limitation and Rate Matching for PF4</w:t>
      </w:r>
      <w:bookmarkEnd w:id="62"/>
    </w:p>
    <w:p w14:paraId="397DCCE1" w14:textId="77777777" w:rsidR="00C01785" w:rsidRDefault="004D6702">
      <w:pPr>
        <w:pStyle w:val="Heading2"/>
        <w:ind w:right="27"/>
      </w:pPr>
      <w:bookmarkStart w:id="66" w:name="_Toc79688789"/>
      <w:r>
        <w:t>6.1</w:t>
      </w:r>
      <w:r>
        <w:tab/>
        <w:t>Maximum UCI Payload for PF4</w:t>
      </w:r>
      <w:bookmarkEnd w:id="66"/>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43015F" w:rsidRDefault="0043015F">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43015F" w:rsidRDefault="0043015F">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lastRenderedPageBreak/>
              <w:t>Qualcomm</w:t>
            </w:r>
          </w:p>
        </w:tc>
        <w:tc>
          <w:tcPr>
            <w:tcW w:w="7560" w:type="dxa"/>
          </w:tcPr>
          <w:p w14:paraId="72482DE4" w14:textId="77777777" w:rsidR="00C01785" w:rsidRDefault="004D6702">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 xml:space="preserve">s note: Alt-a corresponds to </w:t>
            </w:r>
            <w:r w:rsidR="00B51394">
              <w:rPr>
                <w:rFonts w:ascii="Arial" w:eastAsia="宋体" w:hAnsi="Arial" w:cs="Arial"/>
                <w:sz w:val="20"/>
                <w:szCs w:val="20"/>
              </w:rPr>
              <w:t>“</w:t>
            </w:r>
            <w:r>
              <w:rPr>
                <w:rFonts w:ascii="Arial" w:eastAsia="宋体" w:hAnsi="Arial" w:cs="Arial"/>
                <w:sz w:val="20"/>
                <w:szCs w:val="20"/>
              </w:rPr>
              <w:t>Suppport same restriction for PF4 as in Rel-15/16</w:t>
            </w:r>
            <w:r w:rsidR="00B51394">
              <w:rPr>
                <w:rFonts w:ascii="Arial" w:eastAsia="宋体"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宋体"/>
                <w:b/>
                <w:sz w:val="20"/>
                <w:szCs w:val="24"/>
              </w:rPr>
            </w:pPr>
            <w:r>
              <w:rPr>
                <w:rFonts w:eastAsia="宋体"/>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7" w:name="_Ref79074366"/>
            <w:r>
              <w:rPr>
                <w:rFonts w:eastAsia="Times New Roman"/>
                <w:b/>
                <w:bCs/>
                <w:sz w:val="24"/>
                <w:szCs w:val="24"/>
                <w:lang w:val="en-US" w:eastAsia="zh-CN"/>
              </w:rPr>
              <w:t>Proposal 3: Support same restriction (upper limit) on the UCI payload as in Rel-15/16 for PF4</w:t>
            </w:r>
            <w:bookmarkEnd w:id="67"/>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8" w:name="_Toc79688484"/>
      <w:bookmarkStart w:id="69" w:name="_Toc79688790"/>
      <w:r>
        <w:t>6.1.1</w:t>
      </w:r>
      <w:r>
        <w:tab/>
        <w:t>&lt;1</w:t>
      </w:r>
      <w:r w:rsidRPr="00B51394">
        <w:rPr>
          <w:vertAlign w:val="superscript"/>
        </w:rPr>
        <w:t>st</w:t>
      </w:r>
      <w:r>
        <w:t xml:space="preserve"> Round Comments&gt;</w:t>
      </w:r>
      <w:bookmarkEnd w:id="68"/>
      <w:bookmarkEnd w:id="69"/>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021A7B2B"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lastRenderedPageBreak/>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70" w:name="_Toc79688791"/>
      <w:r>
        <w:t>6.2</w:t>
      </w:r>
      <w:r>
        <w:tab/>
        <w:t>Rate Matching for PF4</w:t>
      </w:r>
      <w:bookmarkEnd w:id="70"/>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43015F" w:rsidRDefault="0043015F">
                            <w:pPr>
                              <w:pStyle w:val="BodyText"/>
                              <w:rPr>
                                <w:sz w:val="24"/>
                                <w:szCs w:val="28"/>
                              </w:rPr>
                            </w:pPr>
                            <w:r>
                              <w:rPr>
                                <w:rFonts w:hint="eastAsia"/>
                                <w:sz w:val="24"/>
                                <w:szCs w:val="28"/>
                              </w:rPr>
                              <w:t>6.3.1.4</w:t>
                            </w:r>
                            <w:r>
                              <w:rPr>
                                <w:rFonts w:hint="eastAsia"/>
                                <w:sz w:val="24"/>
                                <w:szCs w:val="28"/>
                              </w:rPr>
                              <w:tab/>
                              <w:t>Rate matching</w:t>
                            </w:r>
                          </w:p>
                          <w:p w14:paraId="798E3309" w14:textId="77777777" w:rsidR="0043015F" w:rsidRDefault="0043015F">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420" w:dyaOrig="300" w14:anchorId="4CF61AC0">
                                <v:shape id="_x0000_i1027" type="#_x0000_t75" style="width:21.2pt;height:15pt" o:ole="">
                                  <v:imagedata r:id="rId18" o:title=""/>
                                </v:shape>
                                <o:OLEObject Type="Embed" ProgID="Equation.3" ShapeID="_x0000_i1027" DrawAspect="Content" ObjectID="_1691405851" r:id="rId19"/>
                              </w:object>
                            </w:r>
                            <w:r>
                              <w:rPr>
                                <w:rFonts w:eastAsia="宋体" w:hint="eastAsia"/>
                                <w:highlight w:val="yellow"/>
                                <w:lang w:eastAsia="zh-CN"/>
                              </w:rPr>
                              <w:t xml:space="preserve"> is given by Table 6.3.1.4-1, where </w:t>
                            </w:r>
                            <w:r>
                              <w:rPr>
                                <w:rFonts w:eastAsia="宋体"/>
                                <w:position w:val="-14"/>
                                <w:highlight w:val="yellow"/>
                              </w:rPr>
                              <w:object w:dxaOrig="720" w:dyaOrig="420" w14:anchorId="186D17A9">
                                <v:shape id="_x0000_i1028" type="#_x0000_t75" style="width:36.2pt;height:21.2pt" o:ole="">
                                  <v:imagedata r:id="rId20" o:title=""/>
                                </v:shape>
                                <o:OLEObject Type="Embed" ProgID="Equation.3" ShapeID="_x0000_i1028" DrawAspect="Content" ObjectID="_1691405852" r:id="rId21"/>
                              </w:object>
                            </w:r>
                            <w:r>
                              <w:rPr>
                                <w:rFonts w:eastAsia="宋体" w:hint="eastAsia"/>
                                <w:highlight w:val="yellow"/>
                                <w:lang w:eastAsia="zh-CN"/>
                              </w:rPr>
                              <w:t xml:space="preserve"> , </w:t>
                            </w:r>
                            <w:r>
                              <w:rPr>
                                <w:rFonts w:eastAsia="宋体"/>
                                <w:position w:val="-14"/>
                                <w:highlight w:val="yellow"/>
                              </w:rPr>
                              <w:object w:dxaOrig="720" w:dyaOrig="420" w14:anchorId="2C31750E">
                                <v:shape id="_x0000_i1029" type="#_x0000_t75" style="width:36.2pt;height:21.2pt" o:ole="">
                                  <v:imagedata r:id="rId22" o:title=""/>
                                </v:shape>
                                <o:OLEObject Type="Embed" ProgID="Equation.3" ShapeID="_x0000_i1029" DrawAspect="Content" ObjectID="_1691405853" r:id="rId23"/>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20" w:dyaOrig="420" w14:anchorId="00645895">
                                <v:shape id="_x0000_i1030" type="#_x0000_t75" style="width:36.2pt;height:21.2pt" o:ole="">
                                  <v:imagedata r:id="rId24" o:title=""/>
                                </v:shape>
                                <o:OLEObject Type="Embed" ProgID="Equation.3" ShapeID="_x0000_i1030" DrawAspect="Content" ObjectID="_1691405854" r:id="rId25"/>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20" w:dyaOrig="300" w14:anchorId="24A6EBFA">
                                <v:shape id="_x0000_i1031" type="#_x0000_t75" style="width:36.2pt;height:15pt" o:ole="">
                                  <v:imagedata r:id="rId26" o:title=""/>
                                </v:shape>
                                <o:OLEObject Type="Embed" ProgID="Equation.3" ShapeID="_x0000_i1031" DrawAspect="Content" ObjectID="_1691405855" r:id="rId27"/>
                              </w:object>
                            </w:r>
                            <w:r>
                              <w:rPr>
                                <w:rFonts w:eastAsia="宋体" w:hint="eastAsia"/>
                                <w:highlight w:val="yellow"/>
                                <w:lang w:eastAsia="zh-CN"/>
                              </w:rPr>
                              <w:t xml:space="preserve"> and </w:t>
                            </w:r>
                            <w:r>
                              <w:rPr>
                                <w:rFonts w:eastAsia="宋体"/>
                                <w:position w:val="-10"/>
                                <w:highlight w:val="yellow"/>
                              </w:rPr>
                              <w:object w:dxaOrig="720" w:dyaOrig="300" w14:anchorId="32B790DE">
                                <v:shape id="_x0000_i1032" type="#_x0000_t75" style="width:36.2pt;height:15pt" o:ole="">
                                  <v:imagedata r:id="rId28" o:title=""/>
                                </v:shape>
                                <o:OLEObject Type="Embed" ProgID="Equation.3" ShapeID="_x0000_i1032" DrawAspect="Content" ObjectID="_1691405856" r:id="rId29"/>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20" w:dyaOrig="300" w14:anchorId="473D5B9B">
                                <v:shape id="_x0000_i1033" type="#_x0000_t75" style="width:36.2pt;height:15pt" o:ole="">
                                  <v:imagedata r:id="rId30" o:title=""/>
                                </v:shape>
                                <o:OLEObject Type="Embed" ProgID="Equation.3" ShapeID="_x0000_i1033" DrawAspect="Content" ObjectID="_1691405857" r:id="rId3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43015F" w:rsidRDefault="0043015F">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420" w:dyaOrig="300" w14:anchorId="17F023AD">
                                <v:shape id="_x0000_i1034" type="#_x0000_t75" style="width:21.2pt;height:15pt" o:ole="">
                                  <v:imagedata r:id="rId32" o:title=""/>
                                </v:shape>
                                <o:OLEObject Type="Embed" ProgID="Equation.3" ShapeID="_x0000_i1034" DrawAspect="Content" ObjectID="_1691405858"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43015F" w14:paraId="05D7F14E" w14:textId="77777777">
                              <w:trPr>
                                <w:jc w:val="center"/>
                              </w:trPr>
                              <w:tc>
                                <w:tcPr>
                                  <w:tcW w:w="2411" w:type="dxa"/>
                                  <w:vMerge w:val="restart"/>
                                  <w:shd w:val="clear" w:color="auto" w:fill="E6E6E6"/>
                                  <w:vAlign w:val="center"/>
                                </w:tcPr>
                                <w:p w14:paraId="0996369B" w14:textId="77777777" w:rsidR="0043015F" w:rsidRDefault="0043015F">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43015F" w:rsidRDefault="0043015F">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43015F" w14:paraId="0747651B" w14:textId="77777777">
                              <w:trPr>
                                <w:jc w:val="center"/>
                              </w:trPr>
                              <w:tc>
                                <w:tcPr>
                                  <w:tcW w:w="2411" w:type="dxa"/>
                                  <w:vMerge/>
                                  <w:shd w:val="clear" w:color="auto" w:fill="E6E6E6"/>
                                  <w:vAlign w:val="center"/>
                                </w:tcPr>
                                <w:p w14:paraId="4850E6FF" w14:textId="77777777" w:rsidR="0043015F" w:rsidRDefault="0043015F">
                                  <w:pPr>
                                    <w:keepNext/>
                                    <w:keepLines/>
                                    <w:spacing w:after="0" w:line="240" w:lineRule="auto"/>
                                    <w:jc w:val="center"/>
                                    <w:rPr>
                                      <w:rFonts w:eastAsia="宋体"/>
                                      <w:sz w:val="18"/>
                                      <w:lang w:eastAsia="zh-CN"/>
                                    </w:rPr>
                                  </w:pPr>
                                </w:p>
                              </w:tc>
                              <w:tc>
                                <w:tcPr>
                                  <w:tcW w:w="3472" w:type="dxa"/>
                                  <w:vAlign w:val="center"/>
                                </w:tcPr>
                                <w:p w14:paraId="62BA9E2D"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43015F" w:rsidRDefault="0043015F">
                                  <w:pPr>
                                    <w:keepNext/>
                                    <w:keepLines/>
                                    <w:spacing w:after="0" w:line="240" w:lineRule="auto"/>
                                    <w:jc w:val="center"/>
                                    <w:rPr>
                                      <w:rFonts w:eastAsia="宋体"/>
                                      <w:sz w:val="18"/>
                                      <w:lang w:eastAsia="zh-CN"/>
                                    </w:rPr>
                                  </w:pPr>
                                  <w:r>
                                    <w:rPr>
                                      <w:rFonts w:eastAsia="宋体"/>
                                      <w:lang w:eastAsia="zh-CN"/>
                                    </w:rPr>
                                    <w:t>π/2-BPSK</w:t>
                                  </w:r>
                                </w:p>
                              </w:tc>
                            </w:tr>
                            <w:tr w:rsidR="0043015F" w14:paraId="11DEA18C" w14:textId="77777777">
                              <w:trPr>
                                <w:jc w:val="center"/>
                              </w:trPr>
                              <w:tc>
                                <w:tcPr>
                                  <w:tcW w:w="2411" w:type="dxa"/>
                                  <w:shd w:val="clear" w:color="auto" w:fill="E6E6E6"/>
                                  <w:vAlign w:val="center"/>
                                </w:tcPr>
                                <w:p w14:paraId="58FE632C"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43015F" w:rsidRDefault="0043015F">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N/A</w:t>
                                  </w:r>
                                </w:p>
                              </w:tc>
                            </w:tr>
                            <w:tr w:rsidR="0043015F" w14:paraId="313EB501" w14:textId="77777777">
                              <w:trPr>
                                <w:jc w:val="center"/>
                              </w:trPr>
                              <w:tc>
                                <w:tcPr>
                                  <w:tcW w:w="2411" w:type="dxa"/>
                                  <w:shd w:val="clear" w:color="auto" w:fill="E6E6E6"/>
                                  <w:vAlign w:val="center"/>
                                </w:tcPr>
                                <w:p w14:paraId="24E81FB9"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43015F" w:rsidRDefault="0043015F">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43015F" w:rsidRDefault="0043015F">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43015F" w14:paraId="156B9153" w14:textId="77777777">
                              <w:trPr>
                                <w:jc w:val="center"/>
                              </w:trPr>
                              <w:tc>
                                <w:tcPr>
                                  <w:tcW w:w="2411" w:type="dxa"/>
                                  <w:shd w:val="clear" w:color="auto" w:fill="E6E6E6"/>
                                  <w:vAlign w:val="center"/>
                                </w:tcPr>
                                <w:p w14:paraId="4DB2A388" w14:textId="77777777" w:rsidR="0043015F" w:rsidRDefault="0043015F">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43015F" w:rsidRDefault="0043015F">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43015F" w:rsidRDefault="0043015F">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43015F" w:rsidRDefault="0043015F"/>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43015F" w:rsidRDefault="0043015F">
                      <w:pPr>
                        <w:pStyle w:val="BodyText"/>
                        <w:rPr>
                          <w:sz w:val="24"/>
                          <w:szCs w:val="28"/>
                        </w:rPr>
                      </w:pPr>
                      <w:r>
                        <w:rPr>
                          <w:rFonts w:hint="eastAsia"/>
                          <w:sz w:val="24"/>
                          <w:szCs w:val="28"/>
                        </w:rPr>
                        <w:t>6.3.1.4</w:t>
                      </w:r>
                      <w:r>
                        <w:rPr>
                          <w:rFonts w:hint="eastAsia"/>
                          <w:sz w:val="24"/>
                          <w:szCs w:val="28"/>
                        </w:rPr>
                        <w:tab/>
                        <w:t>Rate matching</w:t>
                      </w:r>
                    </w:p>
                    <w:p w14:paraId="798E3309" w14:textId="77777777" w:rsidR="0043015F" w:rsidRDefault="0043015F">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420" w:dyaOrig="300" w14:anchorId="4CF61AC0">
                          <v:shape id="_x0000_i1027" type="#_x0000_t75" style="width:21.2pt;height:15pt" o:ole="">
                            <v:imagedata r:id="rId18" o:title=""/>
                          </v:shape>
                          <o:OLEObject Type="Embed" ProgID="Equation.3" ShapeID="_x0000_i1027" DrawAspect="Content" ObjectID="_1691405851" r:id="rId34"/>
                        </w:object>
                      </w:r>
                      <w:r>
                        <w:rPr>
                          <w:rFonts w:eastAsia="宋体" w:hint="eastAsia"/>
                          <w:highlight w:val="yellow"/>
                          <w:lang w:eastAsia="zh-CN"/>
                        </w:rPr>
                        <w:t xml:space="preserve"> is given by Table 6.3.1.4-1, where </w:t>
                      </w:r>
                      <w:r>
                        <w:rPr>
                          <w:rFonts w:eastAsia="宋体"/>
                          <w:position w:val="-14"/>
                          <w:highlight w:val="yellow"/>
                        </w:rPr>
                        <w:object w:dxaOrig="720" w:dyaOrig="420" w14:anchorId="186D17A9">
                          <v:shape id="_x0000_i1028" type="#_x0000_t75" style="width:36.2pt;height:21.2pt" o:ole="">
                            <v:imagedata r:id="rId20" o:title=""/>
                          </v:shape>
                          <o:OLEObject Type="Embed" ProgID="Equation.3" ShapeID="_x0000_i1028" DrawAspect="Content" ObjectID="_1691405852" r:id="rId35"/>
                        </w:object>
                      </w:r>
                      <w:r>
                        <w:rPr>
                          <w:rFonts w:eastAsia="宋体" w:hint="eastAsia"/>
                          <w:highlight w:val="yellow"/>
                          <w:lang w:eastAsia="zh-CN"/>
                        </w:rPr>
                        <w:t xml:space="preserve"> , </w:t>
                      </w:r>
                      <w:r>
                        <w:rPr>
                          <w:rFonts w:eastAsia="宋体"/>
                          <w:position w:val="-14"/>
                          <w:highlight w:val="yellow"/>
                        </w:rPr>
                        <w:object w:dxaOrig="720" w:dyaOrig="420" w14:anchorId="2C31750E">
                          <v:shape id="_x0000_i1029" type="#_x0000_t75" style="width:36.2pt;height:21.2pt" o:ole="">
                            <v:imagedata r:id="rId22" o:title=""/>
                          </v:shape>
                          <o:OLEObject Type="Embed" ProgID="Equation.3" ShapeID="_x0000_i1029" DrawAspect="Content" ObjectID="_1691405853" r:id="rId36"/>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20" w:dyaOrig="420" w14:anchorId="00645895">
                          <v:shape id="_x0000_i1030" type="#_x0000_t75" style="width:36.2pt;height:21.2pt" o:ole="">
                            <v:imagedata r:id="rId24" o:title=""/>
                          </v:shape>
                          <o:OLEObject Type="Embed" ProgID="Equation.3" ShapeID="_x0000_i1030" DrawAspect="Content" ObjectID="_1691405854" r:id="rId3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20" w:dyaOrig="300" w14:anchorId="24A6EBFA">
                          <v:shape id="_x0000_i1031" type="#_x0000_t75" style="width:36.2pt;height:15pt" o:ole="">
                            <v:imagedata r:id="rId26" o:title=""/>
                          </v:shape>
                          <o:OLEObject Type="Embed" ProgID="Equation.3" ShapeID="_x0000_i1031" DrawAspect="Content" ObjectID="_1691405855" r:id="rId38"/>
                        </w:object>
                      </w:r>
                      <w:r>
                        <w:rPr>
                          <w:rFonts w:eastAsia="宋体" w:hint="eastAsia"/>
                          <w:highlight w:val="yellow"/>
                          <w:lang w:eastAsia="zh-CN"/>
                        </w:rPr>
                        <w:t xml:space="preserve"> and </w:t>
                      </w:r>
                      <w:r>
                        <w:rPr>
                          <w:rFonts w:eastAsia="宋体"/>
                          <w:position w:val="-10"/>
                          <w:highlight w:val="yellow"/>
                        </w:rPr>
                        <w:object w:dxaOrig="720" w:dyaOrig="300" w14:anchorId="32B790DE">
                          <v:shape id="_x0000_i1032" type="#_x0000_t75" style="width:36.2pt;height:15pt" o:ole="">
                            <v:imagedata r:id="rId28" o:title=""/>
                          </v:shape>
                          <o:OLEObject Type="Embed" ProgID="Equation.3" ShapeID="_x0000_i1032" DrawAspect="Content" ObjectID="_1691405856" r:id="rId39"/>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20" w:dyaOrig="300" w14:anchorId="473D5B9B">
                          <v:shape id="_x0000_i1033" type="#_x0000_t75" style="width:36.2pt;height:15pt" o:ole="">
                            <v:imagedata r:id="rId30" o:title=""/>
                          </v:shape>
                          <o:OLEObject Type="Embed" ProgID="Equation.3" ShapeID="_x0000_i1033" DrawAspect="Content" ObjectID="_1691405857" r:id="rId40"/>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43015F" w:rsidRDefault="0043015F">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420" w:dyaOrig="300" w14:anchorId="17F023AD">
                          <v:shape id="_x0000_i1034" type="#_x0000_t75" style="width:21.2pt;height:15pt" o:ole="">
                            <v:imagedata r:id="rId32" o:title=""/>
                          </v:shape>
                          <o:OLEObject Type="Embed" ProgID="Equation.3" ShapeID="_x0000_i1034" DrawAspect="Content" ObjectID="_1691405858"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43015F" w14:paraId="05D7F14E" w14:textId="77777777">
                        <w:trPr>
                          <w:jc w:val="center"/>
                        </w:trPr>
                        <w:tc>
                          <w:tcPr>
                            <w:tcW w:w="2411" w:type="dxa"/>
                            <w:vMerge w:val="restart"/>
                            <w:shd w:val="clear" w:color="auto" w:fill="E6E6E6"/>
                            <w:vAlign w:val="center"/>
                          </w:tcPr>
                          <w:p w14:paraId="0996369B" w14:textId="77777777" w:rsidR="0043015F" w:rsidRDefault="0043015F">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43015F" w:rsidRDefault="0043015F">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43015F" w14:paraId="0747651B" w14:textId="77777777">
                        <w:trPr>
                          <w:jc w:val="center"/>
                        </w:trPr>
                        <w:tc>
                          <w:tcPr>
                            <w:tcW w:w="2411" w:type="dxa"/>
                            <w:vMerge/>
                            <w:shd w:val="clear" w:color="auto" w:fill="E6E6E6"/>
                            <w:vAlign w:val="center"/>
                          </w:tcPr>
                          <w:p w14:paraId="4850E6FF" w14:textId="77777777" w:rsidR="0043015F" w:rsidRDefault="0043015F">
                            <w:pPr>
                              <w:keepNext/>
                              <w:keepLines/>
                              <w:spacing w:after="0" w:line="240" w:lineRule="auto"/>
                              <w:jc w:val="center"/>
                              <w:rPr>
                                <w:rFonts w:eastAsia="宋体"/>
                                <w:sz w:val="18"/>
                                <w:lang w:eastAsia="zh-CN"/>
                              </w:rPr>
                            </w:pPr>
                          </w:p>
                        </w:tc>
                        <w:tc>
                          <w:tcPr>
                            <w:tcW w:w="3472" w:type="dxa"/>
                            <w:vAlign w:val="center"/>
                          </w:tcPr>
                          <w:p w14:paraId="62BA9E2D"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43015F" w:rsidRDefault="0043015F">
                            <w:pPr>
                              <w:keepNext/>
                              <w:keepLines/>
                              <w:spacing w:after="0" w:line="240" w:lineRule="auto"/>
                              <w:jc w:val="center"/>
                              <w:rPr>
                                <w:rFonts w:eastAsia="宋体"/>
                                <w:sz w:val="18"/>
                                <w:lang w:eastAsia="zh-CN"/>
                              </w:rPr>
                            </w:pPr>
                            <w:r>
                              <w:rPr>
                                <w:rFonts w:eastAsia="宋体"/>
                                <w:lang w:eastAsia="zh-CN"/>
                              </w:rPr>
                              <w:t>π/2-BPSK</w:t>
                            </w:r>
                          </w:p>
                        </w:tc>
                      </w:tr>
                      <w:tr w:rsidR="0043015F" w14:paraId="11DEA18C" w14:textId="77777777">
                        <w:trPr>
                          <w:jc w:val="center"/>
                        </w:trPr>
                        <w:tc>
                          <w:tcPr>
                            <w:tcW w:w="2411" w:type="dxa"/>
                            <w:shd w:val="clear" w:color="auto" w:fill="E6E6E6"/>
                            <w:vAlign w:val="center"/>
                          </w:tcPr>
                          <w:p w14:paraId="58FE632C"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43015F" w:rsidRDefault="0043015F">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N/A</w:t>
                            </w:r>
                          </w:p>
                        </w:tc>
                      </w:tr>
                      <w:tr w:rsidR="0043015F" w14:paraId="313EB501" w14:textId="77777777">
                        <w:trPr>
                          <w:jc w:val="center"/>
                        </w:trPr>
                        <w:tc>
                          <w:tcPr>
                            <w:tcW w:w="2411" w:type="dxa"/>
                            <w:shd w:val="clear" w:color="auto" w:fill="E6E6E6"/>
                            <w:vAlign w:val="center"/>
                          </w:tcPr>
                          <w:p w14:paraId="24E81FB9" w14:textId="77777777" w:rsidR="0043015F" w:rsidRDefault="0043015F">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43015F" w:rsidRDefault="0043015F">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43015F" w:rsidRDefault="0043015F">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43015F" w14:paraId="156B9153" w14:textId="77777777">
                        <w:trPr>
                          <w:jc w:val="center"/>
                        </w:trPr>
                        <w:tc>
                          <w:tcPr>
                            <w:tcW w:w="2411" w:type="dxa"/>
                            <w:shd w:val="clear" w:color="auto" w:fill="E6E6E6"/>
                            <w:vAlign w:val="center"/>
                          </w:tcPr>
                          <w:p w14:paraId="4DB2A388" w14:textId="77777777" w:rsidR="0043015F" w:rsidRDefault="0043015F">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43015F" w:rsidRDefault="0043015F">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43015F" w:rsidRDefault="0043015F">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43015F" w:rsidRDefault="0043015F"/>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1" w:name="_Ref79068794"/>
            <w:r>
              <w:rPr>
                <w:rFonts w:ascii="Times New Roman" w:eastAsia="Times New Roman" w:hAnsi="Times New Roman"/>
                <w:b/>
                <w:sz w:val="20"/>
                <w:szCs w:val="24"/>
                <w:lang w:val="en-US" w:eastAsia="en-US"/>
              </w:rPr>
              <w:t>Proposal 11:</w:t>
            </w:r>
            <w:bookmarkStart w:id="72" w:name="OLE_LINK1"/>
            <w:bookmarkStart w:id="73"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1"/>
            <w:bookmarkEnd w:id="72"/>
            <w:bookmarkEnd w:id="73"/>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4" w:name="_Ref79074392"/>
            <w:r>
              <w:rPr>
                <w:rFonts w:eastAsia="Times New Roman"/>
                <w:b/>
                <w:bCs/>
                <w:sz w:val="24"/>
                <w:szCs w:val="24"/>
                <w:lang w:val="en-US" w:eastAsia="zh-CN"/>
              </w:rPr>
              <w:t>Proposal 4: Support rate matching to the number of allocated RBs using existing rate matching mechanism for PF4.</w:t>
            </w:r>
            <w:bookmarkEnd w:id="74"/>
          </w:p>
          <w:p w14:paraId="391D42D2" w14:textId="302F9C9B" w:rsidR="00C01785" w:rsidRDefault="004D6702">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w:t>
            </w:r>
            <w:r w:rsidR="00B51394">
              <w:rPr>
                <w:rFonts w:ascii="Arial" w:eastAsia="宋体" w:hAnsi="Arial" w:cs="Arial"/>
                <w:bCs/>
                <w:iCs/>
                <w:sz w:val="20"/>
                <w:szCs w:val="20"/>
                <w:lang w:val="en-US" w:eastAsia="zh-CN"/>
              </w:rPr>
              <w:t>’</w:t>
            </w:r>
            <w:r>
              <w:rPr>
                <w:rFonts w:ascii="Arial" w:eastAsia="宋体" w:hAnsi="Arial" w:cs="Arial"/>
                <w:bCs/>
                <w:iCs/>
                <w:sz w:val="20"/>
                <w:szCs w:val="20"/>
                <w:lang w:val="en-US" w:eastAsia="zh-CN"/>
              </w:rPr>
              <w:t xml:space="preserve">s proposal is Alt-1 due to the following statement prior to Proposal 4: </w:t>
            </w:r>
            <w:r w:rsidR="00B51394">
              <w:rPr>
                <w:rFonts w:ascii="Arial" w:eastAsia="宋体"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宋体"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5" w:name="_Toc79688486"/>
      <w:bookmarkStart w:id="76" w:name="_Toc79688792"/>
      <w:r>
        <w:t>6.2.1</w:t>
      </w:r>
      <w:r>
        <w:tab/>
        <w:t>&lt;1</w:t>
      </w:r>
      <w:r w:rsidRPr="00B51394">
        <w:rPr>
          <w:vertAlign w:val="superscript"/>
        </w:rPr>
        <w:t>st</w:t>
      </w:r>
      <w:r>
        <w:t xml:space="preserve"> Round Comments&gt;</w:t>
      </w:r>
      <w:bookmarkEnd w:id="75"/>
      <w:bookmarkEnd w:id="76"/>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40DEFBDE"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7" w:name="_Toc79688793"/>
      <w:r>
        <w:t>7</w:t>
      </w:r>
      <w:r>
        <w:tab/>
        <w:t>PUCCH Resource Set Prior to RRC Configuration</w:t>
      </w:r>
      <w:bookmarkStart w:id="78" w:name="_Toc1970570"/>
      <w:bookmarkStart w:id="79" w:name="_Toc5596060"/>
      <w:bookmarkStart w:id="80" w:name="_Toc62396114"/>
      <w:bookmarkStart w:id="81" w:name="_Toc8398224"/>
      <w:bookmarkStart w:id="82" w:name="_Toc5100812"/>
      <w:bookmarkStart w:id="83" w:name="_Toc535588825"/>
      <w:bookmarkStart w:id="84" w:name="_Toc69069532"/>
      <w:bookmarkStart w:id="85" w:name="_Toc5596374"/>
      <w:bookmarkStart w:id="86" w:name="_Toc17755492"/>
      <w:bookmarkStart w:id="87" w:name="_Toc8247956"/>
      <w:bookmarkEnd w:id="24"/>
      <w:bookmarkEnd w:id="25"/>
      <w:bookmarkEnd w:id="63"/>
      <w:bookmarkEnd w:id="64"/>
      <w:bookmarkEnd w:id="65"/>
      <w:bookmarkEnd w:id="77"/>
    </w:p>
    <w:p w14:paraId="46356652" w14:textId="77777777" w:rsidR="00C01785" w:rsidRDefault="004D6702">
      <w:pPr>
        <w:pStyle w:val="Heading2"/>
        <w:ind w:right="27"/>
      </w:pPr>
      <w:bookmarkStart w:id="88" w:name="_Toc79688794"/>
      <w:bookmarkStart w:id="89" w:name="_Hlk79402004"/>
      <w:r>
        <w:t>7.1</w:t>
      </w:r>
      <w:r>
        <w:tab/>
        <w:t>Indication of Number of RBs</w:t>
      </w:r>
      <w:bookmarkEnd w:id="88"/>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0"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0"/>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1" w:name="_Hlk79146687"/>
            <w:r>
              <w:rPr>
                <w:rFonts w:eastAsia="MS Gothic"/>
                <w:i/>
                <w:iCs/>
                <w:szCs w:val="18"/>
              </w:rPr>
              <w:t>at least cell-specific and UE-specific PRB offsets should be revisited for multi-PRB allocation</w:t>
            </w:r>
            <w:bookmarkEnd w:id="91"/>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2" w:name="_Toc79688795"/>
      <w:bookmarkStart w:id="93" w:name="_Toc79688489"/>
      <w:r>
        <w:t>7.1.1</w:t>
      </w:r>
      <w:r>
        <w:tab/>
        <w:t>&lt;1</w:t>
      </w:r>
      <w:r w:rsidRPr="00B51394">
        <w:rPr>
          <w:vertAlign w:val="superscript"/>
        </w:rPr>
        <w:t>st</w:t>
      </w:r>
      <w:r>
        <w:t xml:space="preserve"> Round Comments&gt;</w:t>
      </w:r>
      <w:bookmarkEnd w:id="92"/>
      <w:bookmarkEnd w:id="93"/>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0125D362"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are fine with Proposal 9.</w:t>
            </w:r>
          </w:p>
          <w:p w14:paraId="232B01C3"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A1: Al1 is preferred due to the better flexibility.</w:t>
            </w:r>
          </w:p>
          <w:p w14:paraId="43EF614B"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9"/>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宋体"/>
                <w:lang w:val="en-US"/>
              </w:rPr>
            </w:pPr>
            <w:r>
              <w:rPr>
                <w:rFonts w:eastAsia="宋体"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宋体"/>
                <w:lang w:val="en-US"/>
              </w:rPr>
            </w:pPr>
            <w:r>
              <w:rPr>
                <w:lang w:val="de-DE"/>
              </w:rPr>
              <w:lastRenderedPageBreak/>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4" w:name="_Toc79688796"/>
      <w:r>
        <w:t>7.2</w:t>
      </w:r>
      <w:r>
        <w:tab/>
        <w:t>PUCCH Resource Set Construction</w:t>
      </w:r>
      <w:bookmarkEnd w:id="94"/>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5"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5"/>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43015F" w:rsidRDefault="0043015F">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43015F" w:rsidRDefault="0043015F">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宋体"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43015F" w:rsidRDefault="0043015F">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11593ECF" w14:textId="77777777" w:rsidR="0043015F" w:rsidRDefault="0043015F">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7CB36BC" w14:textId="77777777" w:rsidR="0043015F" w:rsidRDefault="0043015F">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9FF923B" w14:textId="77777777" w:rsidR="0043015F" w:rsidRDefault="0043015F">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C99A34C" w14:textId="77777777" w:rsidR="0043015F" w:rsidRDefault="0043015F">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4D1A677C" w14:textId="77777777" w:rsidR="0043015F" w:rsidRDefault="0043015F">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43015F" w:rsidRDefault="0043015F">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43015F" w:rsidRDefault="0043015F">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43015F" w:rsidRDefault="0043015F">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43015F" w:rsidRDefault="0043015F">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43015F" w:rsidRDefault="0043015F">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43015F" w:rsidRDefault="0043015F">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43015F" w:rsidRDefault="0043015F">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43015F" w:rsidRDefault="0043015F">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6" w:name="_Toc79688491"/>
      <w:bookmarkStart w:id="97" w:name="_Toc79688797"/>
      <w:r>
        <w:t>7.2.1</w:t>
      </w:r>
      <w:r>
        <w:tab/>
        <w:t>&lt;1</w:t>
      </w:r>
      <w:r w:rsidRPr="00B51394">
        <w:rPr>
          <w:vertAlign w:val="superscript"/>
        </w:rPr>
        <w:t>st</w:t>
      </w:r>
      <w:r>
        <w:t xml:space="preserve"> Round Comments&gt;</w:t>
      </w:r>
      <w:bookmarkEnd w:id="96"/>
      <w:bookmarkEnd w:id="97"/>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44F7D576"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are fine with Proposal 10.</w:t>
            </w:r>
          </w:p>
          <w:p w14:paraId="72C4E98E"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A1: Alt1 is preferred due to the better flexibility.</w:t>
            </w:r>
          </w:p>
          <w:p w14:paraId="0740D6B0"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3E41AC19" w14:textId="77777777" w:rsidR="00C01785" w:rsidRDefault="004D6702">
            <w:pPr>
              <w:pStyle w:val="BodyText"/>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宋体"/>
                <w:lang w:val="en-US"/>
              </w:rPr>
            </w:pPr>
            <w:r>
              <w:rPr>
                <w:lang w:val="de-DE"/>
              </w:rPr>
              <w:t>Futurewei</w:t>
            </w:r>
          </w:p>
        </w:tc>
        <w:tc>
          <w:tcPr>
            <w:tcW w:w="7560" w:type="dxa"/>
          </w:tcPr>
          <w:p w14:paraId="25A2B192" w14:textId="77777777" w:rsidR="00C01785" w:rsidRDefault="004D6702">
            <w:pPr>
              <w:pStyle w:val="BodyText"/>
              <w:spacing w:after="0"/>
              <w:ind w:right="27"/>
              <w:rPr>
                <w:rFonts w:eastAsia="宋体"/>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宋体"/>
                <w:lang w:val="de-DE" w:eastAsia="ja-JP"/>
              </w:rPr>
            </w:pPr>
            <w:r>
              <w:rPr>
                <w:rFonts w:eastAsia="宋体" w:hint="eastAsia"/>
                <w:lang w:val="en-US"/>
              </w:rPr>
              <w:t>ZTE, Sanechips</w:t>
            </w:r>
          </w:p>
        </w:tc>
        <w:tc>
          <w:tcPr>
            <w:tcW w:w="7560" w:type="dxa"/>
          </w:tcPr>
          <w:p w14:paraId="6CFCDA67" w14:textId="77777777" w:rsidR="00C01785" w:rsidRDefault="004D6702">
            <w:pPr>
              <w:pStyle w:val="BodyText"/>
              <w:spacing w:after="0"/>
              <w:ind w:right="27"/>
              <w:rPr>
                <w:rFonts w:eastAsia="宋体"/>
                <w:lang w:val="en-US" w:eastAsia="ja-JP"/>
              </w:rPr>
            </w:pPr>
            <w:r>
              <w:rPr>
                <w:rFonts w:eastAsia="宋体"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宋体"/>
                <w:lang w:val="en-US"/>
              </w:rPr>
            </w:pPr>
            <w:r>
              <w:rPr>
                <w:rFonts w:eastAsia="宋体"/>
                <w:lang w:val="en-US"/>
              </w:rPr>
              <w:t>InterDigital</w:t>
            </w:r>
          </w:p>
        </w:tc>
        <w:tc>
          <w:tcPr>
            <w:tcW w:w="7560" w:type="dxa"/>
          </w:tcPr>
          <w:p w14:paraId="33FE6811" w14:textId="77777777" w:rsidR="00C01785" w:rsidRDefault="004D6702">
            <w:pPr>
              <w:pStyle w:val="BodyText"/>
              <w:spacing w:after="0"/>
              <w:ind w:right="27"/>
              <w:rPr>
                <w:rFonts w:eastAsia="宋体"/>
                <w:lang w:val="en-US"/>
              </w:rPr>
            </w:pPr>
            <w:r>
              <w:rPr>
                <w:rFonts w:eastAsia="宋体"/>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宋体"/>
                <w:sz w:val="20"/>
                <w:szCs w:val="20"/>
                <w:lang w:val="en-US"/>
              </w:rPr>
            </w:pPr>
            <w:r>
              <w:rPr>
                <w:rFonts w:eastAsia="宋体"/>
                <w:sz w:val="20"/>
                <w:szCs w:val="20"/>
                <w:lang w:val="en-US"/>
              </w:rPr>
              <w:t>Apple</w:t>
            </w:r>
          </w:p>
        </w:tc>
        <w:tc>
          <w:tcPr>
            <w:tcW w:w="7560" w:type="dxa"/>
          </w:tcPr>
          <w:p w14:paraId="3F2F220B" w14:textId="77777777" w:rsidR="00C01785" w:rsidRDefault="004D6702">
            <w:pPr>
              <w:pStyle w:val="BodyText"/>
              <w:spacing w:after="0"/>
              <w:ind w:right="27"/>
              <w:rPr>
                <w:rFonts w:eastAsia="宋体"/>
                <w:sz w:val="20"/>
                <w:szCs w:val="20"/>
                <w:lang w:val="en-US"/>
              </w:rPr>
            </w:pPr>
            <w:r>
              <w:rPr>
                <w:rFonts w:eastAsia="宋体"/>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宋体"/>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宋体"/>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宋体"/>
                <w:sz w:val="20"/>
                <w:szCs w:val="20"/>
                <w:lang w:val="en-US"/>
              </w:rPr>
              <w:t>Huawei/HiSilicon</w:t>
            </w:r>
          </w:p>
        </w:tc>
        <w:tc>
          <w:tcPr>
            <w:tcW w:w="7560" w:type="dxa"/>
          </w:tcPr>
          <w:p w14:paraId="1DA59A16" w14:textId="77777777" w:rsidR="00C01785" w:rsidRDefault="004D6702">
            <w:pPr>
              <w:pStyle w:val="BodyText"/>
              <w:spacing w:after="0"/>
              <w:ind w:right="27"/>
            </w:pPr>
            <w:r>
              <w:rPr>
                <w:rFonts w:eastAsia="宋体"/>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宋体"/>
                <w:lang w:val="en-US"/>
              </w:rPr>
            </w:pPr>
            <w:r>
              <w:rPr>
                <w:rFonts w:eastAsia="宋体"/>
                <w:lang w:val="en-US"/>
              </w:rPr>
              <w:t>Qualcomm</w:t>
            </w:r>
          </w:p>
        </w:tc>
        <w:tc>
          <w:tcPr>
            <w:tcW w:w="7560" w:type="dxa"/>
          </w:tcPr>
          <w:p w14:paraId="0FF2FAD5" w14:textId="77777777" w:rsidR="00C01785" w:rsidRDefault="004D6702">
            <w:pPr>
              <w:pStyle w:val="BodyText"/>
              <w:spacing w:after="0"/>
              <w:ind w:right="27"/>
              <w:rPr>
                <w:rFonts w:eastAsia="宋体"/>
                <w:lang w:val="en-US"/>
              </w:rPr>
            </w:pPr>
            <w:r>
              <w:rPr>
                <w:rFonts w:eastAsia="宋体"/>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宋体"/>
                <w:lang w:val="en-US"/>
              </w:rPr>
            </w:pPr>
          </w:p>
          <w:p w14:paraId="06B1046F" w14:textId="7D8AD0AC" w:rsidR="00C01785" w:rsidRDefault="004D6702">
            <w:pPr>
              <w:pStyle w:val="BodyText"/>
              <w:spacing w:after="0"/>
              <w:ind w:right="27"/>
              <w:rPr>
                <w:rFonts w:eastAsia="宋体"/>
                <w:lang w:val="en-US"/>
              </w:rPr>
            </w:pPr>
            <w:r>
              <w:rPr>
                <w:rFonts w:eastAsia="宋体"/>
                <w:lang w:val="en-US"/>
              </w:rPr>
              <w:t>While we generally agree with the construction procedure in example 1, we disagree that “</w:t>
            </w:r>
            <w:r>
              <w:t>the indicated N_RB and initial UL BWP size are compatible to ensure that 16 PUCCH resources can be constructed as per Rel-15/16</w:t>
            </w:r>
            <w:r>
              <w:rPr>
                <w:rFonts w:eastAsia="宋体"/>
                <w:lang w:val="en-US"/>
              </w:rPr>
              <w:t xml:space="preserve">”. As we mentioned several times, this limits the cell coverage as </w:t>
            </w:r>
            <w:r w:rsidR="00B51394">
              <w:rPr>
                <w:rFonts w:eastAsia="宋体"/>
                <w:lang w:val="en-US"/>
              </w:rPr>
              <w:t>Gnb</w:t>
            </w:r>
            <w:r>
              <w:rPr>
                <w:rFonts w:eastAsia="宋体"/>
                <w:lang w:val="en-US"/>
              </w:rPr>
              <w:t xml:space="preserve"> may need to choose some smaller N_RB for small UL BWP size.</w:t>
            </w:r>
          </w:p>
          <w:p w14:paraId="5003D470" w14:textId="77777777" w:rsidR="00C01785" w:rsidRDefault="00C01785">
            <w:pPr>
              <w:pStyle w:val="BodyText"/>
              <w:spacing w:after="0"/>
              <w:ind w:right="27"/>
              <w:rPr>
                <w:rFonts w:eastAsia="宋体"/>
                <w:lang w:val="en-US"/>
              </w:rPr>
            </w:pPr>
          </w:p>
          <w:p w14:paraId="3DF9BCC8" w14:textId="745A1046" w:rsidR="00C01785" w:rsidRDefault="004D6702">
            <w:pPr>
              <w:pStyle w:val="BodyText"/>
              <w:spacing w:after="0"/>
              <w:ind w:right="27"/>
              <w:rPr>
                <w:rFonts w:eastAsia="宋体"/>
                <w:lang w:val="en-US"/>
              </w:rPr>
            </w:pPr>
            <w:r>
              <w:rPr>
                <w:rFonts w:eastAsia="宋体"/>
                <w:lang w:val="en-US"/>
              </w:rPr>
              <w:t xml:space="preserve">As some companies also mentioned, we think </w:t>
            </w:r>
            <w:r w:rsidR="00B51394">
              <w:rPr>
                <w:rFonts w:eastAsia="宋体"/>
                <w:lang w:val="en-US"/>
              </w:rPr>
              <w:t>Gnb</w:t>
            </w:r>
            <w:r>
              <w:rPr>
                <w:rFonts w:eastAsia="宋体"/>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宋体"/>
                <w:lang w:val="en-US"/>
              </w:rPr>
            </w:pPr>
          </w:p>
          <w:p w14:paraId="2033D166" w14:textId="3363E3FB" w:rsidR="00C01785" w:rsidRDefault="004D6702">
            <w:pPr>
              <w:pStyle w:val="BodyText"/>
              <w:spacing w:after="0"/>
              <w:ind w:right="27"/>
              <w:rPr>
                <w:rFonts w:eastAsia="宋体"/>
                <w:lang w:val="en-US"/>
              </w:rPr>
            </w:pPr>
            <w:r>
              <w:rPr>
                <w:rFonts w:eastAsia="宋体"/>
                <w:lang w:val="en-US"/>
              </w:rPr>
              <w:t xml:space="preserve">As we handcuffed ourselves not to address RB shortage issue, We may live with the fact that 16 common PUCCH resource will overlap and let </w:t>
            </w:r>
            <w:r w:rsidR="00B51394">
              <w:rPr>
                <w:rFonts w:eastAsia="宋体"/>
                <w:lang w:val="en-US"/>
              </w:rPr>
              <w:t>Gnb</w:t>
            </w:r>
            <w:r>
              <w:rPr>
                <w:rFonts w:eastAsia="宋体"/>
                <w:lang w:val="en-US"/>
              </w:rPr>
              <w:t xml:space="preserve"> try to avoid using overlapping resource in the same time.</w:t>
            </w:r>
          </w:p>
          <w:p w14:paraId="7EF50074" w14:textId="77777777" w:rsidR="00C01785" w:rsidRDefault="00C01785">
            <w:pPr>
              <w:pStyle w:val="BodyText"/>
              <w:spacing w:after="0"/>
              <w:ind w:right="27"/>
              <w:rPr>
                <w:rFonts w:eastAsia="宋体"/>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宋体"/>
                <w:lang w:val="en-US"/>
              </w:rPr>
            </w:pPr>
            <w:r>
              <w:rPr>
                <w:rFonts w:eastAsia="宋体" w:hint="eastAsia"/>
                <w:lang w:val="en-US"/>
              </w:rPr>
              <w:t>S</w:t>
            </w:r>
            <w:r>
              <w:rPr>
                <w:rFonts w:eastAsia="宋体"/>
                <w:lang w:val="en-US"/>
              </w:rPr>
              <w:t>amsung</w:t>
            </w:r>
          </w:p>
        </w:tc>
        <w:tc>
          <w:tcPr>
            <w:tcW w:w="7560" w:type="dxa"/>
          </w:tcPr>
          <w:p w14:paraId="73B7E94D" w14:textId="77777777" w:rsidR="00C01785" w:rsidRDefault="004D6702">
            <w:pPr>
              <w:pStyle w:val="BodyText"/>
              <w:spacing w:after="0"/>
              <w:ind w:right="27"/>
              <w:rPr>
                <w:rFonts w:eastAsia="宋体"/>
                <w:sz w:val="20"/>
                <w:szCs w:val="20"/>
                <w:lang w:val="en-US"/>
              </w:rPr>
            </w:pPr>
            <w:r>
              <w:rPr>
                <w:rFonts w:eastAsia="宋体"/>
                <w:sz w:val="20"/>
                <w:szCs w:val="20"/>
                <w:lang w:val="en-US"/>
              </w:rPr>
              <w:t>We are fine with Example 1</w:t>
            </w:r>
          </w:p>
          <w:p w14:paraId="717E1DA4" w14:textId="77777777" w:rsidR="00C01785" w:rsidRDefault="004D6702">
            <w:pPr>
              <w:pStyle w:val="BodyText"/>
              <w:spacing w:after="0"/>
              <w:ind w:right="27"/>
              <w:rPr>
                <w:rFonts w:eastAsia="宋体"/>
                <w:lang w:val="en-US"/>
              </w:rPr>
            </w:pPr>
            <w:r>
              <w:rPr>
                <w:rFonts w:eastAsia="宋体" w:hint="eastAsia"/>
                <w:lang w:val="en-US"/>
              </w:rPr>
              <w:t>R</w:t>
            </w:r>
            <w:r>
              <w:rPr>
                <w:rFonts w:eastAsia="宋体"/>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宋体"/>
                <w:sz w:val="20"/>
              </w:rPr>
              <w:t xml:space="preserve">,  it seems the equation in example 1 is alreadly sufficient, e.g.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宋体"/>
                <w:lang w:val="en-US"/>
              </w:rPr>
            </w:pPr>
            <w:r w:rsidRPr="00D2473C">
              <w:rPr>
                <w:rFonts w:eastAsia="宋体"/>
                <w:sz w:val="20"/>
                <w:szCs w:val="20"/>
                <w:lang w:val="en-US"/>
              </w:rPr>
              <w:lastRenderedPageBreak/>
              <w:t>Sony</w:t>
            </w:r>
          </w:p>
        </w:tc>
        <w:tc>
          <w:tcPr>
            <w:tcW w:w="7560" w:type="dxa"/>
          </w:tcPr>
          <w:p w14:paraId="569E940E" w14:textId="390A96B5" w:rsidR="00D2473C" w:rsidRDefault="00D2473C" w:rsidP="00D2473C">
            <w:pPr>
              <w:pStyle w:val="BodyText"/>
              <w:spacing w:after="0"/>
              <w:ind w:right="27"/>
              <w:rPr>
                <w:rFonts w:eastAsia="宋体"/>
                <w:lang w:val="en-US"/>
              </w:rPr>
            </w:pPr>
            <w:r>
              <w:rPr>
                <w:rFonts w:eastAsia="宋体"/>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宋体"/>
                <w:lang w:val="en-US"/>
              </w:rPr>
            </w:pPr>
            <w:r>
              <w:rPr>
                <w:rFonts w:eastAsia="宋体" w:hint="eastAsia"/>
                <w:lang w:val="en-US"/>
              </w:rPr>
              <w:t>O</w:t>
            </w:r>
            <w:r>
              <w:rPr>
                <w:rFonts w:eastAsia="宋体"/>
                <w:lang w:val="en-US"/>
              </w:rPr>
              <w:t>PPO</w:t>
            </w:r>
          </w:p>
        </w:tc>
        <w:tc>
          <w:tcPr>
            <w:tcW w:w="7560" w:type="dxa"/>
          </w:tcPr>
          <w:p w14:paraId="19AB2C03" w14:textId="12FF9310" w:rsidR="00B51394" w:rsidRDefault="00B51394" w:rsidP="00D2473C">
            <w:pPr>
              <w:pStyle w:val="BodyText"/>
              <w:spacing w:after="0"/>
              <w:ind w:right="27"/>
              <w:rPr>
                <w:rFonts w:eastAsia="宋体"/>
                <w:lang w:val="en-US"/>
              </w:rPr>
            </w:pPr>
            <w:r>
              <w:rPr>
                <w:rFonts w:eastAsia="宋体" w:hint="eastAsia"/>
                <w:lang w:val="en-US"/>
              </w:rPr>
              <w:t>W</w:t>
            </w:r>
            <w:r>
              <w:rPr>
                <w:rFonts w:eastAsia="宋体"/>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8" w:name="_Toc79688492"/>
      <w:bookmarkStart w:id="99" w:name="_Toc71910541"/>
      <w:bookmarkStart w:id="100" w:name="_Toc79688798"/>
      <w:r>
        <w:t>References</w:t>
      </w:r>
      <w:bookmarkEnd w:id="78"/>
      <w:bookmarkEnd w:id="79"/>
      <w:bookmarkEnd w:id="80"/>
      <w:bookmarkEnd w:id="81"/>
      <w:bookmarkEnd w:id="82"/>
      <w:bookmarkEnd w:id="83"/>
      <w:bookmarkEnd w:id="84"/>
      <w:bookmarkEnd w:id="85"/>
      <w:bookmarkEnd w:id="86"/>
      <w:bookmarkEnd w:id="87"/>
      <w:bookmarkEnd w:id="98"/>
      <w:bookmarkEnd w:id="99"/>
      <w:bookmarkEnd w:id="100"/>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A814" w14:textId="77777777" w:rsidR="00BD630A" w:rsidRDefault="00BD630A">
      <w:pPr>
        <w:spacing w:after="0" w:line="240" w:lineRule="auto"/>
      </w:pPr>
      <w:r>
        <w:separator/>
      </w:r>
    </w:p>
  </w:endnote>
  <w:endnote w:type="continuationSeparator" w:id="0">
    <w:p w14:paraId="63C92ED7" w14:textId="77777777" w:rsidR="00BD630A" w:rsidRDefault="00BD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微软雅黑"/>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A550" w14:textId="77777777" w:rsidR="0043015F" w:rsidRDefault="004301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274BC">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74BC">
      <w:rPr>
        <w:rStyle w:val="PageNumber"/>
        <w:noProof/>
      </w:rPr>
      <w:t>63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19BB2" w14:textId="77777777" w:rsidR="00BD630A" w:rsidRDefault="00BD630A">
      <w:pPr>
        <w:spacing w:after="0" w:line="240" w:lineRule="auto"/>
      </w:pPr>
      <w:r>
        <w:separator/>
      </w:r>
    </w:p>
  </w:footnote>
  <w:footnote w:type="continuationSeparator" w:id="0">
    <w:p w14:paraId="5CECB626" w14:textId="77777777" w:rsidR="00BD630A" w:rsidRDefault="00BD6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2CBF" w14:textId="77777777" w:rsidR="0043015F" w:rsidRDefault="004301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48D8"/>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6.xml><?xml version="1.0" encoding="utf-8"?>
<ds:datastoreItem xmlns:ds="http://schemas.openxmlformats.org/officeDocument/2006/customXml" ds:itemID="{9C9DA2CE-5DA0-46BB-99C3-18F31D27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63</Pages>
  <Words>23705</Words>
  <Characters>135123</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2021-08-25T11:50:00Z</dcterms:created>
  <dcterms:modified xsi:type="dcterms:W3CDTF">2021-08-25T11:50:00Z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