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&#13;&#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lastRenderedPageBreak/>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lastRenderedPageBreak/>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lastRenderedPageBreak/>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D47936">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5.85pt;height:11.9pt;mso-width-percent:0;mso-height-percent:0;mso-width-percent:0;mso-height-percent:0" equationxml="&lt;">
                  <v:imagedata r:id="rId14" o:title="" chromakey="white"/>
                </v:shape>
              </w:pict>
            </w:r>
            <w:r>
              <w:rPr>
                <w:i/>
                <w:iCs/>
                <w:lang w:val="en-US"/>
              </w:rPr>
              <w:t xml:space="preserve">  where </w:t>
            </w:r>
            <w:r w:rsidR="00D47936">
              <w:rPr>
                <w:noProof/>
                <w:position w:val="-5"/>
                <w:sz w:val="20"/>
                <w:szCs w:val="20"/>
              </w:rPr>
              <w:pict w14:anchorId="189711EF">
                <v:shape id="_x0000_i1025"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bl>
    <w:p w14:paraId="5B66AC49" w14:textId="77777777" w:rsidR="00CC0A71" w:rsidRDefault="00CC0A71">
      <w:pPr>
        <w:pStyle w:val="BodyText"/>
        <w:rPr>
          <w:rFonts w:cs="Arial"/>
          <w:lang w:val="en-US"/>
        </w:rPr>
      </w:pPr>
    </w:p>
    <w:p w14:paraId="0CEC4D8E" w14:textId="77777777"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lastRenderedPageBreak/>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 xml:space="preserve">Lenovo, </w:t>
            </w:r>
            <w:proofErr w:type="spellStart"/>
            <w:r w:rsidRPr="00CB6463">
              <w:rPr>
                <w:rFonts w:eastAsia="Yu Mincho"/>
                <w:sz w:val="20"/>
                <w:szCs w:val="20"/>
                <w:lang w:val="de-DE" w:eastAsia="ja-JP"/>
              </w:rPr>
              <w:t>Motoroloa</w:t>
            </w:r>
            <w:proofErr w:type="spellEnd"/>
            <w:r w:rsidRPr="00CB6463">
              <w:rPr>
                <w:rFonts w:eastAsia="Yu Mincho"/>
                <w:sz w:val="20"/>
                <w:szCs w:val="20"/>
                <w:lang w:val="de-DE" w:eastAsia="ja-JP"/>
              </w:rPr>
              <w:t xml:space="preserve">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sidRPr="00CB6463">
              <w:rPr>
                <w:sz w:val="20"/>
                <w:szCs w:val="20"/>
              </w:rPr>
              <w:t>2, if</w:t>
            </w:r>
            <w:proofErr w:type="gramEnd"/>
            <w:r w:rsidRPr="00CB6463">
              <w:rPr>
                <w:sz w:val="20"/>
                <w:szCs w:val="20"/>
              </w:rPr>
              <w:t xml:space="preserve"> a combination of </w:t>
            </w:r>
            <w:proofErr w:type="spellStart"/>
            <w:r w:rsidRPr="00CB6463">
              <w:rPr>
                <w:sz w:val="20"/>
                <w:szCs w:val="20"/>
              </w:rPr>
              <w:t>repeitition</w:t>
            </w:r>
            <w:proofErr w:type="spellEnd"/>
            <w:r w:rsidRPr="00CB6463">
              <w:rPr>
                <w:sz w:val="20"/>
                <w:szCs w:val="20"/>
              </w:rPr>
              <w:t xml:space="preserve"> and long sequence is supported. For example, the long sequence is used for multiple RBs (but not total RBs) and then </w:t>
            </w:r>
            <w:proofErr w:type="spellStart"/>
            <w:r w:rsidRPr="00CB6463">
              <w:rPr>
                <w:sz w:val="20"/>
                <w:szCs w:val="20"/>
              </w:rPr>
              <w:t>repetiting</w:t>
            </w:r>
            <w:proofErr w:type="spellEnd"/>
            <w:r w:rsidRPr="00CB6463">
              <w:rPr>
                <w:sz w:val="20"/>
                <w:szCs w:val="20"/>
              </w:rPr>
              <w:t xml:space="preserve">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proofErr w:type="spellStart"/>
            <w:r w:rsidRPr="00A311B7">
              <w:rPr>
                <w:sz w:val="20"/>
                <w:szCs w:val="20"/>
                <w:lang w:val="en-US"/>
              </w:rPr>
              <w:t>We</w:t>
            </w:r>
            <w:proofErr w:type="spellEnd"/>
            <w:r w:rsidRPr="00A311B7">
              <w:rPr>
                <w:sz w:val="20"/>
                <w:szCs w:val="20"/>
                <w:lang w:val="en-US"/>
              </w:rPr>
              <w:t xml:space="preserve"> prefer Alt 1</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lastRenderedPageBreak/>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lastRenderedPageBreak/>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77777777"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lastRenderedPageBreak/>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77777777"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 xml:space="preserve">As we discussed, Alt 2 has the benefit when UE multiplexing is considered. We propose to support it along with Alt 1 to cover all possible </w:t>
            </w:r>
            <w:proofErr w:type="spellStart"/>
            <w:r w:rsidRPr="00CB6463">
              <w:rPr>
                <w:sz w:val="20"/>
                <w:szCs w:val="20"/>
                <w:lang w:val="en-US"/>
              </w:rPr>
              <w:t>senarios</w:t>
            </w:r>
            <w:proofErr w:type="spellEnd"/>
            <w:r w:rsidRPr="00CB6463">
              <w:rPr>
                <w:sz w:val="20"/>
                <w:szCs w:val="20"/>
                <w:lang w:val="en-US"/>
              </w:rPr>
              <w:t>.</w:t>
            </w:r>
          </w:p>
          <w:p w14:paraId="63650FD0" w14:textId="77777777" w:rsidR="00CC0A71" w:rsidRPr="00CB6463" w:rsidRDefault="0058707E">
            <w:pPr>
              <w:pStyle w:val="BodyText"/>
              <w:spacing w:after="0"/>
              <w:ind w:right="27"/>
              <w:rPr>
                <w:sz w:val="20"/>
                <w:szCs w:val="20"/>
                <w:lang w:val="en-US"/>
              </w:rPr>
            </w:pPr>
            <w:proofErr w:type="spellStart"/>
            <w:r w:rsidRPr="00CB6463">
              <w:rPr>
                <w:sz w:val="20"/>
                <w:szCs w:val="20"/>
                <w:lang w:val="en-US"/>
              </w:rPr>
              <w:t>Espeacially</w:t>
            </w:r>
            <w:proofErr w:type="spellEnd"/>
            <w:r w:rsidRPr="00CB6463">
              <w:rPr>
                <w:sz w:val="20"/>
                <w:szCs w:val="20"/>
                <w:lang w:val="en-US"/>
              </w:rPr>
              <w:t xml:space="preserve"> for DMRS for PF4, as </w:t>
            </w:r>
            <w:proofErr w:type="spellStart"/>
            <w:r w:rsidRPr="00CB6463">
              <w:rPr>
                <w:sz w:val="20"/>
                <w:szCs w:val="20"/>
                <w:lang w:val="en-US"/>
              </w:rPr>
              <w:t>summaried</w:t>
            </w:r>
            <w:proofErr w:type="spellEnd"/>
            <w:r w:rsidRPr="00CB6463">
              <w:rPr>
                <w:sz w:val="20"/>
                <w:szCs w:val="20"/>
                <w:lang w:val="en-US"/>
              </w:rPr>
              <w:t xml:space="preserve">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bookmarkEnd w:id="53"/>
      <w:bookmarkEnd w:id="60"/>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1BCAAAC8" w14:textId="77777777" w:rsidR="00CC0A71" w:rsidRDefault="0058707E">
      <w:pPr>
        <w:pStyle w:val="Heading2"/>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w:t>
                      </w:r>
                      <w:r>
                        <w:rPr>
                          <w:rFonts w:eastAsia="宋体"/>
                        </w:rPr>
                        <w:t xml:space="preserve">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value as defined in Clause 5.2.5. CSI report is o</w:t>
                      </w:r>
                      <w:r>
                        <w:rPr>
                          <w:rFonts w:eastAsia="宋体"/>
                        </w:rPr>
                        <w:t xml:space="preserve">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bl>
    <w:p w14:paraId="366AFACF" w14:textId="77777777" w:rsidR="00CC0A71" w:rsidRDefault="00CC0A71"/>
    <w:p w14:paraId="41249E3B" w14:textId="77777777" w:rsidR="00CC0A71" w:rsidRDefault="0058707E">
      <w:pPr>
        <w:pStyle w:val="Heading2"/>
        <w:ind w:right="27"/>
      </w:pPr>
      <w:bookmarkStart w:id="69" w:name="_Toc79688791"/>
      <w:r>
        <w:t>6.2</w:t>
      </w:r>
      <w:r>
        <w:tab/>
        <w:t>Rate Matching for PF4</w:t>
      </w:r>
      <w:bookmarkEnd w:id="69"/>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9" w:dyaOrig="319" w14:anchorId="2ED54DD5">
                                <v:shape id="_x0000_i1034" type="#_x0000_t75" alt="" style="width:18.5pt;height:15.85pt;mso-width-percent:0;mso-height-percent:0;mso-width-percent:0;mso-height-percent:0">
                                  <v:imagedata r:id="rId16" o:title=""/>
                                </v:shape>
                                <o:OLEObject Type="Embed" ProgID="Equation.3" ShapeID="_x0000_i1034" DrawAspect="Content" ObjectID="_1690628781" r:id="rId17"/>
                              </w:object>
                            </w:r>
                            <w:r>
                              <w:rPr>
                                <w:rFonts w:eastAsia="SimSun" w:hint="eastAsia"/>
                                <w:highlight w:val="yellow"/>
                                <w:lang w:eastAsia="zh-CN"/>
                              </w:rPr>
                              <w:t xml:space="preserve"> is given by Table 6.3.1.4-1, where </w:t>
                            </w:r>
                            <w:r w:rsidR="00D47936">
                              <w:rPr>
                                <w:rFonts w:eastAsia="SimSun"/>
                                <w:noProof/>
                                <w:position w:val="-14"/>
                                <w:highlight w:val="yellow"/>
                              </w:rPr>
                              <w:object w:dxaOrig="770" w:dyaOrig="369" w14:anchorId="132A3F47">
                                <v:shape id="_x0000_i1033" type="#_x0000_t75" alt="" style="width:38.3pt;height:18.5pt;mso-width-percent:0;mso-height-percent:0;mso-width-percent:0;mso-height-percent:0">
                                  <v:imagedata r:id="rId18" o:title=""/>
                                </v:shape>
                                <o:OLEObject Type="Embed" ProgID="Equation.3" ShapeID="_x0000_i1033" DrawAspect="Content" ObjectID="_1690628782" r:id="rId19"/>
                              </w:object>
                            </w:r>
                            <w:r>
                              <w:rPr>
                                <w:rFonts w:eastAsia="SimSun" w:hint="eastAsia"/>
                                <w:highlight w:val="yellow"/>
                                <w:lang w:eastAsia="zh-CN"/>
                              </w:rPr>
                              <w:t xml:space="preserve"> , </w:t>
                            </w:r>
                            <w:r w:rsidR="00D47936">
                              <w:rPr>
                                <w:rFonts w:eastAsia="SimSun"/>
                                <w:noProof/>
                                <w:position w:val="-14"/>
                                <w:highlight w:val="yellow"/>
                              </w:rPr>
                              <w:object w:dxaOrig="770" w:dyaOrig="369" w14:anchorId="600781C1">
                                <v:shape id="_x0000_i1032" type="#_x0000_t75" alt="" style="width:38.3pt;height:18.5pt;mso-width-percent:0;mso-height-percent:0;mso-width-percent:0;mso-height-percent:0">
                                  <v:imagedata r:id="rId20" o:title=""/>
                                </v:shape>
                                <o:OLEObject Type="Embed" ProgID="Equation.3" ShapeID="_x0000_i1032" DrawAspect="Content" ObjectID="_1690628783" r:id="rId21"/>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70" w:dyaOrig="369" w14:anchorId="38008C8E">
                                <v:shape id="_x0000_i1031" type="#_x0000_t75" alt="" style="width:38.3pt;height:18.5pt;mso-width-percent:0;mso-height-percent:0;mso-width-percent:0;mso-height-percent:0">
                                  <v:imagedata r:id="rId22" o:title=""/>
                                </v:shape>
                                <o:OLEObject Type="Embed" ProgID="Equation.3" ShapeID="_x0000_i1031" DrawAspect="Content" ObjectID="_1690628784"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70" w:dyaOrig="319" w14:anchorId="68A3042C">
                                <v:shape id="_x0000_i1030" type="#_x0000_t75" alt="" style="width:38.3pt;height:15.85pt;mso-width-percent:0;mso-height-percent:0;mso-width-percent:0;mso-height-percent:0">
                                  <v:imagedata r:id="rId24" o:title=""/>
                                </v:shape>
                                <o:OLEObject Type="Embed" ProgID="Equation.3" ShapeID="_x0000_i1030" DrawAspect="Content" ObjectID="_1690628785" r:id="rId25"/>
                              </w:object>
                            </w:r>
                            <w:r>
                              <w:rPr>
                                <w:rFonts w:eastAsia="SimSun" w:hint="eastAsia"/>
                                <w:highlight w:val="yellow"/>
                                <w:lang w:eastAsia="zh-CN"/>
                              </w:rPr>
                              <w:t xml:space="preserve"> and </w:t>
                            </w:r>
                            <w:r w:rsidR="00D47936">
                              <w:rPr>
                                <w:rFonts w:eastAsia="SimSun"/>
                                <w:noProof/>
                                <w:position w:val="-10"/>
                                <w:highlight w:val="yellow"/>
                              </w:rPr>
                              <w:object w:dxaOrig="770" w:dyaOrig="319" w14:anchorId="7D2B3236">
                                <v:shape id="_x0000_i1029" type="#_x0000_t75" alt="" style="width:38.3pt;height:15.85pt;mso-width-percent:0;mso-height-percent:0;mso-width-percent:0;mso-height-percent:0">
                                  <v:imagedata r:id="rId26" o:title=""/>
                                </v:shape>
                                <o:OLEObject Type="Embed" ProgID="Equation.3" ShapeID="_x0000_i1029" DrawAspect="Content" ObjectID="_1690628786"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70" w:dyaOrig="319" w14:anchorId="42C51A97">
                                <v:shape id="_x0000_i1028" type="#_x0000_t75" alt="" style="width:38.3pt;height:15.85pt;mso-width-percent:0;mso-height-percent:0;mso-width-percent:0;mso-height-percent:0">
                                  <v:imagedata r:id="rId28" o:title=""/>
                                </v:shape>
                                <o:OLEObject Type="Embed" ProgID="Equation.3" ShapeID="_x0000_i1028" DrawAspect="Content" ObjectID="_1690628787"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9" w:dyaOrig="319" w14:anchorId="0C1FF575">
                                <v:shape id="_x0000_i1027" type="#_x0000_t75" alt="" style="width:18.5pt;height:15.85pt;mso-width-percent:0;mso-height-percent:0;mso-width-percent:0;mso-height-percent:0">
                                  <v:imagedata r:id="rId30" o:title=""/>
                                </v:shape>
                                <o:OLEObject Type="Embed" ProgID="Equation.3" ShapeID="_x0000_i1027" DrawAspect="Content" ObjectID="_1690628788"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">
                <v:textbo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9" w:dyaOrig="319" w14:anchorId="2ED54DD5">
                          <v:shape id="_x0000_i1034" type="#_x0000_t75" alt="" style="width:18.5pt;height:15.85pt;mso-width-percent:0;mso-height-percent:0;mso-width-percent:0;mso-height-percent:0">
                            <v:imagedata r:id="rId16" o:title=""/>
                          </v:shape>
                          <o:OLEObject Type="Embed" ProgID="Equation.3" ShapeID="_x0000_i1034" DrawAspect="Content" ObjectID="_1690628781" r:id="rId32"/>
                        </w:object>
                      </w:r>
                      <w:r>
                        <w:rPr>
                          <w:rFonts w:eastAsia="SimSun" w:hint="eastAsia"/>
                          <w:highlight w:val="yellow"/>
                          <w:lang w:eastAsia="zh-CN"/>
                        </w:rPr>
                        <w:t xml:space="preserve"> is given by Table 6.3.1.4-1, where </w:t>
                      </w:r>
                      <w:r w:rsidR="00D47936">
                        <w:rPr>
                          <w:rFonts w:eastAsia="SimSun"/>
                          <w:noProof/>
                          <w:position w:val="-14"/>
                          <w:highlight w:val="yellow"/>
                        </w:rPr>
                        <w:object w:dxaOrig="770" w:dyaOrig="369" w14:anchorId="132A3F47">
                          <v:shape id="_x0000_i1033" type="#_x0000_t75" alt="" style="width:38.3pt;height:18.5pt;mso-width-percent:0;mso-height-percent:0;mso-width-percent:0;mso-height-percent:0">
                            <v:imagedata r:id="rId18" o:title=""/>
                          </v:shape>
                          <o:OLEObject Type="Embed" ProgID="Equation.3" ShapeID="_x0000_i1033" DrawAspect="Content" ObjectID="_1690628782" r:id="rId33"/>
                        </w:object>
                      </w:r>
                      <w:r>
                        <w:rPr>
                          <w:rFonts w:eastAsia="SimSun" w:hint="eastAsia"/>
                          <w:highlight w:val="yellow"/>
                          <w:lang w:eastAsia="zh-CN"/>
                        </w:rPr>
                        <w:t xml:space="preserve"> , </w:t>
                      </w:r>
                      <w:r w:rsidR="00D47936">
                        <w:rPr>
                          <w:rFonts w:eastAsia="SimSun"/>
                          <w:noProof/>
                          <w:position w:val="-14"/>
                          <w:highlight w:val="yellow"/>
                        </w:rPr>
                        <w:object w:dxaOrig="770" w:dyaOrig="369" w14:anchorId="600781C1">
                          <v:shape id="_x0000_i1032" type="#_x0000_t75" alt="" style="width:38.3pt;height:18.5pt;mso-width-percent:0;mso-height-percent:0;mso-width-percent:0;mso-height-percent:0">
                            <v:imagedata r:id="rId20" o:title=""/>
                          </v:shape>
                          <o:OLEObject Type="Embed" ProgID="Equation.3" ShapeID="_x0000_i1032" DrawAspect="Content" ObjectID="_1690628783" r:id="rId34"/>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70" w:dyaOrig="369" w14:anchorId="38008C8E">
                          <v:shape id="_x0000_i1031" type="#_x0000_t75" alt="" style="width:38.3pt;height:18.5pt;mso-width-percent:0;mso-height-percent:0;mso-width-percent:0;mso-height-percent:0">
                            <v:imagedata r:id="rId22" o:title=""/>
                          </v:shape>
                          <o:OLEObject Type="Embed" ProgID="Equation.3" ShapeID="_x0000_i1031" DrawAspect="Content" ObjectID="_1690628784"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70" w:dyaOrig="319" w14:anchorId="68A3042C">
                          <v:shape id="_x0000_i1030" type="#_x0000_t75" alt="" style="width:38.3pt;height:15.85pt;mso-width-percent:0;mso-height-percent:0;mso-width-percent:0;mso-height-percent:0">
                            <v:imagedata r:id="rId24" o:title=""/>
                          </v:shape>
                          <o:OLEObject Type="Embed" ProgID="Equation.3" ShapeID="_x0000_i1030" DrawAspect="Content" ObjectID="_1690628785" r:id="rId36"/>
                        </w:object>
                      </w:r>
                      <w:r>
                        <w:rPr>
                          <w:rFonts w:eastAsia="SimSun" w:hint="eastAsia"/>
                          <w:highlight w:val="yellow"/>
                          <w:lang w:eastAsia="zh-CN"/>
                        </w:rPr>
                        <w:t xml:space="preserve"> and </w:t>
                      </w:r>
                      <w:r w:rsidR="00D47936">
                        <w:rPr>
                          <w:rFonts w:eastAsia="SimSun"/>
                          <w:noProof/>
                          <w:position w:val="-10"/>
                          <w:highlight w:val="yellow"/>
                        </w:rPr>
                        <w:object w:dxaOrig="770" w:dyaOrig="319" w14:anchorId="7D2B3236">
                          <v:shape id="_x0000_i1029" type="#_x0000_t75" alt="" style="width:38.3pt;height:15.85pt;mso-width-percent:0;mso-height-percent:0;mso-width-percent:0;mso-height-percent:0">
                            <v:imagedata r:id="rId26" o:title=""/>
                          </v:shape>
                          <o:OLEObject Type="Embed" ProgID="Equation.3" ShapeID="_x0000_i1029" DrawAspect="Content" ObjectID="_1690628786"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70" w:dyaOrig="319" w14:anchorId="42C51A97">
                          <v:shape id="_x0000_i1028" type="#_x0000_t75" alt="" style="width:38.3pt;height:15.85pt;mso-width-percent:0;mso-height-percent:0;mso-width-percent:0;mso-height-percent:0">
                            <v:imagedata r:id="rId28" o:title=""/>
                          </v:shape>
                          <o:OLEObject Type="Embed" ProgID="Equation.3" ShapeID="_x0000_i1028" DrawAspect="Content" ObjectID="_1690628787"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9" w:dyaOrig="319" w14:anchorId="0C1FF575">
                          <v:shape id="_x0000_i1027" type="#_x0000_t75" alt="" style="width:18.5pt;height:15.85pt;mso-width-percent:0;mso-height-percent:0;mso-width-percent:0;mso-height-percent:0">
                            <v:imagedata r:id="rId30" o:title=""/>
                          </v:shape>
                          <o:OLEObject Type="Embed" ProgID="Equation.3" ShapeID="_x0000_i1027" DrawAspect="Content" ObjectID="_1690628788"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BodyText"/>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lastRenderedPageBreak/>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lastRenderedPageBreak/>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bl>
    <w:p w14:paraId="3EA159B3" w14:textId="77777777" w:rsidR="00CC0A71" w:rsidRDefault="00CC0A71"/>
    <w:p w14:paraId="4EFB01CA" w14:textId="77777777" w:rsidR="00CC0A71" w:rsidRDefault="0058707E">
      <w:pPr>
        <w:pStyle w:val="Heading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Heading2"/>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lastRenderedPageBreak/>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proofErr w:type="spellStart"/>
            <w:r w:rsidRPr="00CB6463">
              <w:rPr>
                <w:rFonts w:hint="eastAsia"/>
                <w:b/>
                <w:bCs/>
                <w:sz w:val="20"/>
                <w:szCs w:val="20"/>
                <w:lang w:val="en-US"/>
              </w:rPr>
              <w:t>gNB</w:t>
            </w:r>
            <w:proofErr w:type="spellEnd"/>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w:t>
            </w:r>
            <w:proofErr w:type="spellStart"/>
            <w:r w:rsidRPr="002D0C7C">
              <w:rPr>
                <w:rFonts w:eastAsia="Batang"/>
                <w:b/>
                <w:lang w:val="en-US" w:eastAsia="ko-KR"/>
              </w:rPr>
              <w:t>signalling</w:t>
            </w:r>
            <w:proofErr w:type="spellEnd"/>
            <w:r w:rsidRPr="002D0C7C">
              <w:rPr>
                <w:rFonts w:eastAsia="Batang"/>
                <w:b/>
                <w:lang w:val="en-US" w:eastAsia="ko-KR"/>
              </w:rPr>
              <w:t xml:space="preserve"> (e.g., SIB1) by </w:t>
            </w:r>
            <w:proofErr w:type="spellStart"/>
            <w:r w:rsidRPr="002D0C7C">
              <w:rPr>
                <w:rFonts w:eastAsia="Batang"/>
                <w:b/>
                <w:lang w:val="en-US" w:eastAsia="ko-KR"/>
              </w:rPr>
              <w:t>gNB</w:t>
            </w:r>
            <w:proofErr w:type="spellEnd"/>
            <w:r w:rsidRPr="002D0C7C">
              <w:rPr>
                <w:rFonts w:eastAsia="Batang"/>
                <w:b/>
                <w:lang w:val="en-US" w:eastAsia="ko-KR"/>
              </w:rPr>
              <w:t>.</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bookmarkEnd w:id="88"/>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3" w:name="_Toc79688796"/>
      <w:r>
        <w:t>7.2</w:t>
      </w:r>
      <w:r>
        <w:tab/>
        <w:t>PUCCH Resource Set Construction</w:t>
      </w:r>
      <w:bookmarkEnd w:id="93"/>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index of the PUCCH tran</w:t>
                      </w:r>
                      <w:r>
                        <w:rPr>
                          <w:rFonts w:eastAsia="宋体"/>
                        </w:rPr>
                        <w:t xml:space="preserve">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r>
                      <w:proofErr w:type="gramStart"/>
                      <w:r w:rsidRPr="002D0C7C">
                        <w:rPr>
                          <w:rFonts w:eastAsia="宋体"/>
                          <w:lang w:val="en-US"/>
                        </w:rPr>
                        <w:t>the</w:t>
                      </w:r>
                      <w:proofErr w:type="gramEnd"/>
                      <w:r w:rsidRPr="002D0C7C">
                        <w:rPr>
                          <w:rFonts w:eastAsia="宋体"/>
                          <w:lang w:val="en-US"/>
                        </w:rPr>
                        <w:t xml:space="preserv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w:t>
                      </w:r>
                      <w:proofErr w:type="spellStart"/>
                      <w:r>
                        <w:rPr>
                          <w:rFonts w:eastAsia="宋体"/>
                        </w:rPr>
                        <w:t>rce</w:t>
                      </w:r>
                      <w:proofErr w:type="spellEnd"/>
                      <w:r>
                        <w:rPr>
                          <w:rFonts w:eastAsia="宋体"/>
                        </w:rPr>
                        <w:t xml:space="preserv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m:t>
                                        </m:r>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PRB index of th</w:t>
                      </w:r>
                      <w:r>
                        <w:rPr>
                          <w:rFonts w:eastAsia="宋体"/>
                        </w:rPr>
                        <w:t xml:space="preserve">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m:t>
                                        </m:r>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CC0A71" w:rsidRDefault="0058707E">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CC0A71" w:rsidRDefault="00CC0A71">
                      <w:pPr>
                        <w:spacing w:line="240" w:lineRule="auto"/>
                        <w:ind w:left="568" w:hanging="284"/>
                        <w:rPr>
                          <w:rFonts w:eastAsia="宋体"/>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lastRenderedPageBreak/>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016D" w14:textId="77777777" w:rsidR="00D47936" w:rsidRDefault="00D47936">
      <w:pPr>
        <w:spacing w:after="0" w:line="240" w:lineRule="auto"/>
      </w:pPr>
      <w:r>
        <w:separator/>
      </w:r>
    </w:p>
  </w:endnote>
  <w:endnote w:type="continuationSeparator" w:id="0">
    <w:p w14:paraId="0A150658" w14:textId="77777777" w:rsidR="00D47936" w:rsidRDefault="00D4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B0604020202020204"/>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panose1 w:val="020B0604020202020204"/>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77777777"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115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115A">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3BD3" w14:textId="77777777" w:rsidR="00D47936" w:rsidRDefault="00D47936">
      <w:pPr>
        <w:spacing w:after="0" w:line="240" w:lineRule="auto"/>
      </w:pPr>
      <w:r>
        <w:separator/>
      </w:r>
    </w:p>
  </w:footnote>
  <w:footnote w:type="continuationSeparator" w:id="0">
    <w:p w14:paraId="73F4C5F2" w14:textId="77777777" w:rsidR="00D47936" w:rsidRDefault="00D4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49"/>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0"/>
  </w:num>
  <w:num w:numId="17">
    <w:abstractNumId w:val="43"/>
  </w:num>
  <w:num w:numId="18">
    <w:abstractNumId w:val="30"/>
  </w:num>
  <w:num w:numId="19">
    <w:abstractNumId w:val="7"/>
  </w:num>
  <w:num w:numId="20">
    <w:abstractNumId w:val="46"/>
  </w:num>
  <w:num w:numId="21">
    <w:abstractNumId w:val="41"/>
  </w:num>
  <w:num w:numId="22">
    <w:abstractNumId w:val="51"/>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BB7AF17-9849-4C76-82B7-4B5B58F15D0D}">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7.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0</TotalTime>
  <Pages>32</Pages>
  <Words>10915</Words>
  <Characters>62217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2021-08-16T21:19:00Z</dcterms:created>
  <dcterms:modified xsi:type="dcterms:W3CDTF">2021-08-16T21:19:00Z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