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宋体"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宋体"/>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宋体"/>
          <w:lang w:eastAsia="zh-CN"/>
        </w:rPr>
      </w:pPr>
    </w:p>
    <w:p w14:paraId="3E6A796A" w14:textId="77777777" w:rsidR="00B05A5E" w:rsidRDefault="00B05A5E">
      <w:pPr>
        <w:spacing w:before="240"/>
        <w:jc w:val="both"/>
        <w:rPr>
          <w:rFonts w:eastAsia="宋体"/>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7140DC"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7140DC"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ListParagraph"/>
              <w:ind w:left="0"/>
              <w:rPr>
                <w:rFonts w:eastAsiaTheme="minorEastAsia"/>
                <w:lang w:eastAsia="zh-CN"/>
              </w:rPr>
            </w:pPr>
            <w:r>
              <w:rPr>
                <w:rFonts w:eastAsiaTheme="minorEastAsia"/>
                <w:lang w:eastAsia="zh-CN"/>
              </w:rPr>
              <w:t xml:space="preserve"> pkt_size</w:t>
            </w:r>
            <w:r>
              <w:rPr>
                <w:rFonts w:eastAsiaTheme="minorEastAsia"/>
                <w:vertAlign w:val="subscript"/>
                <w:lang w:eastAsia="zh-CN"/>
              </w:rPr>
              <w:t>I</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(N-1)*pkt_size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 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ListParagraph"/>
              <w:ind w:left="0"/>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Huawei, HiSilicon</w:t>
            </w:r>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w:t>
            </w:r>
            <w:r>
              <w:rPr>
                <w:lang w:eastAsia="x-none"/>
              </w:rPr>
              <w:t>difference of importance</w:t>
            </w:r>
            <w:r>
              <w:rPr>
                <w:lang w:eastAsia="x-none"/>
              </w:rPr>
              <w:t xml:space="preserv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w:t>
            </w:r>
            <w:r>
              <w:rPr>
                <w:lang w:eastAsia="x-none"/>
              </w:rPr>
              <w:t>the difference of decoding delay</w:t>
            </w:r>
            <w:r>
              <w:rPr>
                <w:lang w:eastAsia="x-none"/>
              </w:rPr>
              <w:t xml:space="preserve">,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6 cases does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bookmarkStart w:id="7" w:name="_GoBack"/>
            <w:bookmarkEnd w:id="7"/>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Default="0025237D" w:rsidP="0077464B">
            <w:pPr>
              <w:numPr>
                <w:ilvl w:val="0"/>
                <w:numId w:val="17"/>
              </w:numPr>
              <w:spacing w:after="0" w:line="240" w:lineRule="auto"/>
              <w:rPr>
                <w:lang w:eastAsia="zh-CN"/>
              </w:rPr>
            </w:pPr>
            <w:r w:rsidRPr="00E70845">
              <w:rPr>
                <w:color w:val="FF0000"/>
                <w:lang w:eastAsia="zh-CN"/>
              </w:rPr>
              <w:t xml:space="preserve"> </w:t>
            </w:r>
            <w:r w:rsidR="0077464B" w:rsidRPr="00E70845">
              <w:rPr>
                <w:color w:val="FF0000"/>
                <w:lang w:eastAsia="zh-CN"/>
              </w:rPr>
              <w:t>[PER_I, PER_P</w:t>
            </w:r>
            <w:r w:rsidR="00E70845" w:rsidRPr="00E70845">
              <w:rPr>
                <w:color w:val="FF0000"/>
                <w:lang w:eastAsia="zh-CN"/>
              </w:rPr>
              <w:t xml:space="preserve">, </w:t>
            </w:r>
            <w:r w:rsidR="0077464B" w:rsidRPr="00E70845">
              <w:rPr>
                <w:color w:val="FF0000"/>
                <w:lang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bl>
    <w:p w14:paraId="073F11F6" w14:textId="65C81657" w:rsidR="00B05A5E" w:rsidRDefault="0048413C">
      <w:pPr>
        <w:pStyle w:val="Heading2"/>
        <w:rPr>
          <w:lang w:eastAsia="zh-CN"/>
        </w:rPr>
      </w:pPr>
      <w:r>
        <w:rPr>
          <w:lang w:eastAsia="zh-CN"/>
        </w:rPr>
        <w:lastRenderedPageBreak/>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For DL traffic model Option 2, the audio/data flow is modeled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lastRenderedPageBreak/>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For DL traffic model Option 2, the audio/data flow is modeled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宋体"/>
                <w:lang w:eastAsia="zh-CN"/>
              </w:rPr>
            </w:pPr>
            <w:r>
              <w:rPr>
                <w:rFonts w:eastAsia="宋体"/>
                <w:lang w:eastAsia="zh-CN"/>
              </w:rPr>
              <w:t>OPPO</w:t>
            </w:r>
          </w:p>
        </w:tc>
        <w:tc>
          <w:tcPr>
            <w:tcW w:w="4338" w:type="pct"/>
          </w:tcPr>
          <w:p w14:paraId="3C8C6AFA" w14:textId="77777777" w:rsidR="00B05A5E" w:rsidRDefault="0048413C">
            <w:pPr>
              <w:pStyle w:val="ListParagraph"/>
              <w:ind w:left="0"/>
              <w:rPr>
                <w:rFonts w:eastAsia="宋体"/>
                <w:lang w:eastAsia="zh-CN"/>
              </w:rPr>
            </w:pPr>
            <w:r>
              <w:rPr>
                <w:rFonts w:eastAsia="宋体"/>
                <w:lang w:eastAsia="zh-CN"/>
              </w:rPr>
              <w:t xml:space="preserve">We support the Option-2 modeling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ListParagraph"/>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453A940A" w14:textId="77777777" w:rsidR="00490F05" w:rsidRDefault="00490F05" w:rsidP="00490F05">
            <w:r>
              <w:rPr>
                <w:rFonts w:eastAsia="宋体"/>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宋体"/>
                <w:lang w:val="en-US" w:eastAsia="zh-CN"/>
              </w:rPr>
            </w:pPr>
            <w:r>
              <w:rPr>
                <w:rFonts w:eastAsia="宋体"/>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0E9EEF1F" w14:textId="77777777" w:rsidR="00490F05" w:rsidRDefault="00490F05" w:rsidP="00490F05">
            <w:pPr>
              <w:pStyle w:val="ListParagraph"/>
              <w:ind w:left="0"/>
              <w:rPr>
                <w:rFonts w:eastAsia="宋体"/>
                <w:lang w:val="en-US" w:eastAsia="zh-CN"/>
              </w:rPr>
            </w:pPr>
            <w:r>
              <w:rPr>
                <w:rFonts w:eastAsia="宋体"/>
                <w:lang w:val="en-US" w:eastAsia="zh-CN"/>
              </w:rPr>
              <w:t>…</w:t>
            </w:r>
          </w:p>
          <w:p w14:paraId="04D743C6" w14:textId="024823B9" w:rsidR="00490F05" w:rsidRDefault="00490F05" w:rsidP="00490F05">
            <w:pPr>
              <w:pStyle w:val="ListParagraph"/>
              <w:ind w:left="0"/>
              <w:rPr>
                <w:rFonts w:eastAsia="MS Mincho"/>
                <w:lang w:eastAsia="ja-JP"/>
              </w:rPr>
            </w:pPr>
            <w:r>
              <w:rPr>
                <w:rFonts w:eastAsia="宋体"/>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lastRenderedPageBreak/>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Huawei, HiSilicon</w:t>
            </w:r>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B05A5E" w14:paraId="05C680D0" w14:textId="77777777">
        <w:tc>
          <w:tcPr>
            <w:tcW w:w="662" w:type="pct"/>
          </w:tcPr>
          <w:p w14:paraId="4AE671DC" w14:textId="77777777" w:rsidR="00B05A5E" w:rsidRDefault="00B05A5E">
            <w:pPr>
              <w:pStyle w:val="ListParagraph"/>
              <w:ind w:left="0"/>
              <w:rPr>
                <w:rFonts w:eastAsia="宋体"/>
                <w:lang w:val="en-US" w:eastAsia="zh-CN"/>
              </w:rPr>
            </w:pPr>
          </w:p>
        </w:tc>
        <w:tc>
          <w:tcPr>
            <w:tcW w:w="4338" w:type="pct"/>
          </w:tcPr>
          <w:p w14:paraId="05AAD553" w14:textId="77777777" w:rsidR="00B05A5E" w:rsidRDefault="00B05A5E">
            <w:pPr>
              <w:pStyle w:val="ListParagraph"/>
              <w:ind w:left="0"/>
              <w:rPr>
                <w:rFonts w:eastAsia="宋体"/>
                <w:lang w:val="en-US" w:eastAsia="zh-CN"/>
              </w:rPr>
            </w:pP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61587552" w14:textId="77777777" w:rsidR="00B05A5E" w:rsidRDefault="0048413C">
            <w:pPr>
              <w:rPr>
                <w:rFonts w:eastAsia="宋体"/>
                <w:lang w:eastAsia="zh-CN"/>
              </w:rPr>
            </w:pPr>
            <w:r>
              <w:rPr>
                <w:rFonts w:eastAsia="宋体"/>
                <w:lang w:eastAsia="zh-CN"/>
              </w:rPr>
              <w:lastRenderedPageBreak/>
              <w:t>(2106456)</w:t>
            </w:r>
          </w:p>
        </w:tc>
        <w:tc>
          <w:tcPr>
            <w:tcW w:w="8761" w:type="dxa"/>
          </w:tcPr>
          <w:p w14:paraId="1999A5D4" w14:textId="77777777" w:rsidR="00B05A5E" w:rsidRDefault="0048413C">
            <w:pPr>
              <w:rPr>
                <w:lang w:eastAsia="zh-CN"/>
              </w:rPr>
            </w:pPr>
            <w:r>
              <w:rPr>
                <w:lang w:eastAsia="zh-CN"/>
              </w:rPr>
              <w:lastRenderedPageBreak/>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lastRenderedPageBreak/>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宋体"/>
                <w:lang w:eastAsia="zh-CN"/>
              </w:rPr>
            </w:pPr>
            <w:r>
              <w:rPr>
                <w:rFonts w:eastAsia="宋体"/>
                <w:lang w:eastAsia="zh-CN"/>
              </w:rPr>
              <w:lastRenderedPageBreak/>
              <w:t>ZTE</w:t>
            </w:r>
          </w:p>
          <w:p w14:paraId="69C33276" w14:textId="77777777" w:rsidR="00B05A5E" w:rsidRDefault="0048413C">
            <w:pPr>
              <w:rPr>
                <w:rFonts w:eastAsia="宋体"/>
                <w:lang w:eastAsia="zh-CN"/>
              </w:rPr>
            </w:pPr>
            <w:r>
              <w:rPr>
                <w:rFonts w:eastAsia="宋体"/>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宋体"/>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D82988">
            <w:pPr>
              <w:pStyle w:val="TOC1"/>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D82988">
            <w:pPr>
              <w:pStyle w:val="TOC1"/>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11.05pt;mso-width-percent:0;mso-height-percent:0;mso-width-percent:0;mso-height-percent:0" o:ole="">
                    <v:imagedata r:id="rId11" o:title=""/>
                  </v:shape>
                  <o:OLEObject Type="Embed" ProgID="Equation.KSEE3" ShapeID="_x0000_i1025" DrawAspect="Content" ObjectID="_1690818894"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D82988">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lastRenderedPageBreak/>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lastRenderedPageBreak/>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lastRenderedPageBreak/>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lastRenderedPageBreak/>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宋体"/>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6" type="#_x0000_t75" alt="" style="width:12.8pt;height:11.05pt;mso-width-percent:0;mso-height-percent:0;mso-width-percent:0;mso-height-percent:0" o:ole="">
                    <v:imagedata r:id="rId11" o:title=""/>
                  </v:shape>
                  <o:OLEObject Type="Embed" ProgID="Equation.KSEE3" ShapeID="_x0000_i1026" DrawAspect="Content" ObjectID="_1690818895"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D82988">
            <w:pPr>
              <w:pStyle w:val="TOC1"/>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D82988">
            <w:pPr>
              <w:pStyle w:val="TOC1"/>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Table 6 Initial Parameters of FoV and non-FoV stream modeling</w:t>
            </w:r>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Stream #1: FoV stream</w:t>
                  </w:r>
                </w:p>
                <w:p w14:paraId="50873571" w14:textId="77777777" w:rsidR="00B05A5E" w:rsidRDefault="0048413C">
                  <w:pPr>
                    <w:spacing w:before="120" w:after="120"/>
                    <w:jc w:val="center"/>
                    <w:rPr>
                      <w:b/>
                      <w:bCs/>
                      <w:i/>
                      <w:iCs/>
                    </w:rPr>
                  </w:pPr>
                  <w:r>
                    <w:rPr>
                      <w:rFonts w:hint="eastAsia"/>
                      <w:b/>
                      <w:bCs/>
                      <w:i/>
                      <w:iCs/>
                    </w:rPr>
                    <w:t>Stream #2: Non-FoV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lastRenderedPageBreak/>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宋体"/>
                <w:lang w:eastAsia="zh-CN"/>
              </w:rPr>
            </w:pPr>
          </w:p>
        </w:tc>
      </w:tr>
      <w:tr w:rsidR="00B05A5E" w14:paraId="52873775" w14:textId="77777777">
        <w:tc>
          <w:tcPr>
            <w:tcW w:w="1696" w:type="dxa"/>
          </w:tcPr>
          <w:p w14:paraId="78BBC13C" w14:textId="77777777" w:rsidR="00B05A5E" w:rsidRDefault="0048413C">
            <w:pPr>
              <w:rPr>
                <w:rFonts w:eastAsia="宋体"/>
                <w:lang w:eastAsia="zh-CN"/>
              </w:rPr>
            </w:pPr>
            <w:r>
              <w:rPr>
                <w:rFonts w:eastAsia="宋体"/>
                <w:lang w:eastAsia="zh-CN"/>
              </w:rPr>
              <w:lastRenderedPageBreak/>
              <w:t>vivo</w:t>
            </w:r>
          </w:p>
          <w:p w14:paraId="55F11408" w14:textId="77777777" w:rsidR="00B05A5E" w:rsidRDefault="0048413C">
            <w:pPr>
              <w:rPr>
                <w:rFonts w:eastAsia="宋体"/>
                <w:lang w:eastAsia="zh-CN"/>
              </w:rPr>
            </w:pPr>
            <w:r>
              <w:rPr>
                <w:rFonts w:eastAsia="宋体"/>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宋体"/>
                <w:lang w:eastAsia="zh-CN"/>
              </w:rPr>
            </w:pPr>
            <w:r>
              <w:rPr>
                <w:rFonts w:eastAsia="宋体"/>
                <w:lang w:eastAsia="zh-CN"/>
              </w:rPr>
              <w:t>Samsung</w:t>
            </w:r>
          </w:p>
          <w:p w14:paraId="2229B6FC" w14:textId="77777777" w:rsidR="00B05A5E" w:rsidRDefault="0048413C">
            <w:pPr>
              <w:rPr>
                <w:rFonts w:eastAsia="宋体"/>
                <w:lang w:eastAsia="zh-CN"/>
              </w:rPr>
            </w:pPr>
            <w:r>
              <w:rPr>
                <w:rFonts w:eastAsia="宋体"/>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宋体"/>
                <w:i/>
                <w:iCs/>
              </w:rPr>
            </w:pPr>
            <w:r>
              <w:rPr>
                <w:lang w:eastAsia="zh-CN"/>
              </w:rPr>
              <w:fldChar w:fldCharType="begin"/>
            </w:r>
            <w:r>
              <w:rPr>
                <w:lang w:eastAsia="zh-CN"/>
              </w:rPr>
              <w:instrText xml:space="preserve"> QUOTE </w:instrText>
            </w:r>
            <w:r w:rsidR="00DF3F48">
              <w:rPr>
                <w:noProof/>
                <w:position w:val="-5"/>
              </w:rPr>
              <w:pict w14:anchorId="6F6DCC8E">
                <v:shape id="_x0000_i1027" type="#_x0000_t75" alt="" style="width:5.3pt;height:12.8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DF3F48">
              <w:rPr>
                <w:noProof/>
                <w:position w:val="-5"/>
              </w:rPr>
              <w:pict w14:anchorId="49AA3FCA">
                <v:shape id="_x0000_i1028" type="#_x0000_t75" alt="" style="width:5.3pt;height:12.8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宋体" w:hAnsi="Arial" w:cs="Arial"/>
                <w:sz w:val="16"/>
                <w:szCs w:val="16"/>
              </w:rPr>
            </w:pPr>
            <w:r>
              <w:rPr>
                <w:rFonts w:ascii="Arial" w:eastAsia="宋体" w:hAnsi="Arial" w:cs="Arial"/>
                <w:sz w:val="16"/>
                <w:szCs w:val="16"/>
              </w:rPr>
              <w:t>CATT</w:t>
            </w:r>
          </w:p>
          <w:p w14:paraId="6587AA02" w14:textId="77777777" w:rsidR="00B05A5E" w:rsidRDefault="0048413C">
            <w:pPr>
              <w:rPr>
                <w:rFonts w:eastAsia="宋体"/>
                <w:lang w:eastAsia="zh-CN"/>
              </w:rPr>
            </w:pPr>
            <w:r>
              <w:rPr>
                <w:rFonts w:eastAsia="宋体"/>
                <w:lang w:eastAsia="zh-CN"/>
              </w:rPr>
              <w:t>(2106949)</w:t>
            </w:r>
          </w:p>
        </w:tc>
        <w:tc>
          <w:tcPr>
            <w:tcW w:w="8761" w:type="dxa"/>
          </w:tcPr>
          <w:p w14:paraId="209209E9"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1D92FACD" w14:textId="77777777" w:rsidR="00B05A5E" w:rsidRDefault="0048413C">
            <w:pPr>
              <w:spacing w:line="360" w:lineRule="auto"/>
              <w:jc w:val="both"/>
              <w:rPr>
                <w:rFonts w:eastAsia="宋体"/>
                <w:b/>
                <w:bCs/>
                <w:i/>
                <w:lang w:eastAsia="zh-CN"/>
              </w:rPr>
            </w:pPr>
            <w:r>
              <w:rPr>
                <w:rFonts w:eastAsia="宋体" w:hint="eastAsia"/>
                <w:b/>
                <w:bCs/>
                <w:i/>
                <w:lang w:eastAsia="zh-CN"/>
              </w:rPr>
              <w:lastRenderedPageBreak/>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242BD7E" w14:textId="77777777">
        <w:tc>
          <w:tcPr>
            <w:tcW w:w="1696" w:type="dxa"/>
          </w:tcPr>
          <w:p w14:paraId="643BE347" w14:textId="77777777" w:rsidR="00B05A5E" w:rsidRDefault="0048413C">
            <w:pPr>
              <w:rPr>
                <w:rFonts w:eastAsia="宋体"/>
                <w:lang w:eastAsia="zh-CN"/>
              </w:rPr>
            </w:pPr>
            <w:r>
              <w:rPr>
                <w:rFonts w:eastAsia="宋体"/>
                <w:lang w:eastAsia="zh-CN"/>
              </w:rPr>
              <w:lastRenderedPageBreak/>
              <w:t>China Telecom</w:t>
            </w:r>
          </w:p>
          <w:p w14:paraId="688B0C9B" w14:textId="77777777" w:rsidR="00B05A5E" w:rsidRDefault="0048413C">
            <w:pPr>
              <w:rPr>
                <w:rFonts w:eastAsia="宋体"/>
                <w:lang w:eastAsia="zh-CN"/>
              </w:rPr>
            </w:pPr>
            <w:r>
              <w:rPr>
                <w:rFonts w:eastAsia="宋体"/>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18D25F6F" w14:textId="77777777">
        <w:tc>
          <w:tcPr>
            <w:tcW w:w="1696" w:type="dxa"/>
          </w:tcPr>
          <w:p w14:paraId="656C6416" w14:textId="77777777" w:rsidR="00B05A5E" w:rsidRDefault="0048413C">
            <w:pPr>
              <w:rPr>
                <w:rFonts w:eastAsia="宋体"/>
                <w:lang w:eastAsia="zh-CN"/>
              </w:rPr>
            </w:pPr>
            <w:r>
              <w:rPr>
                <w:rFonts w:eastAsia="宋体"/>
                <w:lang w:eastAsia="zh-CN"/>
              </w:rPr>
              <w:t>OPPO</w:t>
            </w:r>
          </w:p>
          <w:p w14:paraId="0A488D9E" w14:textId="77777777" w:rsidR="00B05A5E" w:rsidRDefault="0048413C">
            <w:pPr>
              <w:rPr>
                <w:rFonts w:eastAsia="宋体"/>
                <w:lang w:eastAsia="zh-CN"/>
              </w:rPr>
            </w:pPr>
            <w:r>
              <w:rPr>
                <w:rFonts w:eastAsia="宋体"/>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D82988">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Proposal 2: RAN1 should agree upon the evaluation assumptions for two-stream traffic modeling in Option-2 (video + audio/data)</w:t>
            </w:r>
          </w:p>
        </w:tc>
      </w:tr>
      <w:tr w:rsidR="00B05A5E" w14:paraId="54204926" w14:textId="77777777">
        <w:tc>
          <w:tcPr>
            <w:tcW w:w="1696" w:type="dxa"/>
          </w:tcPr>
          <w:p w14:paraId="59A3F32C" w14:textId="77777777" w:rsidR="00B05A5E" w:rsidRDefault="0048413C">
            <w:pPr>
              <w:rPr>
                <w:rFonts w:eastAsia="宋体"/>
                <w:lang w:eastAsia="zh-CN"/>
              </w:rPr>
            </w:pPr>
            <w:r>
              <w:rPr>
                <w:rFonts w:eastAsia="宋体"/>
                <w:lang w:eastAsia="zh-CN"/>
              </w:rPr>
              <w:t>Qualcomm</w:t>
            </w:r>
          </w:p>
          <w:p w14:paraId="01B4D4A0" w14:textId="77777777" w:rsidR="00B05A5E" w:rsidRDefault="0048413C">
            <w:pPr>
              <w:rPr>
                <w:rFonts w:eastAsia="宋体"/>
                <w:lang w:eastAsia="zh-CN"/>
              </w:rPr>
            </w:pPr>
            <w:r>
              <w:rPr>
                <w:rFonts w:eastAsia="宋体"/>
                <w:lang w:eastAsia="zh-CN"/>
              </w:rPr>
              <w:lastRenderedPageBreak/>
              <w:t>(2107374)</w:t>
            </w:r>
          </w:p>
        </w:tc>
        <w:tc>
          <w:tcPr>
            <w:tcW w:w="8761" w:type="dxa"/>
          </w:tcPr>
          <w:p w14:paraId="114DB859" w14:textId="77777777" w:rsidR="00B05A5E" w:rsidRDefault="0048413C">
            <w:pPr>
              <w:jc w:val="both"/>
              <w:rPr>
                <w:b/>
                <w:bCs/>
                <w:i/>
                <w:iCs/>
                <w:lang w:val="en-US"/>
              </w:rPr>
            </w:pPr>
            <w:r>
              <w:rPr>
                <w:b/>
                <w:bCs/>
                <w:i/>
                <w:iCs/>
                <w:lang w:val="en-US"/>
              </w:rPr>
              <w:lastRenderedPageBreak/>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宋体"/>
                <w:lang w:eastAsia="zh-CN"/>
              </w:rPr>
            </w:pPr>
            <w:r>
              <w:rPr>
                <w:rFonts w:eastAsia="宋体"/>
                <w:lang w:eastAsia="zh-CN"/>
              </w:rPr>
              <w:lastRenderedPageBreak/>
              <w:t>LGE</w:t>
            </w:r>
          </w:p>
          <w:p w14:paraId="0CED4E2B"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宋体" w:hAnsi="Arial" w:cs="Arial"/>
                <w:sz w:val="16"/>
                <w:szCs w:val="16"/>
              </w:rPr>
            </w:pPr>
            <w:r>
              <w:rPr>
                <w:rFonts w:ascii="Arial" w:eastAsia="宋体" w:hAnsi="Arial" w:cs="Arial"/>
                <w:sz w:val="16"/>
                <w:szCs w:val="16"/>
              </w:rPr>
              <w:t>MediaTek</w:t>
            </w:r>
          </w:p>
          <w:p w14:paraId="55AE7729" w14:textId="77777777" w:rsidR="00B05A5E" w:rsidRDefault="0048413C">
            <w:pPr>
              <w:rPr>
                <w:rFonts w:eastAsia="宋体"/>
                <w:lang w:eastAsia="zh-CN"/>
              </w:rPr>
            </w:pPr>
            <w:r>
              <w:rPr>
                <w:rFonts w:eastAsia="宋体"/>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lastRenderedPageBreak/>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r>
              <w:rPr>
                <w:b/>
                <w:i/>
              </w:rPr>
              <w:t>FoV vs. non-FoV</w:t>
            </w:r>
          </w:p>
          <w:p w14:paraId="24F08880" w14:textId="77777777" w:rsidR="00B05A5E" w:rsidRDefault="0048413C">
            <w:pPr>
              <w:keepNext/>
              <w:numPr>
                <w:ilvl w:val="0"/>
                <w:numId w:val="26"/>
              </w:numPr>
              <w:spacing w:line="240" w:lineRule="auto"/>
              <w:jc w:val="both"/>
              <w:rPr>
                <w:b/>
                <w:i/>
              </w:rPr>
            </w:pPr>
            <w:r>
              <w:rPr>
                <w:b/>
                <w:i/>
              </w:rPr>
              <w:t>FoV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宋体"/>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宋体"/>
                <w:lang w:eastAsia="zh-CN"/>
              </w:rPr>
            </w:pPr>
            <w:r>
              <w:rPr>
                <w:rFonts w:eastAsia="宋体" w:hint="eastAsia"/>
                <w:lang w:eastAsia="zh-CN"/>
              </w:rPr>
              <w:lastRenderedPageBreak/>
              <w:t>I</w:t>
            </w:r>
            <w:r>
              <w:rPr>
                <w:rFonts w:eastAsia="宋体"/>
                <w:lang w:eastAsia="zh-CN"/>
              </w:rPr>
              <w:t>nterDigital</w:t>
            </w:r>
          </w:p>
          <w:p w14:paraId="60C4F607"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宋体"/>
                <w:b/>
                <w:color w:val="000000"/>
                <w:lang w:val="en-US" w:eastAsia="zh-CN"/>
              </w:rPr>
            </w:pPr>
          </w:p>
        </w:tc>
      </w:tr>
      <w:tr w:rsidR="00B05A5E" w14:paraId="43FA0600" w14:textId="77777777">
        <w:tc>
          <w:tcPr>
            <w:tcW w:w="1696" w:type="dxa"/>
          </w:tcPr>
          <w:p w14:paraId="27E38FD9" w14:textId="77777777" w:rsidR="00B05A5E" w:rsidRDefault="0048413C">
            <w:pPr>
              <w:rPr>
                <w:rFonts w:ascii="Arial" w:eastAsia="宋体" w:hAnsi="Arial" w:cs="Arial"/>
                <w:sz w:val="16"/>
                <w:szCs w:val="16"/>
              </w:rPr>
            </w:pPr>
            <w:r>
              <w:rPr>
                <w:rFonts w:ascii="Arial" w:eastAsia="宋体" w:hAnsi="Arial" w:cs="Arial"/>
                <w:sz w:val="16"/>
                <w:szCs w:val="16"/>
              </w:rPr>
              <w:t>Intel</w:t>
            </w:r>
          </w:p>
          <w:p w14:paraId="601239FE" w14:textId="77777777" w:rsidR="00B05A5E" w:rsidRDefault="0048413C">
            <w:pPr>
              <w:rPr>
                <w:rFonts w:eastAsia="宋体"/>
                <w:lang w:eastAsia="zh-CN"/>
              </w:rPr>
            </w:pPr>
            <w:r>
              <w:rPr>
                <w:rFonts w:eastAsia="宋体"/>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lastRenderedPageBreak/>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lastRenderedPageBreak/>
              <w:t>Ericsson</w:t>
            </w:r>
          </w:p>
          <w:p w14:paraId="456344F1"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D82988">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1A328D41"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For DL traffic model Option 2, the audio/data flow is modeled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446668"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Xiaomi</w:t>
            </w:r>
          </w:p>
          <w:p w14:paraId="30DC429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8"/>
    </w:tbl>
    <w:p w14:paraId="21716813" w14:textId="77777777" w:rsidR="00B05A5E" w:rsidRDefault="00B05A5E">
      <w:pPr>
        <w:spacing w:before="240"/>
        <w:jc w:val="both"/>
        <w:rPr>
          <w:rFonts w:eastAsia="宋体"/>
          <w:lang w:eastAsia="zh-CN"/>
        </w:rPr>
      </w:pPr>
    </w:p>
    <w:bookmarkEnd w:id="0"/>
    <w:bookmarkEnd w:id="1"/>
    <w:p w14:paraId="16B25F52" w14:textId="77777777" w:rsidR="00B05A5E" w:rsidRDefault="0048413C">
      <w:pPr>
        <w:pStyle w:val="Heading1"/>
        <w:rPr>
          <w:rFonts w:eastAsia="宋体"/>
          <w:lang w:eastAsia="zh-CN"/>
        </w:rPr>
      </w:pPr>
      <w:r>
        <w:rPr>
          <w:rFonts w:eastAsia="宋体"/>
          <w:lang w:eastAsia="zh-CN"/>
        </w:rPr>
        <w:lastRenderedPageBreak/>
        <w:t>List of contributions in RAN1 #106-e</w:t>
      </w:r>
    </w:p>
    <w:bookmarkStart w:id="9"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D82988">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ZTE, Sanechips</w:t>
      </w:r>
    </w:p>
    <w:p w14:paraId="130D671A" w14:textId="77777777" w:rsidR="00B05A5E" w:rsidRDefault="00D82988">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D82988">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D82988">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D82988">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D82988">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D82988">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D82988">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D82988">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D82988">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t>InterDigital, Inc.</w:t>
      </w:r>
    </w:p>
    <w:p w14:paraId="5D1347FD" w14:textId="77777777" w:rsidR="00B05A5E" w:rsidRDefault="00D82988">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D82988">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D82988">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D82988">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D82988">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9"/>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9799D" w14:textId="77777777" w:rsidR="00D82988" w:rsidRDefault="00D82988">
      <w:pPr>
        <w:spacing w:line="240" w:lineRule="auto"/>
      </w:pPr>
      <w:r>
        <w:separator/>
      </w:r>
    </w:p>
  </w:endnote>
  <w:endnote w:type="continuationSeparator" w:id="0">
    <w:p w14:paraId="443359F6" w14:textId="77777777" w:rsidR="00D82988" w:rsidRDefault="00D82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DC97" w14:textId="77777777" w:rsidR="00AC645B" w:rsidRDefault="00AC645B">
    <w:pPr>
      <w:pStyle w:val="Footer"/>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505F5" w:rsidRPr="00F505F5">
      <w:rPr>
        <w:noProof/>
        <w:lang w:val="zh-CN" w:eastAsia="zh-CN"/>
      </w:rPr>
      <w:t>6</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491EC" w14:textId="77777777" w:rsidR="00D82988" w:rsidRDefault="00D82988">
      <w:pPr>
        <w:spacing w:after="0" w:line="240" w:lineRule="auto"/>
      </w:pPr>
      <w:r>
        <w:separator/>
      </w:r>
    </w:p>
  </w:footnote>
  <w:footnote w:type="continuationSeparator" w:id="0">
    <w:p w14:paraId="62A0EC7C" w14:textId="77777777" w:rsidR="00D82988" w:rsidRDefault="00D82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0"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17"/>
  </w:num>
  <w:num w:numId="3">
    <w:abstractNumId w:val="29"/>
  </w:num>
  <w:num w:numId="4">
    <w:abstractNumId w:val="32"/>
  </w:num>
  <w:num w:numId="5">
    <w:abstractNumId w:val="14"/>
  </w:num>
  <w:num w:numId="6">
    <w:abstractNumId w:val="13"/>
  </w:num>
  <w:num w:numId="7">
    <w:abstractNumId w:val="27"/>
  </w:num>
  <w:num w:numId="8">
    <w:abstractNumId w:val="10"/>
  </w:num>
  <w:num w:numId="9">
    <w:abstractNumId w:val="22"/>
  </w:num>
  <w:num w:numId="10">
    <w:abstractNumId w:val="20"/>
  </w:num>
  <w:num w:numId="11">
    <w:abstractNumId w:val="23"/>
  </w:num>
  <w:num w:numId="12">
    <w:abstractNumId w:val="21"/>
  </w:num>
  <w:num w:numId="13">
    <w:abstractNumId w:val="25"/>
  </w:num>
  <w:num w:numId="14">
    <w:abstractNumId w:val="2"/>
  </w:num>
  <w:num w:numId="15">
    <w:abstractNumId w:val="0"/>
  </w:num>
  <w:num w:numId="16">
    <w:abstractNumId w:val="8"/>
  </w:num>
  <w:num w:numId="17">
    <w:abstractNumId w:val="24"/>
  </w:num>
  <w:num w:numId="18">
    <w:abstractNumId w:val="4"/>
  </w:num>
  <w:num w:numId="19">
    <w:abstractNumId w:val="12"/>
  </w:num>
  <w:num w:numId="20">
    <w:abstractNumId w:val="11"/>
  </w:num>
  <w:num w:numId="21">
    <w:abstractNumId w:val="1"/>
  </w:num>
  <w:num w:numId="22">
    <w:abstractNumId w:val="15"/>
  </w:num>
  <w:num w:numId="23">
    <w:abstractNumId w:val="7"/>
  </w:num>
  <w:num w:numId="24">
    <w:abstractNumId w:val="26"/>
  </w:num>
  <w:num w:numId="25">
    <w:abstractNumId w:val="5"/>
  </w:num>
  <w:num w:numId="26">
    <w:abstractNumId w:val="30"/>
  </w:num>
  <w:num w:numId="27">
    <w:abstractNumId w:val="3"/>
  </w:num>
  <w:num w:numId="28">
    <w:abstractNumId w:val="18"/>
  </w:num>
  <w:num w:numId="29">
    <w:abstractNumId w:val="16"/>
  </w:num>
  <w:num w:numId="30">
    <w:abstractNumId w:val="31"/>
  </w:num>
  <w:num w:numId="31">
    <w:abstractNumId w:val="28"/>
  </w:num>
  <w:num w:numId="32">
    <w:abstractNumId w:val="33"/>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宋体"/>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宋体"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宋体"/>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宋体"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Normal"/>
    <w:link w:val="proposalChar"/>
    <w:qFormat/>
    <w:pPr>
      <w:spacing w:before="60" w:line="360" w:lineRule="atLeast"/>
      <w:jc w:val="both"/>
    </w:pPr>
    <w:rPr>
      <w:rFonts w:eastAsia="宋体"/>
      <w:b/>
      <w:i/>
      <w:sz w:val="22"/>
      <w:szCs w:val="22"/>
      <w:lang w:eastAsia="ko-KR"/>
    </w:rPr>
  </w:style>
  <w:style w:type="character" w:customStyle="1" w:styleId="DateChar">
    <w:name w:val="Date Char"/>
    <w:link w:val="Date"/>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Normal"/>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宋体"/>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宋体" w:cs="宋体"/>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qFormat/>
    <w:rPr>
      <w:rFonts w:eastAsia="宋体"/>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B56AE-B8C2-441A-8F24-5B242359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17</Pages>
  <Words>6078</Words>
  <Characters>34646</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40643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Mixiang</cp:lastModifiedBy>
  <cp:revision>242</cp:revision>
  <dcterms:created xsi:type="dcterms:W3CDTF">2021-08-18T08:34:00Z</dcterms:created>
  <dcterms:modified xsi:type="dcterms:W3CDTF">2021-08-18T11:00:00Z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