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D386F" w14:textId="77777777" w:rsidR="00B05A5E" w:rsidRDefault="0048413C">
      <w:pPr>
        <w:pStyle w:val="af3"/>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af3"/>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6EB6B652" w14:textId="77777777"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宋体"/>
          <w:lang w:eastAsia="zh-CN"/>
        </w:rPr>
      </w:pPr>
    </w:p>
    <w:p w14:paraId="1445D12E" w14:textId="77777777" w:rsidR="00B05A5E" w:rsidRDefault="0048413C">
      <w:pPr>
        <w:pStyle w:val="1"/>
        <w:rPr>
          <w:lang w:eastAsia="zh-CN"/>
        </w:rPr>
      </w:pPr>
      <w:r>
        <w:rPr>
          <w:lang w:eastAsia="zh-CN"/>
        </w:rPr>
        <w:t>Outcome of RAN1 #106-e</w:t>
      </w:r>
    </w:p>
    <w:p w14:paraId="5576821D" w14:textId="77777777" w:rsidR="00B05A5E" w:rsidRDefault="00B05A5E">
      <w:pPr>
        <w:spacing w:before="240"/>
        <w:jc w:val="both"/>
        <w:rPr>
          <w:rFonts w:eastAsia="宋体"/>
          <w:lang w:eastAsia="zh-CN"/>
        </w:rPr>
      </w:pPr>
    </w:p>
    <w:p w14:paraId="3E6A796A" w14:textId="77777777" w:rsidR="00B05A5E" w:rsidRDefault="00B05A5E">
      <w:pPr>
        <w:spacing w:before="240"/>
        <w:jc w:val="both"/>
        <w:rPr>
          <w:rFonts w:eastAsia="宋体"/>
          <w:lang w:eastAsia="zh-CN"/>
        </w:rPr>
      </w:pPr>
    </w:p>
    <w:p w14:paraId="15C09A0C" w14:textId="77777777" w:rsidR="00B05A5E" w:rsidRDefault="0048413C">
      <w:pPr>
        <w:pStyle w:val="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aff5"/>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5"/>
        <w:tblW w:w="0" w:type="auto"/>
        <w:tblLook w:val="04A0" w:firstRow="1" w:lastRow="0" w:firstColumn="1" w:lastColumn="0" w:noHBand="0" w:noVBand="1"/>
      </w:tblPr>
      <w:tblGrid>
        <w:gridCol w:w="9307"/>
      </w:tblGrid>
      <w:tr w:rsidR="00B05A5E"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5"/>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Default="00B05A5E">
            <w:pPr>
              <w:spacing w:after="0"/>
              <w:rPr>
                <w:rFonts w:ascii="Times" w:eastAsia="Times New Roman" w:hAnsi="Times"/>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Default="0048413C">
      <w:pPr>
        <w:numPr>
          <w:ilvl w:val="3"/>
          <w:numId w:val="17"/>
        </w:numPr>
        <w:spacing w:after="0" w:line="240" w:lineRule="auto"/>
        <w:rPr>
          <w:lang w:eastAsia="zh-CN"/>
        </w:rPr>
      </w:pPr>
      <w:r>
        <w:rPr>
          <w:lang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Default="0048413C">
      <w:pPr>
        <w:numPr>
          <w:ilvl w:val="3"/>
          <w:numId w:val="17"/>
        </w:numPr>
        <w:spacing w:after="0" w:line="240" w:lineRule="auto"/>
        <w:rPr>
          <w:lang w:eastAsia="zh-CN"/>
        </w:rPr>
      </w:pPr>
      <w:r>
        <w:rPr>
          <w:lang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affb"/>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affb"/>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affb"/>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affb"/>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(N-1)*</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affb"/>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affb"/>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affb"/>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affb"/>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affb"/>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affb"/>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affb"/>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affb"/>
              <w:ind w:left="0"/>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4338" w:type="pct"/>
          </w:tcPr>
          <w:p w14:paraId="7905C5C5" w14:textId="77777777" w:rsidR="00490F05" w:rsidRDefault="00490F05" w:rsidP="00490F05">
            <w:pPr>
              <w:pStyle w:val="affb"/>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affb"/>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affb"/>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affb"/>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bl>
    <w:p w14:paraId="073F11F6"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182774AD"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C7C6675"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3B734F86"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affb"/>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affb"/>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affb"/>
              <w:ind w:left="0"/>
              <w:rPr>
                <w:rFonts w:eastAsia="宋体"/>
                <w:lang w:eastAsia="zh-CN"/>
              </w:rPr>
            </w:pPr>
            <w:r>
              <w:rPr>
                <w:rFonts w:eastAsia="宋体"/>
                <w:lang w:eastAsia="zh-CN"/>
              </w:rPr>
              <w:t>OPPO</w:t>
            </w:r>
          </w:p>
        </w:tc>
        <w:tc>
          <w:tcPr>
            <w:tcW w:w="4338" w:type="pct"/>
          </w:tcPr>
          <w:p w14:paraId="3C8C6AFA" w14:textId="77777777" w:rsidR="00B05A5E" w:rsidRDefault="0048413C">
            <w:pPr>
              <w:pStyle w:val="affb"/>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affb"/>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affb"/>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affb"/>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affb"/>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affb"/>
              <w:ind w:left="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affb"/>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453A940A" w14:textId="77777777" w:rsidR="00490F05" w:rsidRDefault="00490F05" w:rsidP="00490F05">
            <w:r>
              <w:rPr>
                <w:rFonts w:eastAsia="宋体"/>
                <w:lang w:val="en-US" w:eastAsia="zh-CN"/>
              </w:rPr>
              <w:t xml:space="preserve"> </w:t>
            </w:r>
            <w:r w:rsidRPr="00365BEC">
              <w:rPr>
                <w:highlight w:val="green"/>
              </w:rPr>
              <w:t>Agreement:</w:t>
            </w:r>
          </w:p>
          <w:p w14:paraId="734E24BD" w14:textId="77777777" w:rsidR="00490F05" w:rsidRDefault="00490F05" w:rsidP="00490F05">
            <w:pPr>
              <w:pStyle w:val="affb"/>
              <w:ind w:left="0"/>
            </w:pPr>
            <w:r>
              <w:t>For evaluations of AR in UL:</w:t>
            </w:r>
          </w:p>
          <w:p w14:paraId="17E45016" w14:textId="77777777" w:rsidR="00490F05" w:rsidRDefault="00490F05" w:rsidP="00490F05">
            <w:pPr>
              <w:pStyle w:val="affb"/>
              <w:ind w:left="0"/>
              <w:rPr>
                <w:rFonts w:eastAsia="宋体"/>
                <w:lang w:val="en-US" w:eastAsia="zh-CN"/>
              </w:rPr>
            </w:pPr>
            <w:r>
              <w:rPr>
                <w:rFonts w:eastAsia="宋体"/>
                <w:lang w:val="en-US" w:eastAsia="zh-CN"/>
              </w:rPr>
              <w:t>…</w:t>
            </w:r>
          </w:p>
          <w:p w14:paraId="2CE12559" w14:textId="77777777" w:rsidR="00490F05" w:rsidRDefault="00490F05" w:rsidP="00490F05">
            <w:pPr>
              <w:pStyle w:val="affb"/>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affb"/>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affb"/>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affb"/>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affb"/>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affb"/>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affb"/>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affb"/>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affb"/>
              <w:ind w:left="0"/>
              <w:rPr>
                <w:rFonts w:eastAsia="宋体"/>
                <w:lang w:val="en-US" w:eastAsia="zh-CN"/>
              </w:rPr>
            </w:pPr>
            <w:r>
              <w:rPr>
                <w:rFonts w:eastAsia="宋体"/>
                <w:lang w:val="en-US" w:eastAsia="zh-CN"/>
              </w:rPr>
              <w:t>…</w:t>
            </w:r>
          </w:p>
          <w:p w14:paraId="04D743C6" w14:textId="024823B9" w:rsidR="00490F05" w:rsidRDefault="00490F05" w:rsidP="00490F05">
            <w:pPr>
              <w:pStyle w:val="affb"/>
              <w:ind w:left="0"/>
              <w:rPr>
                <w:rFonts w:eastAsia="MS Mincho" w:hint="eastAsia"/>
                <w:lang w:eastAsia="ja-JP"/>
              </w:rPr>
            </w:pPr>
            <w:r>
              <w:rPr>
                <w:rFonts w:eastAsia="宋体"/>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bookmarkStart w:id="7" w:name="_GoBack"/>
            <w:bookmarkEnd w:id="7"/>
          </w:p>
        </w:tc>
      </w:tr>
    </w:tbl>
    <w:p w14:paraId="795F3D5C" w14:textId="77777777" w:rsidR="00B05A5E" w:rsidRDefault="0048413C">
      <w:pPr>
        <w:pStyle w:val="2"/>
        <w:rPr>
          <w:lang w:eastAsia="zh-CN"/>
        </w:rPr>
      </w:pPr>
      <w:r>
        <w:rPr>
          <w:lang w:eastAsia="zh-CN"/>
        </w:rPr>
        <w:t>Others</w:t>
      </w:r>
    </w:p>
    <w:p w14:paraId="55C1FE16"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affb"/>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affb"/>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B05A5E" w14:paraId="05C680D0" w14:textId="77777777">
        <w:tc>
          <w:tcPr>
            <w:tcW w:w="662" w:type="pct"/>
          </w:tcPr>
          <w:p w14:paraId="4AE671DC" w14:textId="77777777" w:rsidR="00B05A5E" w:rsidRDefault="00B05A5E">
            <w:pPr>
              <w:pStyle w:val="affb"/>
              <w:ind w:left="0"/>
              <w:rPr>
                <w:rFonts w:eastAsia="宋体"/>
                <w:lang w:val="en-US" w:eastAsia="zh-CN"/>
              </w:rPr>
            </w:pPr>
          </w:p>
        </w:tc>
        <w:tc>
          <w:tcPr>
            <w:tcW w:w="4338" w:type="pct"/>
          </w:tcPr>
          <w:p w14:paraId="05AAD553" w14:textId="77777777" w:rsidR="00B05A5E" w:rsidRDefault="00B05A5E">
            <w:pPr>
              <w:pStyle w:val="affb"/>
              <w:ind w:left="0"/>
              <w:rPr>
                <w:rFonts w:eastAsia="宋体"/>
                <w:lang w:val="en-US" w:eastAsia="zh-CN"/>
              </w:rPr>
            </w:pPr>
          </w:p>
        </w:tc>
      </w:tr>
    </w:tbl>
    <w:p w14:paraId="2B484CC2" w14:textId="77777777" w:rsidR="00B05A5E" w:rsidRDefault="0048413C">
      <w:pPr>
        <w:pStyle w:val="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5"/>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61587552" w14:textId="77777777" w:rsidR="00B05A5E" w:rsidRDefault="0048413C">
            <w:pPr>
              <w:rPr>
                <w:rFonts w:eastAsia="宋体"/>
                <w:lang w:eastAsia="zh-CN"/>
              </w:rPr>
            </w:pPr>
            <w:r>
              <w:rPr>
                <w:rFonts w:eastAsia="宋体"/>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a7"/>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a7"/>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a7"/>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lastRenderedPageBreak/>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a7"/>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宋体"/>
                <w:lang w:eastAsia="zh-CN"/>
              </w:rPr>
            </w:pPr>
            <w:r>
              <w:rPr>
                <w:rFonts w:eastAsia="宋体"/>
                <w:lang w:eastAsia="zh-CN"/>
              </w:rPr>
              <w:lastRenderedPageBreak/>
              <w:t>ZTE</w:t>
            </w:r>
          </w:p>
          <w:p w14:paraId="69C33276" w14:textId="77777777" w:rsidR="00B05A5E" w:rsidRDefault="0048413C">
            <w:pPr>
              <w:rPr>
                <w:rFonts w:eastAsia="宋体"/>
                <w:lang w:eastAsia="zh-CN"/>
              </w:rPr>
            </w:pPr>
            <w:r>
              <w:rPr>
                <w:rFonts w:eastAsia="宋体"/>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宋体"/>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736070">
            <w:pPr>
              <w:pStyle w:val="TOC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736070">
            <w:pPr>
              <w:pStyle w:val="TOC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1.25pt;mso-width-percent:0;mso-height-percent:0;mso-width-percent:0;mso-height-percent:0" o:ole="">
                    <v:imagedata r:id="rId10" o:title=""/>
                  </v:shape>
                  <o:OLEObject Type="Embed" ProgID="Equation.KSEE3" ShapeID="_x0000_i1025" DrawAspect="Content" ObjectID="_1690804742" r:id="rId11"/>
                </w:object>
              </w:r>
              <w:r>
                <w:rPr>
                  <w:rFonts w:hint="eastAsia"/>
                  <w:lang w:val="en-US" w:eastAsia="zh-CN"/>
                </w:rPr>
                <w:t>is 2 as baseline and companies can optionally report the results with other ratios, including, e.g., 1.5 and 3.</w:t>
              </w:r>
            </w:hyperlink>
          </w:p>
          <w:p w14:paraId="355C465E" w14:textId="77777777" w:rsidR="00B05A5E" w:rsidRDefault="00736070">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lastRenderedPageBreak/>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5pt;height:11.25pt;mso-width-percent:0;mso-height-percent:0;mso-width-percent:0;mso-height-percent:0" o:ole="">
                    <v:imagedata r:id="rId10" o:title=""/>
                  </v:shape>
                  <o:OLEObject Type="Embed" ProgID="Equation.KSEE3" ShapeID="_x0000_i1026" DrawAspect="Content" ObjectID="_1690804743" r:id="rId12"/>
                </w:object>
              </w:r>
              <w:r>
                <w:rPr>
                  <w:rFonts w:hint="eastAsia"/>
                  <w:lang w:val="en-US" w:eastAsia="zh-CN"/>
                </w:rPr>
                <w:t>is 2 as baseline and companies can optionally report the results with other ratios, including, e.g., 1.5 and 3.</w:t>
              </w:r>
            </w:hyperlink>
          </w:p>
          <w:p w14:paraId="2E849F1C" w14:textId="77777777" w:rsidR="00B05A5E" w:rsidRDefault="00736070">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736070">
            <w:pPr>
              <w:pStyle w:val="TOC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aff5"/>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宋体"/>
                <w:lang w:eastAsia="zh-CN"/>
              </w:rPr>
            </w:pPr>
          </w:p>
        </w:tc>
      </w:tr>
      <w:tr w:rsidR="00B05A5E" w14:paraId="52873775" w14:textId="77777777">
        <w:tc>
          <w:tcPr>
            <w:tcW w:w="1696" w:type="dxa"/>
          </w:tcPr>
          <w:p w14:paraId="78BBC13C" w14:textId="77777777" w:rsidR="00B05A5E" w:rsidRDefault="0048413C">
            <w:pPr>
              <w:rPr>
                <w:rFonts w:eastAsia="宋体"/>
                <w:lang w:eastAsia="zh-CN"/>
              </w:rPr>
            </w:pPr>
            <w:r>
              <w:rPr>
                <w:rFonts w:eastAsia="宋体"/>
                <w:lang w:eastAsia="zh-CN"/>
              </w:rPr>
              <w:lastRenderedPageBreak/>
              <w:t>vivo</w:t>
            </w:r>
          </w:p>
          <w:p w14:paraId="55F11408" w14:textId="77777777" w:rsidR="00B05A5E" w:rsidRDefault="0048413C">
            <w:pPr>
              <w:rPr>
                <w:rFonts w:eastAsia="宋体"/>
                <w:lang w:eastAsia="zh-CN"/>
              </w:rPr>
            </w:pPr>
            <w:r>
              <w:rPr>
                <w:rFonts w:eastAsia="宋体"/>
                <w:lang w:eastAsia="zh-CN"/>
              </w:rPr>
              <w:t>(2106629)</w:t>
            </w:r>
          </w:p>
        </w:tc>
        <w:tc>
          <w:tcPr>
            <w:tcW w:w="8761" w:type="dxa"/>
          </w:tcPr>
          <w:p w14:paraId="1C9A4CDA" w14:textId="77777777" w:rsidR="00B05A5E" w:rsidRDefault="0048413C">
            <w:pPr>
              <w:pStyle w:val="a7"/>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a7"/>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a7"/>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a7"/>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a7"/>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a7"/>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a7"/>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a7"/>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a7"/>
              <w:jc w:val="both"/>
              <w:rPr>
                <w:b w:val="0"/>
                <w:i/>
              </w:rPr>
            </w:pPr>
            <w:r>
              <w:rPr>
                <w:b w:val="0"/>
                <w:i/>
              </w:rPr>
              <w:lastRenderedPageBreak/>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a7"/>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宋体"/>
                <w:lang w:eastAsia="zh-CN"/>
              </w:rPr>
            </w:pPr>
            <w:r>
              <w:rPr>
                <w:rFonts w:eastAsia="宋体"/>
                <w:lang w:eastAsia="zh-CN"/>
              </w:rPr>
              <w:lastRenderedPageBreak/>
              <w:t>Samsung</w:t>
            </w:r>
          </w:p>
          <w:p w14:paraId="2229B6FC" w14:textId="77777777" w:rsidR="00B05A5E" w:rsidRDefault="0048413C">
            <w:pPr>
              <w:rPr>
                <w:rFonts w:eastAsia="宋体"/>
                <w:lang w:eastAsia="zh-CN"/>
              </w:rPr>
            </w:pPr>
            <w:r>
              <w:rPr>
                <w:rFonts w:eastAsia="宋体"/>
                <w:lang w:eastAsia="zh-CN"/>
              </w:rPr>
              <w:t>(2106917)</w:t>
            </w:r>
          </w:p>
        </w:tc>
        <w:tc>
          <w:tcPr>
            <w:tcW w:w="8761" w:type="dxa"/>
          </w:tcPr>
          <w:p w14:paraId="355DAE59" w14:textId="77777777" w:rsidR="00B05A5E" w:rsidRDefault="0048413C">
            <w:pPr>
              <w:pStyle w:val="a5"/>
              <w:rPr>
                <w:i/>
                <w:iCs/>
              </w:rPr>
            </w:pPr>
            <w:r>
              <w:rPr>
                <w:i/>
                <w:iCs/>
              </w:rPr>
              <w:t>For AR/VR and CG: A=B=E=F=1%</w:t>
            </w:r>
          </w:p>
          <w:p w14:paraId="65F66D23" w14:textId="77777777" w:rsidR="00B05A5E" w:rsidRDefault="0048413C">
            <w:pPr>
              <w:pStyle w:val="a5"/>
              <w:rPr>
                <w:i/>
                <w:iCs/>
              </w:rPr>
            </w:pPr>
            <w:r>
              <w:rPr>
                <w:i/>
                <w:iCs/>
              </w:rPr>
              <w:t>For AR/VR: C=D=G=H=10ms and for CG: C=D=G=H=15ms</w:t>
            </w:r>
          </w:p>
          <w:p w14:paraId="39C5CBA1" w14:textId="77777777" w:rsidR="00B05A5E" w:rsidRDefault="0048413C">
            <w:pPr>
              <w:pStyle w:val="a5"/>
              <w:rPr>
                <w:rFonts w:eastAsia="宋体"/>
                <w:i/>
                <w:iCs/>
              </w:rPr>
            </w:pPr>
            <w:r>
              <w:rPr>
                <w:lang w:eastAsia="zh-CN"/>
              </w:rPr>
              <w:fldChar w:fldCharType="begin"/>
            </w:r>
            <w:r>
              <w:rPr>
                <w:lang w:eastAsia="zh-CN"/>
              </w:rPr>
              <w:instrText xml:space="preserve"> QUOTE </w:instrText>
            </w:r>
            <w:r w:rsidR="00490F05">
              <w:rPr>
                <w:noProof/>
                <w:position w:val="-5"/>
              </w:rPr>
              <w:pict w14:anchorId="6F6DCC8E">
                <v:shape id="_x0000_i1027" type="#_x0000_t75" alt="" style="width:5.65pt;height:12.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sidR="00490F05">
              <w:rPr>
                <w:noProof/>
                <w:position w:val="-5"/>
              </w:rPr>
              <w:pict w14:anchorId="49AA3FCA">
                <v:shape id="_x0000_i1028" type="#_x0000_t75" alt="" style="width:5.65pt;height:12.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宋体" w:hAnsi="Arial" w:cs="Arial"/>
                <w:sz w:val="16"/>
                <w:szCs w:val="16"/>
              </w:rPr>
            </w:pPr>
            <w:r>
              <w:rPr>
                <w:rFonts w:ascii="Arial" w:eastAsia="宋体" w:hAnsi="Arial" w:cs="Arial"/>
                <w:sz w:val="16"/>
                <w:szCs w:val="16"/>
              </w:rPr>
              <w:t>CATT</w:t>
            </w:r>
          </w:p>
          <w:p w14:paraId="6587AA02" w14:textId="77777777" w:rsidR="00B05A5E" w:rsidRDefault="0048413C">
            <w:pPr>
              <w:rPr>
                <w:rFonts w:eastAsia="宋体"/>
                <w:lang w:eastAsia="zh-CN"/>
              </w:rPr>
            </w:pPr>
            <w:r>
              <w:rPr>
                <w:rFonts w:eastAsia="宋体"/>
                <w:lang w:eastAsia="zh-CN"/>
              </w:rPr>
              <w:t>(2106949)</w:t>
            </w:r>
          </w:p>
        </w:tc>
        <w:tc>
          <w:tcPr>
            <w:tcW w:w="8761" w:type="dxa"/>
          </w:tcPr>
          <w:p w14:paraId="209209E9"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1D92FACD"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242BD7E" w14:textId="77777777">
        <w:tc>
          <w:tcPr>
            <w:tcW w:w="1696" w:type="dxa"/>
          </w:tcPr>
          <w:p w14:paraId="643BE347" w14:textId="77777777" w:rsidR="00B05A5E" w:rsidRDefault="0048413C">
            <w:pPr>
              <w:rPr>
                <w:rFonts w:eastAsia="宋体"/>
                <w:lang w:eastAsia="zh-CN"/>
              </w:rPr>
            </w:pPr>
            <w:r>
              <w:rPr>
                <w:rFonts w:eastAsia="宋体"/>
                <w:lang w:eastAsia="zh-CN"/>
              </w:rPr>
              <w:t>China Telecom</w:t>
            </w:r>
          </w:p>
          <w:p w14:paraId="688B0C9B" w14:textId="77777777" w:rsidR="00B05A5E" w:rsidRDefault="0048413C">
            <w:pPr>
              <w:rPr>
                <w:rFonts w:eastAsia="宋体"/>
                <w:lang w:eastAsia="zh-CN"/>
              </w:rPr>
            </w:pPr>
            <w:r>
              <w:rPr>
                <w:rFonts w:eastAsia="宋体"/>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宋体"/>
                <w:lang w:eastAsia="zh-CN"/>
              </w:rPr>
            </w:pPr>
            <w:r>
              <w:rPr>
                <w:rFonts w:eastAsia="宋体"/>
                <w:lang w:eastAsia="zh-CN"/>
              </w:rPr>
              <w:t>OPPO</w:t>
            </w:r>
          </w:p>
          <w:p w14:paraId="0A488D9E" w14:textId="77777777" w:rsidR="00B05A5E" w:rsidRDefault="0048413C">
            <w:pPr>
              <w:rPr>
                <w:rFonts w:eastAsia="宋体"/>
                <w:lang w:eastAsia="zh-CN"/>
              </w:rPr>
            </w:pPr>
            <w:r>
              <w:rPr>
                <w:rFonts w:eastAsia="宋体"/>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aff5"/>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736070">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lastRenderedPageBreak/>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宋体"/>
                <w:lang w:eastAsia="zh-CN"/>
              </w:rPr>
            </w:pPr>
            <w:r>
              <w:rPr>
                <w:rFonts w:eastAsia="宋体"/>
                <w:lang w:eastAsia="zh-CN"/>
              </w:rPr>
              <w:lastRenderedPageBreak/>
              <w:t>Qualcomm</w:t>
            </w:r>
          </w:p>
          <w:p w14:paraId="01B4D4A0" w14:textId="77777777" w:rsidR="00B05A5E" w:rsidRDefault="0048413C">
            <w:pPr>
              <w:rPr>
                <w:rFonts w:eastAsia="宋体"/>
                <w:lang w:eastAsia="zh-CN"/>
              </w:rPr>
            </w:pPr>
            <w:r>
              <w:rPr>
                <w:rFonts w:eastAsia="宋体"/>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宋体"/>
                <w:lang w:eastAsia="zh-CN"/>
              </w:rPr>
            </w:pPr>
            <w:r>
              <w:rPr>
                <w:rFonts w:eastAsia="宋体"/>
                <w:lang w:eastAsia="zh-CN"/>
              </w:rPr>
              <w:t>LGE</w:t>
            </w:r>
          </w:p>
          <w:p w14:paraId="0CED4E2B"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55AE7729" w14:textId="77777777" w:rsidR="00B05A5E" w:rsidRDefault="0048413C">
            <w:pPr>
              <w:rPr>
                <w:rFonts w:eastAsia="宋体"/>
                <w:lang w:eastAsia="zh-CN"/>
              </w:rPr>
            </w:pPr>
            <w:r>
              <w:rPr>
                <w:rFonts w:eastAsia="宋体"/>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affb"/>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affb"/>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affb"/>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affb"/>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affb"/>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宋体"/>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宋体"/>
                <w:lang w:eastAsia="zh-CN"/>
              </w:rPr>
            </w:pPr>
            <w:proofErr w:type="spellStart"/>
            <w:r>
              <w:rPr>
                <w:rFonts w:eastAsia="宋体" w:hint="eastAsia"/>
                <w:lang w:eastAsia="zh-CN"/>
              </w:rPr>
              <w:lastRenderedPageBreak/>
              <w:t>I</w:t>
            </w:r>
            <w:r>
              <w:rPr>
                <w:rFonts w:eastAsia="宋体"/>
                <w:lang w:eastAsia="zh-CN"/>
              </w:rPr>
              <w:t>nterDigital</w:t>
            </w:r>
            <w:proofErr w:type="spellEnd"/>
          </w:p>
          <w:p w14:paraId="60C4F607"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宋体"/>
                <w:b/>
                <w:color w:val="000000"/>
                <w:lang w:val="en-US" w:eastAsia="zh-CN"/>
              </w:rPr>
            </w:pPr>
          </w:p>
        </w:tc>
      </w:tr>
      <w:tr w:rsidR="00B05A5E" w14:paraId="43FA0600" w14:textId="77777777">
        <w:tc>
          <w:tcPr>
            <w:tcW w:w="1696" w:type="dxa"/>
          </w:tcPr>
          <w:p w14:paraId="27E38FD9" w14:textId="77777777" w:rsidR="00B05A5E" w:rsidRDefault="0048413C">
            <w:pPr>
              <w:rPr>
                <w:rFonts w:ascii="Arial" w:eastAsia="宋体" w:hAnsi="Arial" w:cs="Arial"/>
                <w:sz w:val="16"/>
                <w:szCs w:val="16"/>
              </w:rPr>
            </w:pPr>
            <w:r>
              <w:rPr>
                <w:rFonts w:ascii="Arial" w:eastAsia="宋体" w:hAnsi="Arial" w:cs="Arial"/>
                <w:sz w:val="16"/>
                <w:szCs w:val="16"/>
              </w:rPr>
              <w:t>Intel</w:t>
            </w:r>
          </w:p>
          <w:p w14:paraId="601239FE" w14:textId="77777777" w:rsidR="00B05A5E" w:rsidRDefault="0048413C">
            <w:pPr>
              <w:rPr>
                <w:rFonts w:eastAsia="宋体"/>
                <w:lang w:eastAsia="zh-CN"/>
              </w:rPr>
            </w:pPr>
            <w:r>
              <w:rPr>
                <w:rFonts w:eastAsia="宋体"/>
                <w:lang w:eastAsia="zh-CN"/>
              </w:rPr>
              <w:t>(2107616)</w:t>
            </w:r>
          </w:p>
        </w:tc>
        <w:tc>
          <w:tcPr>
            <w:tcW w:w="8761" w:type="dxa"/>
          </w:tcPr>
          <w:p w14:paraId="3647AE06" w14:textId="77777777" w:rsidR="00B05A5E" w:rsidRDefault="0048413C">
            <w:pPr>
              <w:pStyle w:val="a5"/>
              <w:rPr>
                <w:b/>
                <w:bCs/>
                <w:i/>
                <w:iCs/>
                <w:u w:val="single"/>
                <w:lang w:eastAsia="zh-CN"/>
              </w:rPr>
            </w:pPr>
            <w:r>
              <w:rPr>
                <w:b/>
                <w:bCs/>
                <w:i/>
                <w:iCs/>
                <w:u w:val="single"/>
                <w:lang w:eastAsia="zh-CN"/>
              </w:rPr>
              <w:t>Observations-1 (from SA4 trace):</w:t>
            </w:r>
          </w:p>
          <w:p w14:paraId="76EBF378"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a5"/>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a5"/>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51266D4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a5"/>
              <w:rPr>
                <w:b/>
                <w:bCs/>
                <w:i/>
                <w:iCs/>
                <w:u w:val="single"/>
                <w:lang w:eastAsia="zh-CN"/>
              </w:rPr>
            </w:pPr>
            <w:r>
              <w:rPr>
                <w:b/>
                <w:bCs/>
                <w:i/>
                <w:iCs/>
                <w:u w:val="single"/>
                <w:lang w:eastAsia="zh-CN"/>
              </w:rPr>
              <w:t>Observations-2 (from SA4 trace):</w:t>
            </w:r>
          </w:p>
          <w:p w14:paraId="7931D90B" w14:textId="77777777" w:rsidR="00B05A5E" w:rsidRDefault="0048413C">
            <w:pPr>
              <w:pStyle w:val="a5"/>
              <w:rPr>
                <w:b/>
                <w:bCs/>
                <w:i/>
                <w:iCs/>
                <w:lang w:eastAsia="zh-CN"/>
              </w:rPr>
            </w:pPr>
            <w:r>
              <w:rPr>
                <w:b/>
                <w:bCs/>
                <w:i/>
                <w:iCs/>
                <w:lang w:eastAsia="zh-CN"/>
              </w:rPr>
              <w:t>We observe that</w:t>
            </w:r>
          </w:p>
          <w:p w14:paraId="0860822C"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a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a5"/>
              <w:rPr>
                <w:b/>
                <w:bCs/>
                <w:i/>
                <w:iCs/>
                <w:u w:val="single"/>
                <w:lang w:eastAsia="zh-CN"/>
              </w:rPr>
            </w:pPr>
            <w:r>
              <w:rPr>
                <w:b/>
                <w:bCs/>
                <w:i/>
                <w:iCs/>
                <w:u w:val="single"/>
                <w:lang w:eastAsia="zh-CN"/>
              </w:rPr>
              <w:t>Observations-3 (from SA4 trace):</w:t>
            </w:r>
          </w:p>
          <w:p w14:paraId="78FE6564" w14:textId="77777777" w:rsidR="00B05A5E" w:rsidRDefault="0048413C">
            <w:pPr>
              <w:pStyle w:val="a5"/>
              <w:rPr>
                <w:b/>
                <w:bCs/>
                <w:i/>
                <w:iCs/>
                <w:lang w:eastAsia="zh-CN"/>
              </w:rPr>
            </w:pPr>
            <w:r>
              <w:rPr>
                <w:b/>
                <w:bCs/>
                <w:i/>
                <w:iCs/>
                <w:lang w:eastAsia="zh-CN"/>
              </w:rPr>
              <w:t xml:space="preserve">We observe that </w:t>
            </w:r>
          </w:p>
          <w:p w14:paraId="5284994D" w14:textId="77777777" w:rsidR="00B05A5E" w:rsidRDefault="0048413C">
            <w:pPr>
              <w:pStyle w:val="aff6"/>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Ericsson</w:t>
            </w:r>
          </w:p>
          <w:p w14:paraId="456344F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0C58BB5A" w14:textId="77777777" w:rsidR="00B05A5E" w:rsidRDefault="0048413C">
            <w:pPr>
              <w:pStyle w:val="aff6"/>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9"/>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af9"/>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a5"/>
              <w:rPr>
                <w:b/>
                <w:lang w:val="en-US"/>
              </w:rPr>
            </w:pPr>
            <w:r>
              <w:rPr>
                <w:b/>
                <w:bCs/>
              </w:rPr>
              <w:fldChar w:fldCharType="end"/>
            </w:r>
            <w:r>
              <w:t>Based on the discussion in the previous sections we propose the following:</w:t>
            </w:r>
          </w:p>
          <w:p w14:paraId="122E0D1B" w14:textId="77777777" w:rsidR="00B05A5E" w:rsidRDefault="0048413C">
            <w:pPr>
              <w:pStyle w:val="aff6"/>
              <w:tabs>
                <w:tab w:val="right" w:leader="dot" w:pos="9629"/>
              </w:tabs>
              <w:rPr>
                <w:rStyle w:val="af9"/>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9"/>
                </w:rPr>
                <w:t>Proposal 1</w:t>
              </w:r>
              <w:r>
                <w:rPr>
                  <w:rFonts w:asciiTheme="minorHAnsi" w:eastAsiaTheme="minorEastAsia" w:hAnsiTheme="minorHAnsi"/>
                  <w:b w:val="0"/>
                  <w:lang w:eastAsia="sv-SE"/>
                </w:rPr>
                <w:tab/>
              </w:r>
              <w:r>
                <w:rPr>
                  <w:rStyle w:val="af9"/>
                </w:rPr>
                <w:t>For A, B, C, D, E, F, G, and H, the same values are used as for DL video without I- and P-frame differentiation.</w:t>
              </w:r>
            </w:hyperlink>
          </w:p>
          <w:p w14:paraId="0BB96FBF" w14:textId="77777777" w:rsidR="00B05A5E" w:rsidRDefault="0048413C">
            <w:pPr>
              <w:pStyle w:val="a5"/>
            </w:pPr>
            <w:r>
              <w:t xml:space="preserve">This means that </w:t>
            </w:r>
          </w:p>
          <w:p w14:paraId="6400A8EF" w14:textId="77777777" w:rsidR="00B05A5E" w:rsidRDefault="0048413C">
            <w:pPr>
              <w:pStyle w:val="a5"/>
              <w:numPr>
                <w:ilvl w:val="0"/>
                <w:numId w:val="31"/>
              </w:numPr>
              <w:spacing w:after="120"/>
              <w:jc w:val="both"/>
            </w:pPr>
            <w:r>
              <w:t xml:space="preserve">For CG and AR/VR, A=B=E=F=1% </w:t>
            </w:r>
          </w:p>
          <w:p w14:paraId="085DBBA9" w14:textId="77777777" w:rsidR="00B05A5E" w:rsidRDefault="0048413C">
            <w:pPr>
              <w:pStyle w:val="a5"/>
              <w:numPr>
                <w:ilvl w:val="0"/>
                <w:numId w:val="31"/>
              </w:numPr>
              <w:spacing w:after="120"/>
              <w:jc w:val="both"/>
            </w:pPr>
            <w:r>
              <w:t>For CG, C=D=G=H=15ms</w:t>
            </w:r>
          </w:p>
          <w:p w14:paraId="0EF4E5EA" w14:textId="77777777" w:rsidR="00B05A5E" w:rsidRDefault="0048413C">
            <w:pPr>
              <w:pStyle w:val="a5"/>
              <w:numPr>
                <w:ilvl w:val="0"/>
                <w:numId w:val="31"/>
              </w:numPr>
              <w:spacing w:after="120"/>
              <w:jc w:val="both"/>
            </w:pPr>
            <w:r>
              <w:t xml:space="preserve">For AR/VR, C=D=G=H=10ms </w:t>
            </w:r>
          </w:p>
          <w:p w14:paraId="6424F93A" w14:textId="77777777" w:rsidR="00B05A5E" w:rsidRDefault="00736070">
            <w:pPr>
              <w:pStyle w:val="aff6"/>
              <w:tabs>
                <w:tab w:val="right" w:leader="dot" w:pos="9629"/>
              </w:tabs>
              <w:rPr>
                <w:rFonts w:asciiTheme="minorHAnsi" w:eastAsiaTheme="minorEastAsia" w:hAnsiTheme="minorHAnsi"/>
                <w:b w:val="0"/>
                <w:lang w:eastAsia="sv-SE"/>
              </w:rPr>
            </w:pPr>
            <w:hyperlink w:anchor="_Toc79149099" w:history="1">
              <w:r w:rsidR="0048413C">
                <w:rPr>
                  <w:rStyle w:val="af9"/>
                  <w:rFonts w:cstheme="minorHAnsi"/>
                </w:rPr>
                <w:t>Proposal 2</w:t>
              </w:r>
              <w:r w:rsidR="0048413C">
                <w:rPr>
                  <w:rFonts w:asciiTheme="minorHAnsi" w:eastAsiaTheme="minorEastAsia" w:hAnsiTheme="minorHAnsi"/>
                  <w:b w:val="0"/>
                  <w:lang w:eastAsia="sv-SE"/>
                </w:rPr>
                <w:tab/>
              </w:r>
              <w:r w:rsidR="0048413C">
                <w:rPr>
                  <w:rStyle w:val="af9"/>
                </w:rPr>
                <w:t>The average size ratio between one I-frame/slice and one P-frame/slice is 3.</w:t>
              </w:r>
            </w:hyperlink>
          </w:p>
          <w:p w14:paraId="797A2140" w14:textId="77777777" w:rsidR="00B05A5E" w:rsidRDefault="0048413C">
            <w:pPr>
              <w:pStyle w:val="aff6"/>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1A328D4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affb"/>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446668"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affb"/>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CA0EEA8" w14:textId="77777777" w:rsidR="00B05A5E" w:rsidRDefault="0048413C">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Xiaomi</w:t>
            </w:r>
          </w:p>
          <w:p w14:paraId="30DC429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8"/>
    </w:tbl>
    <w:p w14:paraId="21716813" w14:textId="77777777" w:rsidR="00B05A5E" w:rsidRDefault="00B05A5E">
      <w:pPr>
        <w:spacing w:before="240"/>
        <w:jc w:val="both"/>
        <w:rPr>
          <w:rFonts w:eastAsia="宋体"/>
          <w:lang w:eastAsia="zh-CN"/>
        </w:rPr>
      </w:pPr>
    </w:p>
    <w:bookmarkEnd w:id="0"/>
    <w:bookmarkEnd w:id="1"/>
    <w:p w14:paraId="16B25F52" w14:textId="77777777" w:rsidR="00B05A5E" w:rsidRDefault="0048413C">
      <w:pPr>
        <w:pStyle w:val="1"/>
        <w:rPr>
          <w:rFonts w:eastAsia="宋体"/>
          <w:lang w:eastAsia="zh-CN"/>
        </w:rPr>
      </w:pPr>
      <w:r>
        <w:rPr>
          <w:rFonts w:eastAsia="宋体"/>
          <w:lang w:eastAsia="zh-CN"/>
        </w:rPr>
        <w:t>List of contributions in RAN1 #106-e</w:t>
      </w:r>
    </w:p>
    <w:bookmarkStart w:id="9" w:name="_Ref72140283"/>
    <w:p w14:paraId="53FF8C07" w14:textId="77777777" w:rsidR="00B05A5E" w:rsidRDefault="0048413C">
      <w:pPr>
        <w:pStyle w:val="affb"/>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9"/>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736070">
      <w:pPr>
        <w:pStyle w:val="affb"/>
        <w:numPr>
          <w:ilvl w:val="0"/>
          <w:numId w:val="33"/>
        </w:numPr>
        <w:spacing w:after="0" w:line="240" w:lineRule="auto"/>
        <w:rPr>
          <w:lang w:eastAsia="zh-CN"/>
        </w:rPr>
      </w:pPr>
      <w:hyperlink r:id="rId14" w:history="1">
        <w:r w:rsidR="0048413C">
          <w:rPr>
            <w:rStyle w:val="af9"/>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736070">
      <w:pPr>
        <w:pStyle w:val="affb"/>
        <w:numPr>
          <w:ilvl w:val="0"/>
          <w:numId w:val="33"/>
        </w:numPr>
        <w:spacing w:after="0" w:line="240" w:lineRule="auto"/>
        <w:rPr>
          <w:lang w:eastAsia="zh-CN"/>
        </w:rPr>
      </w:pPr>
      <w:hyperlink r:id="rId15" w:history="1">
        <w:r w:rsidR="0048413C">
          <w:rPr>
            <w:rStyle w:val="af9"/>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736070">
      <w:pPr>
        <w:pStyle w:val="affb"/>
        <w:numPr>
          <w:ilvl w:val="0"/>
          <w:numId w:val="33"/>
        </w:numPr>
        <w:spacing w:after="0" w:line="240" w:lineRule="auto"/>
        <w:rPr>
          <w:lang w:eastAsia="zh-CN"/>
        </w:rPr>
      </w:pPr>
      <w:hyperlink r:id="rId16" w:history="1">
        <w:r w:rsidR="0048413C">
          <w:rPr>
            <w:rStyle w:val="af9"/>
            <w:lang w:eastAsia="zh-CN"/>
          </w:rPr>
          <w:t>R1-2106917</w:t>
        </w:r>
      </w:hyperlink>
      <w:r w:rsidR="0048413C">
        <w:rPr>
          <w:lang w:eastAsia="zh-CN"/>
        </w:rPr>
        <w:tab/>
        <w:t>Traffic Models for XR</w:t>
      </w:r>
      <w:r w:rsidR="0048413C">
        <w:rPr>
          <w:lang w:eastAsia="zh-CN"/>
        </w:rPr>
        <w:tab/>
        <w:t>Samsung</w:t>
      </w:r>
    </w:p>
    <w:p w14:paraId="1BAB7726" w14:textId="77777777" w:rsidR="00B05A5E" w:rsidRDefault="00736070">
      <w:pPr>
        <w:pStyle w:val="affb"/>
        <w:numPr>
          <w:ilvl w:val="0"/>
          <w:numId w:val="33"/>
        </w:numPr>
        <w:spacing w:after="0" w:line="240" w:lineRule="auto"/>
        <w:rPr>
          <w:lang w:eastAsia="zh-CN"/>
        </w:rPr>
      </w:pPr>
      <w:hyperlink r:id="rId17" w:history="1">
        <w:r w:rsidR="0048413C">
          <w:rPr>
            <w:rStyle w:val="af9"/>
            <w:lang w:eastAsia="zh-CN"/>
          </w:rPr>
          <w:t>R1-2106949</w:t>
        </w:r>
      </w:hyperlink>
      <w:r w:rsidR="0048413C">
        <w:rPr>
          <w:lang w:eastAsia="zh-CN"/>
        </w:rPr>
        <w:tab/>
        <w:t>XR traffic model</w:t>
      </w:r>
      <w:r w:rsidR="0048413C">
        <w:rPr>
          <w:lang w:eastAsia="zh-CN"/>
        </w:rPr>
        <w:tab/>
        <w:t>CATT</w:t>
      </w:r>
    </w:p>
    <w:p w14:paraId="1C06AC45" w14:textId="77777777" w:rsidR="00B05A5E" w:rsidRDefault="00736070">
      <w:pPr>
        <w:pStyle w:val="affb"/>
        <w:numPr>
          <w:ilvl w:val="0"/>
          <w:numId w:val="33"/>
        </w:numPr>
        <w:spacing w:after="0" w:line="240" w:lineRule="auto"/>
        <w:rPr>
          <w:lang w:eastAsia="zh-CN"/>
        </w:rPr>
      </w:pPr>
      <w:hyperlink r:id="rId18" w:history="1">
        <w:r w:rsidR="0048413C">
          <w:rPr>
            <w:rStyle w:val="af9"/>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736070">
      <w:pPr>
        <w:pStyle w:val="affb"/>
        <w:numPr>
          <w:ilvl w:val="0"/>
          <w:numId w:val="33"/>
        </w:numPr>
        <w:spacing w:after="0" w:line="240" w:lineRule="auto"/>
        <w:rPr>
          <w:lang w:eastAsia="zh-CN"/>
        </w:rPr>
      </w:pPr>
      <w:hyperlink r:id="rId19" w:history="1">
        <w:r w:rsidR="0048413C">
          <w:rPr>
            <w:rStyle w:val="af9"/>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736070">
      <w:pPr>
        <w:pStyle w:val="affb"/>
        <w:numPr>
          <w:ilvl w:val="0"/>
          <w:numId w:val="33"/>
        </w:numPr>
        <w:spacing w:after="0" w:line="240" w:lineRule="auto"/>
        <w:rPr>
          <w:lang w:eastAsia="zh-CN"/>
        </w:rPr>
      </w:pPr>
      <w:hyperlink r:id="rId20" w:history="1">
        <w:r w:rsidR="0048413C">
          <w:rPr>
            <w:rStyle w:val="af9"/>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736070">
      <w:pPr>
        <w:pStyle w:val="affb"/>
        <w:numPr>
          <w:ilvl w:val="0"/>
          <w:numId w:val="33"/>
        </w:numPr>
        <w:spacing w:after="0" w:line="240" w:lineRule="auto"/>
        <w:rPr>
          <w:lang w:eastAsia="zh-CN"/>
        </w:rPr>
      </w:pPr>
      <w:hyperlink r:id="rId21" w:history="1">
        <w:r w:rsidR="0048413C">
          <w:rPr>
            <w:rStyle w:val="af9"/>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736070">
      <w:pPr>
        <w:pStyle w:val="affb"/>
        <w:numPr>
          <w:ilvl w:val="0"/>
          <w:numId w:val="33"/>
        </w:numPr>
        <w:spacing w:after="0" w:line="240" w:lineRule="auto"/>
        <w:rPr>
          <w:lang w:eastAsia="zh-CN"/>
        </w:rPr>
      </w:pPr>
      <w:hyperlink r:id="rId22" w:history="1">
        <w:r w:rsidR="0048413C">
          <w:rPr>
            <w:rStyle w:val="af9"/>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736070">
      <w:pPr>
        <w:pStyle w:val="affb"/>
        <w:numPr>
          <w:ilvl w:val="0"/>
          <w:numId w:val="33"/>
        </w:numPr>
        <w:spacing w:after="0" w:line="240" w:lineRule="auto"/>
        <w:rPr>
          <w:lang w:eastAsia="zh-CN"/>
        </w:rPr>
      </w:pPr>
      <w:hyperlink r:id="rId23" w:history="1">
        <w:r w:rsidR="0048413C">
          <w:rPr>
            <w:rStyle w:val="af9"/>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736070">
      <w:pPr>
        <w:pStyle w:val="affb"/>
        <w:numPr>
          <w:ilvl w:val="0"/>
          <w:numId w:val="33"/>
        </w:numPr>
        <w:spacing w:after="0" w:line="240" w:lineRule="auto"/>
        <w:rPr>
          <w:lang w:eastAsia="zh-CN"/>
        </w:rPr>
      </w:pPr>
      <w:hyperlink r:id="rId24" w:history="1">
        <w:r w:rsidR="0048413C">
          <w:rPr>
            <w:rStyle w:val="af9"/>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736070">
      <w:pPr>
        <w:pStyle w:val="affb"/>
        <w:numPr>
          <w:ilvl w:val="0"/>
          <w:numId w:val="33"/>
        </w:numPr>
        <w:spacing w:after="0" w:line="240" w:lineRule="auto"/>
        <w:rPr>
          <w:lang w:eastAsia="zh-CN"/>
        </w:rPr>
      </w:pPr>
      <w:hyperlink r:id="rId25" w:history="1">
        <w:r w:rsidR="0048413C">
          <w:rPr>
            <w:rStyle w:val="af9"/>
            <w:lang w:eastAsia="zh-CN"/>
          </w:rPr>
          <w:t>R1-2107629</w:t>
        </w:r>
      </w:hyperlink>
      <w:r w:rsidR="0048413C">
        <w:rPr>
          <w:lang w:eastAsia="zh-CN"/>
        </w:rPr>
        <w:tab/>
        <w:t>Traffic model for XR</w:t>
      </w:r>
      <w:r w:rsidR="0048413C">
        <w:rPr>
          <w:lang w:eastAsia="zh-CN"/>
        </w:rPr>
        <w:tab/>
        <w:t>Ericsson</w:t>
      </w:r>
    </w:p>
    <w:p w14:paraId="5089F15C" w14:textId="77777777" w:rsidR="00B05A5E" w:rsidRDefault="00736070">
      <w:pPr>
        <w:pStyle w:val="affb"/>
        <w:numPr>
          <w:ilvl w:val="0"/>
          <w:numId w:val="33"/>
        </w:numPr>
        <w:spacing w:after="0" w:line="240" w:lineRule="auto"/>
        <w:rPr>
          <w:lang w:eastAsia="zh-CN"/>
        </w:rPr>
      </w:pPr>
      <w:hyperlink r:id="rId26" w:history="1">
        <w:r w:rsidR="0048413C">
          <w:rPr>
            <w:rStyle w:val="af9"/>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736070">
      <w:pPr>
        <w:pStyle w:val="affb"/>
        <w:numPr>
          <w:ilvl w:val="0"/>
          <w:numId w:val="33"/>
        </w:numPr>
        <w:spacing w:after="0" w:line="240" w:lineRule="auto"/>
        <w:rPr>
          <w:lang w:eastAsia="zh-CN"/>
        </w:rPr>
      </w:pPr>
      <w:hyperlink r:id="rId27" w:history="1">
        <w:r w:rsidR="0048413C">
          <w:rPr>
            <w:rStyle w:val="af9"/>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736070">
      <w:pPr>
        <w:pStyle w:val="affb"/>
        <w:numPr>
          <w:ilvl w:val="0"/>
          <w:numId w:val="33"/>
        </w:numPr>
        <w:spacing w:after="0" w:line="240" w:lineRule="auto"/>
        <w:rPr>
          <w:lang w:eastAsia="zh-CN"/>
        </w:rPr>
      </w:pPr>
      <w:hyperlink r:id="rId28" w:history="1">
        <w:r w:rsidR="0048413C">
          <w:rPr>
            <w:rStyle w:val="af9"/>
            <w:lang w:eastAsia="zh-CN"/>
          </w:rPr>
          <w:t>R1-2107905</w:t>
        </w:r>
      </w:hyperlink>
      <w:r w:rsidR="0048413C">
        <w:rPr>
          <w:lang w:eastAsia="zh-CN"/>
        </w:rPr>
        <w:tab/>
        <w:t>Discussion on remaining issues of traffic Model for XR services</w:t>
      </w:r>
      <w:r w:rsidR="0048413C">
        <w:rPr>
          <w:lang w:eastAsia="zh-CN"/>
        </w:rPr>
        <w:tab/>
        <w:t>Xiaomi</w:t>
      </w:r>
    </w:p>
    <w:bookmarkEnd w:id="9"/>
    <w:p w14:paraId="4CDBA885" w14:textId="77777777" w:rsidR="00B05A5E" w:rsidRDefault="00B05A5E">
      <w:pPr>
        <w:spacing w:after="0" w:line="240" w:lineRule="auto"/>
      </w:pPr>
    </w:p>
    <w:sectPr w:rsidR="00B05A5E">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7F365" w14:textId="77777777" w:rsidR="00736070" w:rsidRDefault="00736070">
      <w:pPr>
        <w:spacing w:line="240" w:lineRule="auto"/>
      </w:pPr>
      <w:r>
        <w:separator/>
      </w:r>
    </w:p>
  </w:endnote>
  <w:endnote w:type="continuationSeparator" w:id="0">
    <w:p w14:paraId="045D6812" w14:textId="77777777" w:rsidR="00736070" w:rsidRDefault="00736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DC97" w14:textId="77777777" w:rsidR="00B05A5E" w:rsidRDefault="0048413C">
    <w:pPr>
      <w:pStyle w:val="af2"/>
      <w:rPr>
        <w:rFonts w:eastAsia="宋体"/>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B05A5E" w:rsidRDefault="00B05A5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B05A5E" w:rsidRDefault="00B05A5E">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48413C">
      <w:rPr>
        <w:noProof/>
        <w:lang w:val="zh-CN" w:eastAsia="zh-CN"/>
      </w:rPr>
      <w:t>6</w:t>
    </w:r>
    <w:r>
      <w:fldChar w:fldCharType="end"/>
    </w:r>
  </w:p>
  <w:p w14:paraId="058C796E" w14:textId="77777777" w:rsidR="00B05A5E" w:rsidRDefault="00B05A5E"/>
  <w:p w14:paraId="791B2C00" w14:textId="77777777" w:rsidR="00B05A5E" w:rsidRDefault="00B05A5E"/>
  <w:p w14:paraId="2274014D" w14:textId="77777777" w:rsidR="00B05A5E" w:rsidRDefault="00B05A5E"/>
  <w:p w14:paraId="57629FD8" w14:textId="77777777" w:rsidR="00B05A5E" w:rsidRDefault="00B05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166C" w14:textId="77777777" w:rsidR="00736070" w:rsidRDefault="00736070">
      <w:pPr>
        <w:spacing w:after="0" w:line="240" w:lineRule="auto"/>
      </w:pPr>
      <w:r>
        <w:separator/>
      </w:r>
    </w:p>
  </w:footnote>
  <w:footnote w:type="continuationSeparator" w:id="0">
    <w:p w14:paraId="0636E084" w14:textId="77777777" w:rsidR="00736070" w:rsidRDefault="0073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34422C"/>
    <w:multiLevelType w:val="multilevel"/>
    <w:tmpl w:val="3534422C"/>
    <w:lvl w:ilvl="0">
      <w:start w:val="1"/>
      <w:numFmt w:val="decimal"/>
      <w:lvlText w:val="Ques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uiPriority w:val="9"/>
    <w:qFormat/>
    <w:pPr>
      <w:numPr>
        <w:ilvl w:val="1"/>
      </w:numPr>
      <w:pBdr>
        <w:top w:val="none" w:sz="0" w:space="0" w:color="auto"/>
      </w:pBdr>
      <w:spacing w:before="180"/>
      <w:outlineLvl w:val="1"/>
    </w:pPr>
    <w:rPr>
      <w:sz w:val="32"/>
    </w:rPr>
  </w:style>
  <w:style w:type="paragraph" w:styleId="3">
    <w:name w:val="heading 3"/>
    <w:basedOn w:val="2"/>
    <w:next w:val="a"/>
    <w:link w:val="30"/>
    <w:uiPriority w:val="9"/>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Tahoma" w:hAnsi="Tahoma"/>
      <w:sz w:val="16"/>
      <w:szCs w:val="16"/>
    </w:rPr>
  </w:style>
  <w:style w:type="paragraph" w:styleId="a5">
    <w:name w:val="Body Text"/>
    <w:basedOn w:val="a"/>
    <w:link w:val="a6"/>
    <w:uiPriority w:val="1"/>
    <w:qFormat/>
  </w:style>
  <w:style w:type="paragraph" w:styleId="20">
    <w:name w:val="Body Text 2"/>
    <w:basedOn w:val="a"/>
    <w:link w:val="22"/>
    <w:qFormat/>
    <w:pPr>
      <w:spacing w:after="120" w:line="480" w:lineRule="auto"/>
    </w:pPr>
    <w:rPr>
      <w:rFonts w:ascii="Times" w:eastAsia="Batang" w:hAnsi="Times"/>
      <w:szCs w:val="24"/>
    </w:rPr>
  </w:style>
  <w:style w:type="paragraph" w:styleId="a7">
    <w:name w:val="caption"/>
    <w:basedOn w:val="a"/>
    <w:next w:val="a"/>
    <w:link w:val="11"/>
    <w:qFormat/>
    <w:pPr>
      <w:spacing w:before="120" w:after="120"/>
    </w:pPr>
    <w:rPr>
      <w:b/>
    </w:rPr>
  </w:style>
  <w:style w:type="character" w:styleId="a8">
    <w:name w:val="annotation reference"/>
    <w:uiPriority w:val="99"/>
    <w:qFormat/>
    <w:rPr>
      <w:sz w:val="16"/>
    </w:rPr>
  </w:style>
  <w:style w:type="paragraph" w:styleId="a9">
    <w:name w:val="annotation text"/>
    <w:basedOn w:val="a"/>
    <w:link w:val="12"/>
    <w:uiPriority w:val="99"/>
    <w:qFormat/>
  </w:style>
  <w:style w:type="paragraph" w:styleId="aa">
    <w:name w:val="annotation subject"/>
    <w:basedOn w:val="a9"/>
    <w:next w:val="a9"/>
    <w:link w:val="ab"/>
    <w:qFormat/>
    <w:rPr>
      <w:b/>
      <w:bCs/>
    </w:rPr>
  </w:style>
  <w:style w:type="paragraph" w:styleId="ac">
    <w:name w:val="Date"/>
    <w:basedOn w:val="a"/>
    <w:next w:val="a"/>
    <w:link w:val="ad"/>
    <w:qFormat/>
    <w:pPr>
      <w:widowControl w:val="0"/>
      <w:spacing w:after="0"/>
      <w:ind w:leftChars="2500" w:left="100"/>
      <w:jc w:val="both"/>
    </w:pPr>
    <w:rPr>
      <w:rFonts w:eastAsia="宋体"/>
      <w:kern w:val="2"/>
      <w:sz w:val="21"/>
    </w:rPr>
  </w:style>
  <w:style w:type="paragraph" w:styleId="ae">
    <w:name w:val="Document Map"/>
    <w:basedOn w:val="a"/>
    <w:link w:val="af"/>
    <w:semiHidden/>
    <w:qFormat/>
    <w:pPr>
      <w:shd w:val="clear" w:color="auto" w:fill="000080"/>
    </w:pPr>
    <w:rPr>
      <w:rFonts w:ascii="Tahoma" w:hAnsi="Tahoma"/>
    </w:rPr>
  </w:style>
  <w:style w:type="character" w:styleId="af0">
    <w:name w:val="Emphasis"/>
    <w:uiPriority w:val="20"/>
    <w:qFormat/>
    <w:rPr>
      <w:i/>
      <w:iCs/>
    </w:rPr>
  </w:style>
  <w:style w:type="character" w:styleId="af1">
    <w:name w:val="FollowedHyperlink"/>
    <w:qFormat/>
    <w:rPr>
      <w:color w:val="800080"/>
      <w:u w:val="single"/>
    </w:rPr>
  </w:style>
  <w:style w:type="paragraph" w:styleId="af2">
    <w:name w:val="footer"/>
    <w:basedOn w:val="af3"/>
    <w:link w:val="af4"/>
    <w:uiPriority w:val="99"/>
    <w:qFormat/>
    <w:pPr>
      <w:jc w:val="center"/>
    </w:pPr>
    <w:rPr>
      <w:i/>
    </w:rPr>
  </w:style>
  <w:style w:type="paragraph" w:styleId="af3">
    <w:name w:val="header"/>
    <w:link w:val="af5"/>
    <w:uiPriority w:val="99"/>
    <w:qFormat/>
    <w:pPr>
      <w:widowControl w:val="0"/>
      <w:spacing w:after="160" w:line="259" w:lineRule="auto"/>
    </w:pPr>
    <w:rPr>
      <w:rFonts w:ascii="Arial" w:eastAsia="Malgun Gothic" w:hAnsi="Arial"/>
      <w:b/>
      <w:sz w:val="18"/>
      <w:lang w:val="en-GB" w:eastAsia="en-US"/>
    </w:rPr>
  </w:style>
  <w:style w:type="character" w:styleId="af6">
    <w:name w:val="footnote reference"/>
    <w:semiHidden/>
    <w:qFormat/>
    <w:rPr>
      <w:b/>
      <w:position w:val="6"/>
      <w:sz w:val="16"/>
    </w:rPr>
  </w:style>
  <w:style w:type="paragraph" w:styleId="af7">
    <w:name w:val="footnote text"/>
    <w:basedOn w:val="a"/>
    <w:link w:val="af8"/>
    <w:semiHidden/>
    <w:qFormat/>
    <w:pPr>
      <w:keepLines/>
      <w:spacing w:after="0"/>
      <w:ind w:left="454" w:hanging="454"/>
    </w:pPr>
    <w:rPr>
      <w:sz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9">
    <w:name w:val="Hyperlink"/>
    <w:uiPriority w:val="99"/>
    <w:qFormat/>
    <w:rPr>
      <w:color w:val="0000FF"/>
      <w:u w:val="single"/>
    </w:rPr>
  </w:style>
  <w:style w:type="paragraph" w:styleId="13">
    <w:name w:val="index 1"/>
    <w:basedOn w:val="a"/>
    <w:next w:val="a"/>
    <w:qFormat/>
    <w:pPr>
      <w:keepLines/>
      <w:spacing w:after="0"/>
    </w:pPr>
  </w:style>
  <w:style w:type="paragraph" w:styleId="23">
    <w:name w:val="index 2"/>
    <w:basedOn w:val="13"/>
    <w:next w:val="a"/>
    <w:semiHidden/>
    <w:qFormat/>
    <w:pPr>
      <w:ind w:left="284"/>
    </w:pPr>
  </w:style>
  <w:style w:type="paragraph" w:styleId="afa">
    <w:name w:val="index heading"/>
    <w:basedOn w:val="a"/>
    <w:next w:val="a"/>
    <w:semiHidden/>
    <w:qFormat/>
    <w:pPr>
      <w:pBdr>
        <w:top w:val="single" w:sz="12" w:space="0" w:color="auto"/>
      </w:pBdr>
      <w:spacing w:before="360" w:after="240"/>
    </w:pPr>
    <w:rPr>
      <w:b/>
      <w:i/>
      <w:sz w:val="26"/>
    </w:rPr>
  </w:style>
  <w:style w:type="paragraph" w:styleId="afb">
    <w:name w:val="List"/>
    <w:basedOn w:val="a"/>
    <w:qFormat/>
    <w:pPr>
      <w:ind w:left="568" w:hanging="284"/>
    </w:pPr>
  </w:style>
  <w:style w:type="paragraph" w:styleId="24">
    <w:name w:val="List 2"/>
    <w:basedOn w:val="afb"/>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c">
    <w:name w:val="List Bullet"/>
    <w:basedOn w:val="afb"/>
    <w:qFormat/>
    <w:pPr>
      <w:ind w:left="0" w:firstLine="0"/>
    </w:pPr>
  </w:style>
  <w:style w:type="paragraph" w:styleId="25">
    <w:name w:val="List Bullet 2"/>
    <w:basedOn w:val="afc"/>
    <w:uiPriority w:val="9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d">
    <w:name w:val="List Number"/>
    <w:basedOn w:val="afb"/>
    <w:qFormat/>
    <w:pPr>
      <w:ind w:left="0" w:firstLine="0"/>
    </w:pPr>
  </w:style>
  <w:style w:type="paragraph" w:styleId="26">
    <w:name w:val="List Number 2"/>
    <w:basedOn w:val="afd"/>
    <w:qFormat/>
    <w:pPr>
      <w:ind w:left="851"/>
    </w:p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f">
    <w:name w:val="page number"/>
    <w:qFormat/>
  </w:style>
  <w:style w:type="paragraph" w:styleId="aff0">
    <w:name w:val="Plain Text"/>
    <w:basedOn w:val="a"/>
    <w:link w:val="aff1"/>
    <w:uiPriority w:val="99"/>
    <w:qFormat/>
    <w:rPr>
      <w:rFonts w:ascii="Courier New" w:hAnsi="Courier New"/>
      <w:lang w:val="nb-NO"/>
    </w:rPr>
  </w:style>
  <w:style w:type="character" w:styleId="aff2">
    <w:name w:val="Strong"/>
    <w:uiPriority w:val="22"/>
    <w:qFormat/>
    <w:rPr>
      <w:b/>
      <w:bCs/>
    </w:rPr>
  </w:style>
  <w:style w:type="paragraph" w:styleId="aff3">
    <w:name w:val="Subtitle"/>
    <w:basedOn w:val="a"/>
    <w:next w:val="a"/>
    <w:link w:val="aff4"/>
    <w:qFormat/>
    <w:pPr>
      <w:widowControl w:val="0"/>
      <w:spacing w:before="240" w:after="60" w:line="312" w:lineRule="auto"/>
      <w:jc w:val="center"/>
      <w:outlineLvl w:val="1"/>
    </w:pPr>
    <w:rPr>
      <w:rFonts w:ascii="Calibri Light" w:eastAsia="宋体" w:hAnsi="Calibri Light"/>
      <w:b/>
      <w:bCs/>
      <w:kern w:val="28"/>
      <w:sz w:val="32"/>
      <w:szCs w:val="32"/>
    </w:rPr>
  </w:style>
  <w:style w:type="table" w:styleId="af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6">
    <w:name w:val="table of figures"/>
    <w:basedOn w:val="a5"/>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宋体"/>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4"/>
    <w:link w:val="B2Char"/>
    <w:qFormat/>
  </w:style>
  <w:style w:type="character" w:customStyle="1" w:styleId="21">
    <w:name w:val="标题 2 字符1"/>
    <w:link w:val="2"/>
    <w:uiPriority w:val="9"/>
    <w:qFormat/>
    <w:rPr>
      <w:rFonts w:ascii="Arial" w:eastAsia="Malgun Gothic" w:hAnsi="Arial"/>
      <w:sz w:val="32"/>
      <w:lang w:val="en-GB" w:eastAsia="en-US"/>
    </w:rPr>
  </w:style>
  <w:style w:type="character" w:customStyle="1" w:styleId="22">
    <w:name w:val="正文文本 2 字符"/>
    <w:link w:val="20"/>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8">
    <w:name w:val="脚注文本 字符"/>
    <w:link w:val="af7"/>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f1">
    <w:name w:val="纯文本 字符"/>
    <w:link w:val="aff0"/>
    <w:uiPriority w:val="99"/>
    <w:qFormat/>
    <w:rPr>
      <w:rFonts w:ascii="Courier New" w:hAnsi="Courier New"/>
      <w:lang w:val="nb-NO" w:eastAsia="en-US"/>
    </w:rPr>
  </w:style>
  <w:style w:type="character" w:customStyle="1" w:styleId="ab">
    <w:name w:val="批注主题 字符"/>
    <w:link w:val="aa"/>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f4">
    <w:name w:val="副标题 字符"/>
    <w:link w:val="aff3"/>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b"/>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uiPriority w:val="99"/>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6">
    <w:name w:val="正文文本 字符"/>
    <w:link w:val="a5"/>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f">
    <w:name w:val="文档结构图 字符"/>
    <w:link w:val="ae"/>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d">
    <w:name w:val="日期 字符"/>
    <w:link w:val="ac"/>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5"/>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7"/>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4">
    <w:name w:val="批注框文本 字符"/>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5"/>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5"/>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1"/>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宋体" w:cs="宋体"/>
      <w:sz w:val="24"/>
      <w:szCs w:val="24"/>
      <w:lang w:val="en-US" w:eastAsia="zh-TW"/>
    </w:rPr>
  </w:style>
  <w:style w:type="paragraph" w:customStyle="1" w:styleId="28">
    <w:name w:val="変更箇所2"/>
    <w:hidden/>
    <w:uiPriority w:val="99"/>
    <w:semiHidden/>
    <w:qFormat/>
    <w:rPr>
      <w:rFonts w:eastAsia="Malgun Gothic"/>
      <w:lang w:val="en-GB" w:eastAsia="en-US"/>
    </w:rPr>
  </w:style>
  <w:style w:type="character" w:styleId="affd">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Pr>
      <w:rFonts w:eastAsia="宋体"/>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5"/>
    <w:next w:val="a5"/>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4853</Words>
  <Characters>27666</Characters>
  <Application>Microsoft Office Word</Application>
  <DocSecurity>0</DocSecurity>
  <Lines>230</Lines>
  <Paragraphs>64</Paragraphs>
  <ScaleCrop>false</ScaleCrop>
  <Company>www.microsoft.com</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Dongru LI (李东儒)</cp:lastModifiedBy>
  <cp:revision>3</cp:revision>
  <dcterms:created xsi:type="dcterms:W3CDTF">2021-08-18T04:47:00Z</dcterms:created>
  <dcterms:modified xsi:type="dcterms:W3CDTF">2021-08-18T07:11:00Z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