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6AFF9D37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</w:t>
      </w:r>
      <w:r w:rsidR="00360545">
        <w:rPr>
          <w:sz w:val="20"/>
          <w:szCs w:val="20"/>
        </w:rPr>
        <w:t>1/TSGR1_106-e/Inbox/drafts/8.1.4</w:t>
      </w:r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81D54AD" w:rsidR="00DE37B1" w:rsidRDefault="00F843D2" w:rsidP="00F843D2">
      <w:pPr>
        <w:pStyle w:val="Heading2"/>
        <w:numPr>
          <w:ilvl w:val="0"/>
          <w:numId w:val="7"/>
        </w:numPr>
      </w:pPr>
      <w:r>
        <w:t>Inputs on initial version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260BB321" w:rsidR="002E6C30" w:rsidRPr="003A48BB" w:rsidRDefault="003A48BB" w:rsidP="002E6C30">
            <w:pPr>
              <w:snapToGrid w:val="0"/>
              <w:rPr>
                <w:rFonts w:eastAsia="DengXian"/>
                <w:sz w:val="20"/>
                <w:szCs w:val="20"/>
                <w:lang w:eastAsia="zh-CN"/>
              </w:rPr>
            </w:pPr>
            <w:r w:rsidRPr="003A48BB">
              <w:rPr>
                <w:rFonts w:eastAsia="DengXian"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563" w14:textId="27FF793B" w:rsidR="001E63AD" w:rsidRDefault="003A48BB" w:rsidP="001E63AD">
            <w:pPr>
              <w:snapToGrid w:val="0"/>
              <w:rPr>
                <w:sz w:val="20"/>
                <w:szCs w:val="20"/>
              </w:rPr>
            </w:pPr>
            <w:r w:rsidRPr="003A48BB">
              <w:rPr>
                <w:sz w:val="20"/>
                <w:szCs w:val="20"/>
              </w:rPr>
              <w:t>We think that the RAN2 Parent IE for these two RRC parameters can be further discussed</w:t>
            </w:r>
            <w:r>
              <w:rPr>
                <w:sz w:val="20"/>
                <w:szCs w:val="20"/>
              </w:rPr>
              <w:t xml:space="preserve">. </w:t>
            </w:r>
          </w:p>
          <w:p w14:paraId="0EDA8EAC" w14:textId="77777777" w:rsidR="001E63AD" w:rsidRDefault="001E63AD" w:rsidP="001E63AD">
            <w:pPr>
              <w:snapToGrid w:val="0"/>
              <w:rPr>
                <w:sz w:val="20"/>
                <w:szCs w:val="20"/>
              </w:rPr>
            </w:pPr>
          </w:p>
          <w:p w14:paraId="4B6C2061" w14:textId="0B299654" w:rsidR="002E6C30" w:rsidRPr="001E63AD" w:rsidRDefault="003A48BB" w:rsidP="001E63AD">
            <w:pPr>
              <w:pStyle w:val="ListParagraph"/>
              <w:numPr>
                <w:ilvl w:val="0"/>
                <w:numId w:val="46"/>
              </w:numPr>
              <w:snapToGrid w:val="0"/>
              <w:rPr>
                <w:rFonts w:eastAsia="DengXian"/>
                <w:b/>
                <w:color w:val="3333FF"/>
                <w:sz w:val="20"/>
                <w:szCs w:val="20"/>
                <w:lang w:eastAsia="zh-CN"/>
              </w:rPr>
            </w:pPr>
            <w:r w:rsidRPr="001E63AD">
              <w:rPr>
                <w:sz w:val="20"/>
                <w:szCs w:val="20"/>
              </w:rPr>
              <w:t xml:space="preserve">If </w:t>
            </w:r>
            <w:r w:rsidR="001E63AD" w:rsidRPr="001E63AD">
              <w:rPr>
                <w:sz w:val="20"/>
                <w:szCs w:val="20"/>
              </w:rPr>
              <w:t xml:space="preserve">the </w:t>
            </w:r>
            <w:r w:rsidR="00E55A83">
              <w:rPr>
                <w:sz w:val="20"/>
                <w:szCs w:val="20"/>
              </w:rPr>
              <w:t>“</w:t>
            </w:r>
            <w:r w:rsidR="001E63AD" w:rsidRPr="001E63AD">
              <w:rPr>
                <w:sz w:val="20"/>
                <w:szCs w:val="20"/>
              </w:rPr>
              <w:t>N CMR pairs</w:t>
            </w:r>
            <w:r w:rsidR="00E55A83">
              <w:rPr>
                <w:sz w:val="20"/>
                <w:szCs w:val="20"/>
              </w:rPr>
              <w:t>”</w:t>
            </w:r>
            <w:r w:rsidR="001E63AD" w:rsidRPr="001E63AD">
              <w:rPr>
                <w:sz w:val="20"/>
                <w:szCs w:val="20"/>
              </w:rPr>
              <w:t xml:space="preserve"> are</w:t>
            </w:r>
            <w:r w:rsidRPr="001E63AD">
              <w:rPr>
                <w:sz w:val="20"/>
                <w:szCs w:val="20"/>
              </w:rPr>
              <w:t xml:space="preserve"> configured under CSI-ReportConfig, then the configuration for </w:t>
            </w:r>
            <w:r w:rsidR="00E55A83">
              <w:rPr>
                <w:sz w:val="20"/>
                <w:szCs w:val="20"/>
              </w:rPr>
              <w:t>“</w:t>
            </w:r>
            <w:r w:rsidRPr="001E63AD">
              <w:rPr>
                <w:sz w:val="20"/>
                <w:szCs w:val="20"/>
              </w:rPr>
              <w:t>Two CMR groups</w:t>
            </w:r>
            <w:r w:rsidR="00E55A83">
              <w:rPr>
                <w:sz w:val="20"/>
                <w:szCs w:val="20"/>
              </w:rPr>
              <w:t>”</w:t>
            </w:r>
            <w:r w:rsidRPr="001E63AD">
              <w:rPr>
                <w:sz w:val="20"/>
                <w:szCs w:val="20"/>
              </w:rPr>
              <w:t xml:space="preserve"> in a NZP-CSI-RS-ResourceSet can be referred by two CSI-ReportConfigs with dif</w:t>
            </w:r>
            <w:bookmarkStart w:id="0" w:name="_GoBack"/>
            <w:bookmarkEnd w:id="0"/>
            <w:r w:rsidRPr="001E63AD">
              <w:rPr>
                <w:sz w:val="20"/>
                <w:szCs w:val="20"/>
              </w:rPr>
              <w:t>ferent CMR pairs configurations.</w:t>
            </w:r>
          </w:p>
          <w:p w14:paraId="3903C0D6" w14:textId="0090D719" w:rsidR="001E63AD" w:rsidRPr="001E63AD" w:rsidRDefault="001E63AD" w:rsidP="001E63AD">
            <w:pPr>
              <w:pStyle w:val="ListParagraph"/>
              <w:numPr>
                <w:ilvl w:val="0"/>
                <w:numId w:val="46"/>
              </w:numPr>
              <w:snapToGrid w:val="0"/>
              <w:rPr>
                <w:rFonts w:eastAsia="DengXian"/>
                <w:b/>
                <w:color w:val="3333FF"/>
                <w:sz w:val="20"/>
                <w:szCs w:val="20"/>
                <w:lang w:eastAsia="zh-CN"/>
              </w:rPr>
            </w:pPr>
            <w:r w:rsidRPr="001E63AD">
              <w:rPr>
                <w:sz w:val="20"/>
                <w:szCs w:val="20"/>
              </w:rPr>
              <w:t xml:space="preserve">If </w:t>
            </w:r>
            <w:r w:rsidR="00E55A83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SharingCMR</w:t>
            </w:r>
            <w:r w:rsidR="00E55A83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is</w:t>
            </w:r>
            <w:r w:rsidRPr="001E63AD">
              <w:rPr>
                <w:sz w:val="20"/>
                <w:szCs w:val="20"/>
              </w:rPr>
              <w:t xml:space="preserve"> configured under CSI-ReportConfig, then the configuration for </w:t>
            </w:r>
            <w:r w:rsidR="00E55A83">
              <w:rPr>
                <w:sz w:val="20"/>
                <w:szCs w:val="20"/>
              </w:rPr>
              <w:t>“</w:t>
            </w:r>
            <w:r w:rsidRPr="001E63AD">
              <w:rPr>
                <w:sz w:val="20"/>
                <w:szCs w:val="20"/>
              </w:rPr>
              <w:t>Two CMR groups</w:t>
            </w:r>
            <w:r w:rsidR="00E55A83">
              <w:rPr>
                <w:sz w:val="20"/>
                <w:szCs w:val="20"/>
              </w:rPr>
              <w:t>”</w:t>
            </w:r>
            <w:r w:rsidRPr="001E63AD">
              <w:rPr>
                <w:sz w:val="20"/>
                <w:szCs w:val="20"/>
              </w:rPr>
              <w:t xml:space="preserve"> in a NZP-CSI-RS-ResourceSet can be referred by two CSI-ReportConfigs with different SharingCMR configurations</w:t>
            </w:r>
            <w:r>
              <w:rPr>
                <w:sz w:val="20"/>
                <w:szCs w:val="20"/>
              </w:rPr>
              <w:t>.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6FBB4297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E2969">
        <w:t>version 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B4748" w14:textId="77777777" w:rsidR="003C12BC" w:rsidRDefault="003C12BC">
      <w:r>
        <w:separator/>
      </w:r>
    </w:p>
  </w:endnote>
  <w:endnote w:type="continuationSeparator" w:id="0">
    <w:p w14:paraId="4FB5CFB2" w14:textId="77777777" w:rsidR="003C12BC" w:rsidRDefault="003C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746D1" w14:textId="77777777" w:rsidR="003C12BC" w:rsidRDefault="003C12BC">
      <w:r>
        <w:rPr>
          <w:color w:val="000000"/>
        </w:rPr>
        <w:separator/>
      </w:r>
    </w:p>
  </w:footnote>
  <w:footnote w:type="continuationSeparator" w:id="0">
    <w:p w14:paraId="33DCC909" w14:textId="77777777" w:rsidR="003C12BC" w:rsidRDefault="003C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074721B"/>
    <w:multiLevelType w:val="hybridMultilevel"/>
    <w:tmpl w:val="B9BC1716"/>
    <w:lvl w:ilvl="0" w:tplc="338E3D8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3"/>
  </w:num>
  <w:num w:numId="19">
    <w:abstractNumId w:val="37"/>
  </w:num>
  <w:num w:numId="20">
    <w:abstractNumId w:val="41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2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4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 w:numId="46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E63AD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0545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48BB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12BC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11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EF1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3E1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39C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A83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807D3-CC21-4535-95CC-2E65844B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아베베아메하 체가예/표준연구팀(SR)/Staff Engineer/삼성전자</cp:lastModifiedBy>
  <cp:revision>2</cp:revision>
  <dcterms:created xsi:type="dcterms:W3CDTF">2021-09-08T23:33:00Z</dcterms:created>
  <dcterms:modified xsi:type="dcterms:W3CDTF">2021-09-08T23:33:00Z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