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xml:space="preserve"> (including </w:t>
      </w:r>
      <w:r w:rsidR="00BB5817" w:rsidRPr="00DA2F30">
        <w:rPr>
          <w:rFonts w:eastAsia="Microsoft YaHei"/>
          <w:sz w:val="20"/>
          <w:szCs w:val="20"/>
        </w:rPr>
        <w:t>SRS and other UL channels/signals</w:t>
      </w:r>
      <w:r w:rsidR="00BB5817">
        <w:rPr>
          <w:rFonts w:eastAsia="Microsoft YaHei"/>
          <w:sz w:val="20"/>
          <w:szCs w:val="20"/>
        </w:rPr>
        <w:t xml:space="preserve">), Huawei/HiSilicon, </w:t>
      </w:r>
      <w:proofErr w:type="spellStart"/>
      <w:r w:rsidR="00BB5817">
        <w:rPr>
          <w:rFonts w:eastAsia="Microsoft YaHei"/>
          <w:sz w:val="20"/>
          <w:szCs w:val="20"/>
        </w:rPr>
        <w:t>Spreadtrum</w:t>
      </w:r>
      <w:proofErr w:type="spellEnd"/>
      <w:r w:rsidR="00BB5817">
        <w:rPr>
          <w:rFonts w:eastAsia="Microsoft YaHei"/>
          <w:sz w:val="20"/>
          <w:szCs w:val="20"/>
        </w:rPr>
        <w:t>,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w:t>
      </w:r>
      <w:proofErr w:type="spellStart"/>
      <w:r w:rsidR="007F75D6">
        <w:rPr>
          <w:rFonts w:eastAsia="Microsoft YaHei"/>
          <w:sz w:val="20"/>
          <w:szCs w:val="20"/>
        </w:rPr>
        <w:t>MotM</w:t>
      </w:r>
      <w:proofErr w:type="spellEnd"/>
      <w:r w:rsidR="007F75D6">
        <w:rPr>
          <w:rFonts w:eastAsia="Microsoft YaHei"/>
          <w:sz w:val="20"/>
          <w:szCs w:val="20"/>
        </w:rPr>
        <w:t>,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w:t>
      </w:r>
      <w:r w:rsidR="00986205">
        <w:rPr>
          <w:rFonts w:eastAsia="Microsoft YaHei"/>
          <w:sz w:val="20"/>
          <w:szCs w:val="20"/>
        </w:rPr>
        <w:lastRenderedPageBreak/>
        <w:t xml:space="preserve">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A6F1F8B"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9" w14:textId="52ACCE31" w:rsidR="004233EB" w:rsidRDefault="004233EB" w:rsidP="003F76D2">
            <w:pPr>
              <w:widowControl w:val="0"/>
              <w:snapToGrid w:val="0"/>
              <w:spacing w:before="120" w:after="120" w:line="240" w:lineRule="auto"/>
              <w:rPr>
                <w:rFonts w:eastAsia="Microsoft YaHei"/>
                <w:sz w:val="20"/>
                <w:szCs w:val="20"/>
              </w:rPr>
            </w:pPr>
          </w:p>
        </w:tc>
      </w:tr>
      <w:tr w:rsidR="004233EB" w14:paraId="00E3AE4D" w14:textId="77777777" w:rsidTr="00515754">
        <w:tc>
          <w:tcPr>
            <w:tcW w:w="2405" w:type="dxa"/>
          </w:tcPr>
          <w:p w14:paraId="00E3AE4B" w14:textId="10BF93C4"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2419E6FF" w:rsidR="00106415" w:rsidRDefault="00106415" w:rsidP="005E018B">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79F8E64B"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2094727D" w:rsidR="004233EB" w:rsidRDefault="004233EB" w:rsidP="00515754">
            <w:pPr>
              <w:widowControl w:val="0"/>
              <w:snapToGrid w:val="0"/>
              <w:spacing w:before="120" w:after="120" w:line="240" w:lineRule="auto"/>
              <w:rPr>
                <w:rFonts w:eastAsia="Microsoft YaHei"/>
                <w:sz w:val="20"/>
                <w:szCs w:val="20"/>
              </w:rPr>
            </w:pP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 xml:space="preserve">C-1: Re-purpose ‘TPC command for </w:t>
            </w:r>
            <w:r w:rsidRPr="008416C1">
              <w:rPr>
                <w:rFonts w:eastAsia="Microsoft YaHei"/>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lastRenderedPageBreak/>
              <w:t xml:space="preserve">Qualcomm (for each CC), </w:t>
            </w:r>
            <w:r w:rsidRPr="006C43A0">
              <w:rPr>
                <w:rFonts w:eastAsia="Microsoft YaHei"/>
                <w:iCs/>
                <w:sz w:val="20"/>
                <w:szCs w:val="20"/>
              </w:rPr>
              <w:lastRenderedPageBreak/>
              <w:t xml:space="preserve">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alternative proposal raised by </w:t>
      </w:r>
      <w:proofErr w:type="spellStart"/>
      <w:r>
        <w:rPr>
          <w:rFonts w:eastAsia="Microsoft YaHei"/>
          <w:sz w:val="20"/>
          <w:szCs w:val="20"/>
        </w:rPr>
        <w:t>Futurewei</w:t>
      </w:r>
      <w:proofErr w:type="spellEnd"/>
      <w:r>
        <w:rPr>
          <w:rFonts w:eastAsia="Microsoft YaHei"/>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2E47F0E2"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1D7861AD"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685E8F81"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18F0C913" w:rsidR="00EF5E1E" w:rsidRDefault="00EF5E1E" w:rsidP="00EF5E1E">
            <w:pPr>
              <w:widowControl w:val="0"/>
              <w:snapToGrid w:val="0"/>
              <w:spacing w:before="120" w:after="120" w:line="240" w:lineRule="auto"/>
              <w:rPr>
                <w:rFonts w:eastAsia="Microsoft YaHei"/>
                <w:sz w:val="20"/>
                <w:szCs w:val="20"/>
              </w:rPr>
            </w:pP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 xml:space="preserve">Support indicating </w:t>
      </w:r>
      <w:r w:rsidR="00A91755" w:rsidRPr="00A91755">
        <w:rPr>
          <w:rFonts w:eastAsia="Microsoft YaHei"/>
          <w:i/>
          <w:sz w:val="20"/>
          <w:szCs w:val="20"/>
        </w:rPr>
        <w:t>the preferred antenna switching configuration</w:t>
      </w:r>
      <w:r w:rsidR="00AE6022" w:rsidRPr="00D65341">
        <w:rPr>
          <w:rFonts w:eastAsia="Microsoft YaHei"/>
          <w:i/>
          <w:sz w:val="20"/>
          <w:szCs w:val="20"/>
        </w:rPr>
        <w:t xml:space="preserve"> for SRS antenna switching via </w:t>
      </w:r>
      <w:r w:rsidR="0088351F">
        <w:rPr>
          <w:rFonts w:eastAsia="Microsoft YaHei"/>
          <w:i/>
          <w:sz w:val="20"/>
          <w:szCs w:val="20"/>
        </w:rPr>
        <w:t>dynamic signaling</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4298DCA0"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Adopt at least one of the following for the dynamic signaling</w:t>
      </w:r>
    </w:p>
    <w:p w14:paraId="7D54C668" w14:textId="271CCB0A"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1: MAC CE</w:t>
      </w:r>
    </w:p>
    <w:p w14:paraId="16A5F8A1" w14:textId="2CCCA9DC"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Alt 2: DCI</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w:t>
      </w:r>
      <w:proofErr w:type="spellStart"/>
      <w:r>
        <w:rPr>
          <w:rFonts w:eastAsia="Microsoft YaHei"/>
          <w:sz w:val="20"/>
          <w:szCs w:val="20"/>
          <w:lang w:val="fr-FR"/>
        </w:rPr>
        <w:t>MotM</w:t>
      </w:r>
      <w:proofErr w:type="spellEnd"/>
      <w:r>
        <w:rPr>
          <w:rFonts w:eastAsia="Microsoft YaHei"/>
          <w:sz w:val="20"/>
          <w:szCs w:val="20"/>
          <w:lang w:val="fr-FR"/>
        </w:rPr>
        <w:t xml:space="preserve">, Intel (DCI), </w:t>
      </w:r>
      <w:proofErr w:type="spellStart"/>
      <w:r>
        <w:rPr>
          <w:rFonts w:eastAsia="Microsoft YaHei"/>
          <w:sz w:val="20"/>
          <w:szCs w:val="20"/>
          <w:lang w:val="fr-FR"/>
        </w:rPr>
        <w:t>Futurewei</w:t>
      </w:r>
      <w:proofErr w:type="spellEnd"/>
      <w:r>
        <w:rPr>
          <w:rFonts w:eastAsia="Microsoft YaHei"/>
          <w:sz w:val="20"/>
          <w:szCs w:val="20"/>
          <w:lang w:val="fr-FR"/>
        </w:rPr>
        <w:t xml:space="preserve">,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0ACD0085"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1EC1C5C6" w:rsidR="008A0314" w:rsidRDefault="008A0314"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20F50506"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5999BA5" w:rsidR="00066B0A" w:rsidRDefault="00066B0A" w:rsidP="006F57C1">
            <w:pPr>
              <w:widowControl w:val="0"/>
              <w:snapToGrid w:val="0"/>
              <w:spacing w:before="120" w:after="120" w:line="240" w:lineRule="auto"/>
              <w:rPr>
                <w:rFonts w:eastAsia="Microsoft YaHei"/>
                <w:sz w:val="20"/>
                <w:szCs w:val="20"/>
              </w:rPr>
            </w:pP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Default="00201A82">
      <w:pPr>
        <w:widowControl w:val="0"/>
        <w:snapToGrid w:val="0"/>
        <w:spacing w:before="120" w:after="120" w:line="240" w:lineRule="auto"/>
        <w:jc w:val="both"/>
        <w:rPr>
          <w:rFonts w:eastAsia="Microsoft YaHei"/>
          <w:sz w:val="20"/>
          <w:szCs w:val="20"/>
          <w:lang w:val="fi-FI"/>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7E409E">
        <w:rPr>
          <w:rFonts w:eastAsia="Microsoft YaHei"/>
          <w:sz w:val="20"/>
          <w:szCs w:val="20"/>
          <w:lang w:val="fi-FI"/>
        </w:rPr>
        <w:t>Ericsson, Xiaomi, Nokia/NSB, Huawei/HiSilicon</w:t>
      </w:r>
      <w:r>
        <w:rPr>
          <w:rFonts w:eastAsia="Microsoft YaHei"/>
          <w:sz w:val="20"/>
          <w:szCs w:val="20"/>
          <w:lang w:val="fi-FI"/>
        </w:rPr>
        <w:t>, CATT, Intel, ZTE</w:t>
      </w:r>
      <w:r w:rsidR="008F4F51">
        <w:rPr>
          <w:rFonts w:eastAsia="Microsoft YaHei"/>
          <w:sz w:val="20"/>
          <w:szCs w:val="20"/>
          <w:lang w:val="fi-FI"/>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Pr>
          <w:rFonts w:eastAsia="Microsoft YaHei"/>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77732A60" w:rsidR="00A175CA" w:rsidRDefault="00A175CA" w:rsidP="006E3B3D">
            <w:pPr>
              <w:widowControl w:val="0"/>
              <w:snapToGrid w:val="0"/>
              <w:spacing w:before="120" w:after="120" w:line="240" w:lineRule="auto"/>
              <w:rPr>
                <w:rFonts w:eastAsia="Microsoft YaHei"/>
                <w:sz w:val="20"/>
                <w:szCs w:val="20"/>
              </w:rPr>
            </w:pPr>
          </w:p>
        </w:tc>
        <w:tc>
          <w:tcPr>
            <w:tcW w:w="6945" w:type="dxa"/>
          </w:tcPr>
          <w:p w14:paraId="4C2F7D5C" w14:textId="5C4252E6" w:rsidR="00A175CA" w:rsidRDefault="00A175CA" w:rsidP="008318E4">
            <w:pPr>
              <w:widowControl w:val="0"/>
              <w:snapToGrid w:val="0"/>
              <w:spacing w:before="120" w:after="120" w:line="240" w:lineRule="auto"/>
              <w:rPr>
                <w:rFonts w:eastAsia="Microsoft YaHei"/>
                <w:sz w:val="20"/>
                <w:szCs w:val="20"/>
              </w:rPr>
            </w:pPr>
          </w:p>
        </w:tc>
      </w:tr>
      <w:tr w:rsidR="0077131B" w14:paraId="27F40E7A" w14:textId="77777777" w:rsidTr="006E3B3D">
        <w:tc>
          <w:tcPr>
            <w:tcW w:w="2405" w:type="dxa"/>
          </w:tcPr>
          <w:p w14:paraId="0B65B991" w14:textId="2ACC5A75" w:rsidR="0077131B" w:rsidRDefault="0077131B" w:rsidP="0077131B">
            <w:pPr>
              <w:widowControl w:val="0"/>
              <w:snapToGrid w:val="0"/>
              <w:spacing w:before="120" w:after="120" w:line="240" w:lineRule="auto"/>
              <w:rPr>
                <w:rFonts w:eastAsia="Microsoft YaHei"/>
                <w:sz w:val="20"/>
                <w:szCs w:val="20"/>
              </w:rPr>
            </w:pPr>
          </w:p>
        </w:tc>
        <w:tc>
          <w:tcPr>
            <w:tcW w:w="6945" w:type="dxa"/>
          </w:tcPr>
          <w:p w14:paraId="588CADCA" w14:textId="182DA980" w:rsidR="0077131B" w:rsidRDefault="0077131B" w:rsidP="0077131B">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20E586B7" w:rsidR="008319F3" w:rsidRDefault="008319F3" w:rsidP="008319F3">
            <w:pPr>
              <w:widowControl w:val="0"/>
              <w:snapToGrid w:val="0"/>
              <w:spacing w:before="120" w:after="120" w:line="240" w:lineRule="auto"/>
              <w:rPr>
                <w:rFonts w:eastAsia="Microsoft YaHei"/>
                <w:sz w:val="20"/>
                <w:szCs w:val="20"/>
              </w:rPr>
            </w:pPr>
          </w:p>
        </w:tc>
        <w:tc>
          <w:tcPr>
            <w:tcW w:w="8200" w:type="dxa"/>
          </w:tcPr>
          <w:p w14:paraId="60CCFFC7" w14:textId="7A476B1F" w:rsidR="008319F3" w:rsidRDefault="008319F3" w:rsidP="008319F3">
            <w:pPr>
              <w:widowControl w:val="0"/>
              <w:snapToGrid w:val="0"/>
              <w:spacing w:before="120" w:after="120" w:line="240" w:lineRule="auto"/>
              <w:rPr>
                <w:rFonts w:eastAsia="Microsoft YaHei"/>
                <w:sz w:val="20"/>
                <w:szCs w:val="20"/>
              </w:rPr>
            </w:pP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Microsoft YaHei"/>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2-0: Do not introduce guard symbols between SRS resource sets, i.e., guard symbols only </w:t>
      </w:r>
      <w:proofErr w:type="gramStart"/>
      <w:r>
        <w:rPr>
          <w:rFonts w:eastAsia="Microsoft YaHei"/>
          <w:i/>
          <w:sz w:val="20"/>
          <w:szCs w:val="20"/>
        </w:rPr>
        <w:t>appears</w:t>
      </w:r>
      <w:proofErr w:type="gramEnd"/>
      <w:r>
        <w:rPr>
          <w:rFonts w:eastAsia="Microsoft YaHei"/>
          <w:i/>
          <w:sz w:val="20"/>
          <w:szCs w:val="20"/>
        </w:rPr>
        <w:t xml:space="preserve">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rPr>
        <w:t xml:space="preserve">Alt 1-1: </w:t>
      </w:r>
      <w:r w:rsidRPr="005C220B">
        <w:rPr>
          <w:rFonts w:eastAsia="Microsoft YaHei"/>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Pr>
          <w:rFonts w:eastAsia="Microsoft YaHei"/>
          <w:sz w:val="20"/>
          <w:szCs w:val="20"/>
          <w:lang w:val="de-DE"/>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w:t>
            </w:r>
            <w:proofErr w:type="gramStart"/>
            <w:r>
              <w:rPr>
                <w:rFonts w:eastAsia="Microsoft YaHei"/>
                <w:sz w:val="20"/>
                <w:szCs w:val="20"/>
              </w:rPr>
              <w:t>take into account</w:t>
            </w:r>
            <w:proofErr w:type="gramEnd"/>
            <w:r>
              <w:rPr>
                <w:rFonts w:eastAsia="Microsoft YaHei"/>
                <w:sz w:val="20"/>
                <w:szCs w:val="20"/>
              </w:rPr>
              <w:t xml:space="preserve">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51FC5DC7" w:rsidR="004F731B" w:rsidRDefault="004F731B" w:rsidP="004F731B">
            <w:pPr>
              <w:widowControl w:val="0"/>
              <w:snapToGrid w:val="0"/>
              <w:spacing w:before="120" w:after="120" w:line="240" w:lineRule="auto"/>
              <w:rPr>
                <w:rFonts w:eastAsia="Microsoft YaHei"/>
                <w:sz w:val="20"/>
                <w:szCs w:val="20"/>
              </w:rPr>
            </w:pPr>
          </w:p>
        </w:tc>
        <w:tc>
          <w:tcPr>
            <w:tcW w:w="6945" w:type="dxa"/>
          </w:tcPr>
          <w:p w14:paraId="489F9656" w14:textId="73D8748E" w:rsidR="004F731B" w:rsidRDefault="004F731B" w:rsidP="004F731B">
            <w:pPr>
              <w:widowControl w:val="0"/>
              <w:snapToGrid w:val="0"/>
              <w:spacing w:before="120" w:after="120" w:line="240" w:lineRule="auto"/>
              <w:rPr>
                <w:rFonts w:eastAsia="Microsoft YaHei"/>
                <w:sz w:val="20"/>
                <w:szCs w:val="20"/>
              </w:rPr>
            </w:pPr>
          </w:p>
        </w:tc>
      </w:tr>
      <w:tr w:rsidR="001050F2" w14:paraId="5CAB888A" w14:textId="77777777" w:rsidTr="006E3B3D">
        <w:tc>
          <w:tcPr>
            <w:tcW w:w="2405" w:type="dxa"/>
          </w:tcPr>
          <w:p w14:paraId="0499BC4A" w14:textId="60DFF6EB" w:rsidR="001050F2" w:rsidRDefault="001050F2" w:rsidP="001050F2">
            <w:pPr>
              <w:widowControl w:val="0"/>
              <w:snapToGrid w:val="0"/>
              <w:spacing w:before="120" w:after="120" w:line="240" w:lineRule="auto"/>
              <w:rPr>
                <w:rFonts w:eastAsia="Microsoft YaHei"/>
                <w:sz w:val="20"/>
                <w:szCs w:val="20"/>
              </w:rPr>
            </w:pPr>
          </w:p>
        </w:tc>
        <w:tc>
          <w:tcPr>
            <w:tcW w:w="6945" w:type="dxa"/>
          </w:tcPr>
          <w:p w14:paraId="18D91FF4" w14:textId="59A66E3D" w:rsidR="001050F2" w:rsidRDefault="001050F2" w:rsidP="001050F2">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2D410F79"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w:t>
      </w:r>
      <w:proofErr w:type="spellStart"/>
      <w:r w:rsidR="00324FC1" w:rsidRPr="002154F4">
        <w:rPr>
          <w:rFonts w:eastAsia="Microsoft YaHei"/>
          <w:sz w:val="20"/>
          <w:szCs w:val="20"/>
          <w:lang w:val="fr-FR"/>
        </w:rPr>
        <w:t>MotM</w:t>
      </w:r>
      <w:proofErr w:type="spellEnd"/>
      <w:r w:rsidR="00324FC1">
        <w:rPr>
          <w:rFonts w:eastAsia="Microsoft YaHei"/>
          <w:sz w:val="20"/>
          <w:szCs w:val="20"/>
          <w:lang w:val="fr-FR"/>
        </w:rPr>
        <w:t xml:space="preserve">, </w:t>
      </w:r>
      <w:proofErr w:type="spellStart"/>
      <w:r w:rsidR="00324FC1">
        <w:rPr>
          <w:rFonts w:eastAsia="Microsoft YaHei"/>
          <w:sz w:val="20"/>
          <w:szCs w:val="20"/>
          <w:lang w:val="fr-FR"/>
        </w:rPr>
        <w:t>MediaTek</w:t>
      </w:r>
      <w:proofErr w:type="spellEnd"/>
      <w:r w:rsidR="00324FC1">
        <w:rPr>
          <w:rFonts w:eastAsia="Microsoft YaHei"/>
          <w:sz w:val="20"/>
          <w:szCs w:val="20"/>
          <w:lang w:val="fr-FR"/>
        </w:rPr>
        <w:t>, NTT DOCOMO</w:t>
      </w:r>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557E4E51" w:rsidR="0070469F" w:rsidRDefault="0070469F" w:rsidP="0070469F">
            <w:pPr>
              <w:widowControl w:val="0"/>
              <w:snapToGrid w:val="0"/>
              <w:spacing w:before="120" w:after="120" w:line="240" w:lineRule="auto"/>
              <w:rPr>
                <w:rFonts w:eastAsia="Microsoft YaHei"/>
                <w:sz w:val="20"/>
                <w:szCs w:val="20"/>
              </w:rPr>
            </w:pPr>
          </w:p>
        </w:tc>
        <w:tc>
          <w:tcPr>
            <w:tcW w:w="6945" w:type="dxa"/>
          </w:tcPr>
          <w:p w14:paraId="00E3AFCB" w14:textId="4A771570" w:rsidR="0070469F" w:rsidRDefault="0070469F" w:rsidP="0070469F">
            <w:pPr>
              <w:widowControl w:val="0"/>
              <w:snapToGrid w:val="0"/>
              <w:spacing w:before="120" w:after="120" w:line="240" w:lineRule="auto"/>
              <w:rPr>
                <w:rFonts w:eastAsia="Microsoft YaHei"/>
                <w:sz w:val="20"/>
                <w:szCs w:val="20"/>
              </w:rPr>
            </w:pPr>
          </w:p>
        </w:tc>
      </w:tr>
      <w:tr w:rsidR="001050F2" w14:paraId="00E3AFCF" w14:textId="77777777" w:rsidTr="00515754">
        <w:tc>
          <w:tcPr>
            <w:tcW w:w="2405" w:type="dxa"/>
          </w:tcPr>
          <w:p w14:paraId="00E3AFCD" w14:textId="3A26CD20" w:rsidR="001050F2" w:rsidRDefault="001050F2" w:rsidP="001050F2">
            <w:pPr>
              <w:widowControl w:val="0"/>
              <w:snapToGrid w:val="0"/>
              <w:spacing w:before="120" w:after="120" w:line="240" w:lineRule="auto"/>
              <w:rPr>
                <w:rFonts w:eastAsia="Microsoft YaHei"/>
                <w:sz w:val="20"/>
                <w:szCs w:val="20"/>
              </w:rPr>
            </w:pPr>
          </w:p>
        </w:tc>
        <w:tc>
          <w:tcPr>
            <w:tcW w:w="6945" w:type="dxa"/>
          </w:tcPr>
          <w:p w14:paraId="00E3AFCE" w14:textId="698F5117" w:rsidR="001050F2" w:rsidRDefault="001050F2" w:rsidP="001050F2">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(12, 3): LGE, Huawei/HiSilicon,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w:t>
      </w:r>
      <w:proofErr w:type="gramStart"/>
      <w:r>
        <w:rPr>
          <w:rFonts w:eastAsiaTheme="minorEastAsia"/>
          <w:sz w:val="20"/>
          <w:szCs w:val="20"/>
        </w:rPr>
        <w:t>to stick</w:t>
      </w:r>
      <w:proofErr w:type="gramEnd"/>
      <w:r>
        <w:rPr>
          <w:rFonts w:eastAsiaTheme="minorEastAsia"/>
          <w:sz w:val="20"/>
          <w:szCs w:val="20"/>
        </w:rPr>
        <w:t xml:space="preserve">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2"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2"/>
      <w:tr w:rsidR="00114F3D" w14:paraId="00E3B024" w14:textId="77777777" w:rsidTr="00515754">
        <w:tc>
          <w:tcPr>
            <w:tcW w:w="2405" w:type="dxa"/>
          </w:tcPr>
          <w:p w14:paraId="00E3B022" w14:textId="620377AF"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2C415916"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129CDFB5"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3A13547C" w:rsidR="00114F3D" w:rsidRDefault="00114F3D" w:rsidP="00515754">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5FACE8B3"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78368C2F" w:rsidR="00981C47" w:rsidRDefault="00981C47" w:rsidP="000E2F28">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3B8E2A49"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0767FE29" w:rsidR="00981C47" w:rsidRDefault="00981C47" w:rsidP="00981C47">
            <w:pPr>
              <w:widowControl w:val="0"/>
              <w:snapToGrid w:val="0"/>
              <w:spacing w:before="120" w:after="120" w:line="240" w:lineRule="auto"/>
              <w:rPr>
                <w:rFonts w:eastAsia="Microsoft YaHei"/>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w:t>
      </w:r>
      <w:proofErr w:type="spellStart"/>
      <w:r>
        <w:rPr>
          <w:rFonts w:eastAsia="Microsoft YaHei"/>
          <w:sz w:val="20"/>
          <w:szCs w:val="20"/>
        </w:rPr>
        <w:t>Futurewei</w:t>
      </w:r>
      <w:proofErr w:type="spellEnd"/>
      <w:r>
        <w:rPr>
          <w:rFonts w:eastAsia="Microsoft YaHei"/>
          <w:sz w:val="20"/>
          <w:szCs w:val="20"/>
        </w:rPr>
        <w:t xml:space="preserve">,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33505EEF" w:rsidR="006C4E41" w:rsidRDefault="006C4E41" w:rsidP="006C4E41">
            <w:pPr>
              <w:widowControl w:val="0"/>
              <w:snapToGrid w:val="0"/>
              <w:spacing w:before="120" w:after="120" w:line="240" w:lineRule="auto"/>
              <w:rPr>
                <w:rFonts w:eastAsia="Microsoft YaHei"/>
                <w:sz w:val="20"/>
                <w:szCs w:val="20"/>
              </w:rPr>
            </w:pPr>
          </w:p>
        </w:tc>
        <w:tc>
          <w:tcPr>
            <w:tcW w:w="6945" w:type="dxa"/>
          </w:tcPr>
          <w:p w14:paraId="0D7A5D25" w14:textId="6A93632B" w:rsidR="006C4E41" w:rsidRDefault="006C4E41" w:rsidP="006C4E41">
            <w:pPr>
              <w:widowControl w:val="0"/>
              <w:snapToGrid w:val="0"/>
              <w:spacing w:before="120" w:after="120" w:line="240" w:lineRule="auto"/>
              <w:rPr>
                <w:rFonts w:eastAsia="Microsoft YaHei"/>
                <w:sz w:val="20"/>
                <w:szCs w:val="20"/>
              </w:rPr>
            </w:pPr>
          </w:p>
        </w:tc>
      </w:tr>
      <w:tr w:rsidR="004F31A7" w14:paraId="236C1864" w14:textId="77777777" w:rsidTr="006E3B3D">
        <w:tc>
          <w:tcPr>
            <w:tcW w:w="2405" w:type="dxa"/>
          </w:tcPr>
          <w:p w14:paraId="72D22A49" w14:textId="757907F9"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2D56C966" w:rsidR="004F31A7" w:rsidRDefault="004F31A7" w:rsidP="004F31A7">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 xml:space="preserve">pple, Nokia/NSB, Huawei/HiSilicon, ZTE, vivo, Samsung, </w:t>
      </w:r>
      <w:proofErr w:type="spellStart"/>
      <w:r w:rsidRPr="00BC78FB">
        <w:rPr>
          <w:rFonts w:eastAsia="Microsoft YaHei"/>
          <w:sz w:val="20"/>
          <w:szCs w:val="20"/>
        </w:rPr>
        <w:t>Futurewei</w:t>
      </w:r>
      <w:proofErr w:type="spellEnd"/>
      <w:r w:rsidRPr="00BC78FB">
        <w:rPr>
          <w:rFonts w:eastAsia="Microsoft YaHei"/>
          <w:sz w:val="20"/>
          <w:szCs w:val="20"/>
        </w:rPr>
        <w:t xml:space="preserve">,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24BE511A"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4BEB80F0"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693C043"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343A2B16" w:rsidR="004F31A7" w:rsidRDefault="004F31A7" w:rsidP="004F31A7">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w:t>
            </w:r>
            <w:r w:rsidRPr="00D94CC9">
              <w:rPr>
                <w:rFonts w:eastAsia="Microsoft YaHei"/>
                <w:sz w:val="20"/>
                <w:szCs w:val="20"/>
              </w:rPr>
              <w:lastRenderedPageBreak/>
              <w:t xml:space="preserve">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98255" w14:textId="77777777" w:rsidR="004526B3" w:rsidRDefault="004526B3" w:rsidP="0066336C">
      <w:pPr>
        <w:spacing w:after="0" w:line="240" w:lineRule="auto"/>
      </w:pPr>
      <w:r>
        <w:separator/>
      </w:r>
    </w:p>
  </w:endnote>
  <w:endnote w:type="continuationSeparator" w:id="0">
    <w:p w14:paraId="65F3666F" w14:textId="77777777" w:rsidR="004526B3" w:rsidRDefault="004526B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556A2" w14:textId="77777777" w:rsidR="004526B3" w:rsidRDefault="004526B3" w:rsidP="0066336C">
      <w:pPr>
        <w:spacing w:after="0" w:line="240" w:lineRule="auto"/>
      </w:pPr>
      <w:r>
        <w:separator/>
      </w:r>
    </w:p>
  </w:footnote>
  <w:footnote w:type="continuationSeparator" w:id="0">
    <w:p w14:paraId="6A7D3A9C" w14:textId="77777777" w:rsidR="004526B3" w:rsidRDefault="004526B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1A00"/>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5A6C"/>
    <w:rsid w:val="00A0607A"/>
    <w:rsid w:val="00A0624E"/>
    <w:rsid w:val="00A062B0"/>
    <w:rsid w:val="00A064A5"/>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3C95"/>
    <w:rsid w:val="00FD3EB4"/>
    <w:rsid w:val="00FD4455"/>
    <w:rsid w:val="00FD481A"/>
    <w:rsid w:val="00FD4A32"/>
    <w:rsid w:val="00FD4DF6"/>
    <w:rsid w:val="00FD55BA"/>
    <w:rsid w:val="00FD5890"/>
    <w:rsid w:val="00FD58CC"/>
    <w:rsid w:val="00FD6738"/>
    <w:rsid w:val="00FD7D77"/>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DE443BEB-5C03-4969-8EFE-7D1BE22FF6C4}">
  <ds:schemaRefs>
    <ds:schemaRef ds:uri="http://schemas.openxmlformats.org/officeDocument/2006/bibliography"/>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4726</Words>
  <Characters>26943</Characters>
  <Application>Microsoft Office Word</Application>
  <DocSecurity>0</DocSecurity>
  <Lines>224</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24</cp:revision>
  <dcterms:created xsi:type="dcterms:W3CDTF">2021-08-20T06:58:00Z</dcterms:created>
  <dcterms:modified xsi:type="dcterms:W3CDTF">2021-08-20T07:14:00Z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