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920E88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BB5A07" w:rsidRPr="00234E86">
          <w:rPr>
            <w:rStyle w:val="Hyperlink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84846FC" w:rsidR="002E6C30" w:rsidRDefault="00FF65F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EAE187" w:rsidR="002E6C30" w:rsidRPr="00534802" w:rsidRDefault="00FF65FA" w:rsidP="009951F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FF65FA">
              <w:rPr>
                <w:sz w:val="20"/>
                <w:szCs w:val="20"/>
              </w:rPr>
              <w:t>Regarding</w:t>
            </w:r>
            <w:r>
              <w:rPr>
                <w:sz w:val="20"/>
                <w:szCs w:val="20"/>
              </w:rPr>
              <w:t xml:space="preserve"> the FG on</w:t>
            </w:r>
            <w:r w:rsidRPr="00FF65FA">
              <w:rPr>
                <w:sz w:val="20"/>
                <w:szCs w:val="20"/>
              </w:rPr>
              <w:t xml:space="preserve"> simultaneousTCI-UpdateList1, simultaneousTCI-UpdateList2</w:t>
            </w:r>
            <w:r>
              <w:rPr>
                <w:sz w:val="20"/>
                <w:szCs w:val="20"/>
              </w:rPr>
              <w:t>, we suggest removing it for now as we may use the existing Rel-1</w:t>
            </w:r>
            <w:r w:rsidR="00995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parameters to update TCIs of CORESETs in </w:t>
            </w:r>
            <w:r w:rsidR="009951F7">
              <w:rPr>
                <w:sz w:val="20"/>
                <w:szCs w:val="20"/>
              </w:rPr>
              <w:t>the CC group</w:t>
            </w:r>
            <w:r>
              <w:rPr>
                <w:sz w:val="20"/>
                <w:szCs w:val="20"/>
              </w:rPr>
              <w:t>. From our</w:t>
            </w:r>
            <w:r w:rsidR="009951F7">
              <w:rPr>
                <w:sz w:val="20"/>
                <w:szCs w:val="20"/>
              </w:rPr>
              <w:t xml:space="preserve"> perspective, it is sufficient to reuse the existing </w:t>
            </w:r>
            <w:proofErr w:type="spellStart"/>
            <w:r w:rsidR="009951F7">
              <w:rPr>
                <w:sz w:val="20"/>
                <w:szCs w:val="20"/>
              </w:rPr>
              <w:t>prameters</w:t>
            </w:r>
            <w:proofErr w:type="spellEnd"/>
            <w:r w:rsidR="009951F7">
              <w:rPr>
                <w:sz w:val="20"/>
                <w:szCs w:val="20"/>
              </w:rPr>
              <w:t xml:space="preserve">.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7436EA44" w:rsidR="00115FC7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 w:rsidRPr="00CA322D">
              <w:rPr>
                <w:sz w:val="20"/>
                <w:szCs w:val="20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7935" w14:textId="77777777" w:rsidR="00115FC7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ZTE</w:t>
            </w:r>
          </w:p>
          <w:p w14:paraId="3981367E" w14:textId="5364F906" w:rsidR="00CA322D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 to clarify the intention of this row. </w:t>
            </w:r>
            <w:r w:rsidR="000E730A">
              <w:rPr>
                <w:sz w:val="20"/>
                <w:szCs w:val="20"/>
              </w:rPr>
              <w:t xml:space="preserve">You are right that we don’t have agreement on </w:t>
            </w:r>
            <w:r w:rsidR="00982548">
              <w:rPr>
                <w:sz w:val="20"/>
                <w:szCs w:val="20"/>
              </w:rPr>
              <w:t>new RRC parameters</w:t>
            </w:r>
            <w:r w:rsidR="000E730A">
              <w:rPr>
                <w:sz w:val="20"/>
                <w:szCs w:val="20"/>
              </w:rPr>
              <w:t xml:space="preserve">, but even </w:t>
            </w:r>
            <w:r w:rsidR="00982548">
              <w:rPr>
                <w:sz w:val="20"/>
                <w:szCs w:val="20"/>
              </w:rPr>
              <w:t xml:space="preserve">the parameters are </w:t>
            </w:r>
            <w:r w:rsidR="001D26BB">
              <w:rPr>
                <w:sz w:val="20"/>
                <w:szCs w:val="20"/>
              </w:rPr>
              <w:t xml:space="preserve">agreed to be </w:t>
            </w:r>
            <w:r w:rsidR="000E730A">
              <w:rPr>
                <w:sz w:val="20"/>
                <w:szCs w:val="20"/>
              </w:rPr>
              <w:t>reu</w:t>
            </w:r>
            <w:r w:rsidR="00982548">
              <w:rPr>
                <w:sz w:val="20"/>
                <w:szCs w:val="20"/>
              </w:rPr>
              <w:t>s</w:t>
            </w:r>
            <w:r w:rsidR="000E730A">
              <w:rPr>
                <w:sz w:val="20"/>
                <w:szCs w:val="20"/>
              </w:rPr>
              <w:t>e</w:t>
            </w:r>
            <w:r w:rsidR="00982548">
              <w:rPr>
                <w:sz w:val="20"/>
                <w:szCs w:val="20"/>
              </w:rPr>
              <w:t>d from</w:t>
            </w:r>
            <w:r w:rsidR="000E730A">
              <w:rPr>
                <w:sz w:val="20"/>
                <w:szCs w:val="20"/>
              </w:rPr>
              <w:t xml:space="preserve"> Rel-16, RAN1 still needs to inform RAN2 about their </w:t>
            </w:r>
            <w:r w:rsidR="00DD5AE4">
              <w:rPr>
                <w:sz w:val="20"/>
                <w:szCs w:val="20"/>
              </w:rPr>
              <w:t xml:space="preserve">new </w:t>
            </w:r>
            <w:r w:rsidR="000E730A">
              <w:rPr>
                <w:sz w:val="20"/>
                <w:szCs w:val="20"/>
              </w:rPr>
              <w:t>usag</w:t>
            </w:r>
            <w:r w:rsidR="00982548">
              <w:rPr>
                <w:sz w:val="20"/>
                <w:szCs w:val="20"/>
              </w:rPr>
              <w:t>e</w:t>
            </w:r>
            <w:r w:rsidR="006A1E63">
              <w:rPr>
                <w:sz w:val="20"/>
                <w:szCs w:val="20"/>
              </w:rPr>
              <w:t xml:space="preserve"> for</w:t>
            </w:r>
            <w:r w:rsidR="00DD5AE4">
              <w:rPr>
                <w:sz w:val="20"/>
                <w:szCs w:val="20"/>
              </w:rPr>
              <w:t xml:space="preserve"> </w:t>
            </w:r>
            <w:r w:rsidR="00982548">
              <w:rPr>
                <w:sz w:val="20"/>
                <w:szCs w:val="20"/>
              </w:rPr>
              <w:t>RAN2</w:t>
            </w:r>
            <w:r w:rsidR="000B5937">
              <w:rPr>
                <w:sz w:val="20"/>
                <w:szCs w:val="20"/>
              </w:rPr>
              <w:t xml:space="preserve"> specification </w:t>
            </w:r>
            <w:r w:rsidR="006A1E63">
              <w:rPr>
                <w:sz w:val="20"/>
                <w:szCs w:val="20"/>
              </w:rPr>
              <w:t>update</w:t>
            </w:r>
            <w:r w:rsidR="000E730A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>“New or existing” column</w:t>
            </w:r>
            <w:r w:rsidR="00A91D37">
              <w:rPr>
                <w:sz w:val="20"/>
                <w:szCs w:val="20"/>
              </w:rPr>
              <w:t xml:space="preserve"> with “FFS”</w:t>
            </w:r>
            <w:r w:rsidR="00C91A92">
              <w:rPr>
                <w:sz w:val="20"/>
                <w:szCs w:val="20"/>
              </w:rPr>
              <w:t xml:space="preserve"> </w:t>
            </w:r>
            <w:r w:rsidR="003C6553">
              <w:rPr>
                <w:sz w:val="20"/>
                <w:szCs w:val="20"/>
              </w:rPr>
              <w:t>should</w:t>
            </w:r>
            <w:r w:rsidR="00C91A92">
              <w:rPr>
                <w:sz w:val="20"/>
                <w:szCs w:val="20"/>
              </w:rPr>
              <w:t xml:space="preserve"> address your concern</w:t>
            </w:r>
            <w:r w:rsidR="003C6553">
              <w:rPr>
                <w:sz w:val="20"/>
                <w:szCs w:val="20"/>
              </w:rPr>
              <w:t>, but it is OK</w:t>
            </w:r>
            <w:r w:rsidR="006A1E63">
              <w:rPr>
                <w:sz w:val="20"/>
                <w:szCs w:val="20"/>
              </w:rPr>
              <w:t xml:space="preserve"> to remove the ro</w:t>
            </w:r>
            <w:r w:rsidR="001D26BB">
              <w:rPr>
                <w:sz w:val="20"/>
                <w:szCs w:val="20"/>
              </w:rPr>
              <w:t>w</w:t>
            </w:r>
            <w:r w:rsidR="00A91D37">
              <w:rPr>
                <w:sz w:val="20"/>
                <w:szCs w:val="20"/>
              </w:rPr>
              <w:t xml:space="preserve"> as well</w:t>
            </w:r>
            <w:r w:rsidR="006A1E63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 xml:space="preserve">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7CC3A106" w:rsidR="00534802" w:rsidRPr="00CA322D" w:rsidRDefault="00E84C68" w:rsidP="002E6C3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v</w:t>
            </w:r>
            <w:r>
              <w:rPr>
                <w:rFonts w:hint="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7D8DDDB7" w:rsidR="009443D3" w:rsidRPr="009443D3" w:rsidRDefault="00E84C68" w:rsidP="009443D3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 xml:space="preserve">egarding the RRC parameters for SFN PDCCH and SFN PDSCH, we don’t have agreement on whether using the common parameter for both of them, or using separate parameters </w:t>
            </w:r>
            <w:r w:rsidR="00D022F4">
              <w:rPr>
                <w:sz w:val="20"/>
                <w:szCs w:val="20"/>
                <w:lang w:eastAsia="zh-CN"/>
              </w:rPr>
              <w:t>in the previous meeting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 w:rsidR="00D022F4">
              <w:rPr>
                <w:sz w:val="20"/>
                <w:szCs w:val="20"/>
                <w:lang w:eastAsia="zh-CN"/>
              </w:rPr>
              <w:t xml:space="preserve"> However, i</w:t>
            </w:r>
            <w:r>
              <w:rPr>
                <w:sz w:val="20"/>
                <w:szCs w:val="20"/>
                <w:lang w:eastAsia="zh-CN"/>
              </w:rPr>
              <w:t>n the RRC list</w:t>
            </w:r>
            <w:r w:rsidR="00EB4F8D">
              <w:rPr>
                <w:sz w:val="20"/>
                <w:szCs w:val="20"/>
                <w:lang w:eastAsia="zh-CN"/>
              </w:rPr>
              <w:t xml:space="preserve"> now</w:t>
            </w:r>
            <w:r>
              <w:rPr>
                <w:sz w:val="20"/>
                <w:szCs w:val="20"/>
                <w:lang w:eastAsia="zh-CN"/>
              </w:rPr>
              <w:t>, there are two rows showing the SFN PDCCH and SFN PDSCH’s RRC parameters</w:t>
            </w:r>
            <w:r w:rsidR="00E1494F">
              <w:rPr>
                <w:sz w:val="20"/>
                <w:szCs w:val="20"/>
                <w:lang w:eastAsia="zh-CN"/>
              </w:rPr>
              <w:t xml:space="preserve"> (i.e., </w:t>
            </w:r>
            <w:proofErr w:type="spellStart"/>
            <w:r w:rsidR="00E1494F" w:rsidRPr="00E1494F">
              <w:rPr>
                <w:sz w:val="20"/>
                <w:szCs w:val="20"/>
                <w:lang w:eastAsia="zh-CN"/>
              </w:rPr>
              <w:t>sfnSchemePdcch</w:t>
            </w:r>
            <w:proofErr w:type="spellEnd"/>
            <w:r w:rsidR="00E1494F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E1494F" w:rsidRPr="00E1494F">
              <w:rPr>
                <w:sz w:val="20"/>
                <w:szCs w:val="20"/>
                <w:lang w:eastAsia="zh-CN"/>
              </w:rPr>
              <w:t>sfnSchemePdsch</w:t>
            </w:r>
            <w:proofErr w:type="spellEnd"/>
            <w:r w:rsidR="00E1494F">
              <w:rPr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zh-CN"/>
              </w:rPr>
              <w:t>seperately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. </w:t>
            </w:r>
            <w:r w:rsidR="00E1494F">
              <w:rPr>
                <w:sz w:val="20"/>
                <w:szCs w:val="20"/>
                <w:lang w:eastAsia="zh-CN"/>
              </w:rPr>
              <w:t>In our view, it depends on which combinations of PDCCH and PDSCH</w:t>
            </w:r>
            <w:r w:rsidR="00EA4FF2">
              <w:rPr>
                <w:sz w:val="20"/>
                <w:szCs w:val="20"/>
                <w:lang w:eastAsia="zh-CN"/>
              </w:rPr>
              <w:t xml:space="preserve"> </w:t>
            </w:r>
            <w:r w:rsidR="00E1494F">
              <w:rPr>
                <w:sz w:val="20"/>
                <w:szCs w:val="20"/>
                <w:lang w:eastAsia="zh-CN"/>
              </w:rPr>
              <w:t xml:space="preserve">would be supported. </w:t>
            </w:r>
            <w:r w:rsidR="00EB4F8D">
              <w:rPr>
                <w:sz w:val="20"/>
                <w:szCs w:val="20"/>
                <w:lang w:eastAsia="zh-CN"/>
              </w:rPr>
              <w:t xml:space="preserve">We should </w:t>
            </w:r>
            <w:r w:rsidR="00935848">
              <w:rPr>
                <w:sz w:val="20"/>
                <w:szCs w:val="20"/>
                <w:lang w:eastAsia="zh-CN"/>
              </w:rPr>
              <w:t xml:space="preserve">further discuss it </w:t>
            </w:r>
            <w:r w:rsidR="003078DF">
              <w:rPr>
                <w:sz w:val="20"/>
                <w:szCs w:val="20"/>
                <w:lang w:eastAsia="zh-CN"/>
              </w:rPr>
              <w:t>before</w:t>
            </w:r>
            <w:r w:rsidR="00935848">
              <w:rPr>
                <w:sz w:val="20"/>
                <w:szCs w:val="20"/>
                <w:lang w:eastAsia="zh-CN"/>
              </w:rPr>
              <w:t xml:space="preserve"> determin</w:t>
            </w:r>
            <w:r w:rsidR="003078DF">
              <w:rPr>
                <w:sz w:val="20"/>
                <w:szCs w:val="20"/>
                <w:lang w:eastAsia="zh-CN"/>
              </w:rPr>
              <w:t>ing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the final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RRC</w:t>
            </w:r>
            <w:r w:rsidR="00935848" w:rsidRPr="00935848">
              <w:rPr>
                <w:sz w:val="20"/>
                <w:szCs w:val="20"/>
                <w:lang w:eastAsia="zh-CN"/>
              </w:rPr>
              <w:t xml:space="preserve"> parameter</w:t>
            </w:r>
            <w:r w:rsidR="00CE2C4D">
              <w:rPr>
                <w:sz w:val="20"/>
                <w:szCs w:val="20"/>
                <w:lang w:eastAsia="zh-CN"/>
              </w:rPr>
              <w:t>(</w:t>
            </w:r>
            <w:r w:rsidR="004C021A">
              <w:rPr>
                <w:sz w:val="20"/>
                <w:szCs w:val="20"/>
                <w:lang w:eastAsia="zh-CN"/>
              </w:rPr>
              <w:t>s</w:t>
            </w:r>
            <w:r w:rsidR="00CE2C4D">
              <w:rPr>
                <w:sz w:val="20"/>
                <w:szCs w:val="20"/>
                <w:lang w:eastAsia="zh-CN"/>
              </w:rPr>
              <w:t>)</w:t>
            </w:r>
            <w:r w:rsidR="00935848">
              <w:rPr>
                <w:sz w:val="20"/>
                <w:szCs w:val="20"/>
                <w:lang w:eastAsia="zh-CN"/>
              </w:rPr>
              <w:t xml:space="preserve">. </w:t>
            </w:r>
            <w:r w:rsidR="00866EDF">
              <w:rPr>
                <w:sz w:val="20"/>
                <w:szCs w:val="20"/>
                <w:lang w:eastAsia="zh-CN"/>
              </w:rPr>
              <w:t xml:space="preserve">Therefore, </w:t>
            </w:r>
            <w:r w:rsidR="00613B63">
              <w:rPr>
                <w:sz w:val="20"/>
                <w:szCs w:val="20"/>
                <w:lang w:eastAsia="zh-CN"/>
              </w:rPr>
              <w:t xml:space="preserve">it </w:t>
            </w:r>
            <w:r w:rsidR="00A86881">
              <w:rPr>
                <w:sz w:val="20"/>
                <w:szCs w:val="20"/>
                <w:lang w:eastAsia="zh-CN"/>
              </w:rPr>
              <w:t>would be</w:t>
            </w:r>
            <w:r w:rsidR="00613B63">
              <w:rPr>
                <w:sz w:val="20"/>
                <w:szCs w:val="20"/>
                <w:lang w:eastAsia="zh-CN"/>
              </w:rPr>
              <w:t xml:space="preserve"> better to</w:t>
            </w:r>
            <w:r w:rsidR="00866EDF">
              <w:rPr>
                <w:sz w:val="20"/>
                <w:szCs w:val="20"/>
                <w:lang w:eastAsia="zh-CN"/>
              </w:rPr>
              <w:t xml:space="preserve"> add FFS before </w:t>
            </w:r>
            <w:proofErr w:type="spellStart"/>
            <w:r w:rsidR="00866EDF" w:rsidRPr="00866EDF">
              <w:rPr>
                <w:sz w:val="20"/>
                <w:szCs w:val="20"/>
                <w:lang w:eastAsia="zh-CN"/>
              </w:rPr>
              <w:t>sfnSchemePdcch</w:t>
            </w:r>
            <w:proofErr w:type="spellEnd"/>
            <w:r w:rsidR="00866EDF" w:rsidRPr="00866EDF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="00866EDF" w:rsidRPr="00866EDF">
              <w:rPr>
                <w:sz w:val="20"/>
                <w:szCs w:val="20"/>
                <w:lang w:eastAsia="zh-CN"/>
              </w:rPr>
              <w:t>sfnSchemePdsch</w:t>
            </w:r>
            <w:proofErr w:type="spellEnd"/>
            <w:r w:rsidR="00866EDF">
              <w:rPr>
                <w:sz w:val="20"/>
                <w:szCs w:val="20"/>
                <w:lang w:eastAsia="zh-CN"/>
              </w:rPr>
              <w:t xml:space="preserve"> </w:t>
            </w:r>
            <w:r w:rsidR="00A86881">
              <w:rPr>
                <w:sz w:val="20"/>
                <w:szCs w:val="20"/>
                <w:lang w:eastAsia="zh-CN"/>
              </w:rPr>
              <w:t xml:space="preserve">and note: depend on further discussion about whether using common RRC parameter for SFN PDCCH and SFN PDSCH indication or not </w:t>
            </w:r>
            <w:r w:rsidR="00866EDF">
              <w:rPr>
                <w:sz w:val="20"/>
                <w:szCs w:val="20"/>
                <w:lang w:eastAsia="zh-CN"/>
              </w:rPr>
              <w:t>in the list.</w:t>
            </w:r>
            <w:r w:rsidR="00E57558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6D31A267" w:rsidR="009851BC" w:rsidRPr="00486B46" w:rsidRDefault="00486B46" w:rsidP="009851BC">
            <w:pPr>
              <w:snapToGrid w:val="0"/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 w:hint="eastAsia"/>
                <w:sz w:val="20"/>
                <w:szCs w:val="20"/>
              </w:rPr>
              <w:t>Samsu</w:t>
            </w:r>
            <w:r>
              <w:rPr>
                <w:rFonts w:eastAsia="Malgun Gothic"/>
                <w:sz w:val="20"/>
                <w:szCs w:val="20"/>
              </w:rPr>
              <w:t>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A63A023" w:rsidR="009851BC" w:rsidRPr="00486B46" w:rsidRDefault="00486B46" w:rsidP="00486B46">
            <w:pPr>
              <w:snapToGrid w:val="0"/>
              <w:jc w:val="both"/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 xml:space="preserve">We agree with Moderator’s view on simultaneous update. </w:t>
            </w:r>
            <w:r>
              <w:rPr>
                <w:rFonts w:eastAsia="Malgun Gothic" w:hint="eastAsia"/>
                <w:sz w:val="20"/>
                <w:szCs w:val="20"/>
              </w:rPr>
              <w:t>F</w:t>
            </w:r>
            <w:r>
              <w:rPr>
                <w:rFonts w:eastAsia="Malgun Gothic"/>
                <w:sz w:val="20"/>
                <w:szCs w:val="20"/>
              </w:rPr>
              <w:t xml:space="preserve">or </w:t>
            </w:r>
            <w:proofErr w:type="spellStart"/>
            <w:r w:rsidRPr="00486B46">
              <w:rPr>
                <w:rFonts w:eastAsia="Malgun Gothic"/>
                <w:i/>
                <w:sz w:val="20"/>
                <w:szCs w:val="20"/>
              </w:rPr>
              <w:t>sfnSchemePdcch</w:t>
            </w:r>
            <w:proofErr w:type="spellEnd"/>
            <w:r>
              <w:rPr>
                <w:rFonts w:eastAsia="Malgun Gothic"/>
                <w:sz w:val="20"/>
                <w:szCs w:val="20"/>
              </w:rPr>
              <w:t>, given the discussion so far, it</w:t>
            </w:r>
            <w:r w:rsidRPr="00486B46">
              <w:rPr>
                <w:rFonts w:eastAsia="Malgun Gothic"/>
                <w:sz w:val="20"/>
                <w:szCs w:val="20"/>
              </w:rPr>
              <w:t xml:space="preserve"> can be</w:t>
            </w:r>
            <w:r>
              <w:rPr>
                <w:rFonts w:eastAsia="Malgun Gothic"/>
                <w:sz w:val="20"/>
                <w:szCs w:val="20"/>
              </w:rPr>
              <w:t xml:space="preserve"> even</w:t>
            </w:r>
            <w:r w:rsidRPr="00486B46">
              <w:rPr>
                <w:rFonts w:eastAsia="Malgun Gothic"/>
                <w:sz w:val="20"/>
                <w:szCs w:val="20"/>
              </w:rPr>
              <w:t xml:space="preserve"> per CORESET</w:t>
            </w:r>
            <w:r>
              <w:rPr>
                <w:rFonts w:eastAsia="Malgun Gothic"/>
                <w:sz w:val="20"/>
                <w:szCs w:val="20"/>
              </w:rPr>
              <w:t>, so “per CORESET” can be also included in “</w:t>
            </w:r>
            <w:r w:rsidRPr="00486B46">
              <w:rPr>
                <w:rFonts w:eastAsia="Malgun Gothic"/>
                <w:sz w:val="20"/>
                <w:szCs w:val="20"/>
              </w:rPr>
              <w:t>Per (UE, cell, TRP, …)</w:t>
            </w:r>
            <w:r>
              <w:rPr>
                <w:rFonts w:eastAsia="Malgun Gothic"/>
                <w:sz w:val="20"/>
                <w:szCs w:val="20"/>
              </w:rPr>
              <w:t>” column as an FFS.</w:t>
            </w:r>
          </w:p>
        </w:tc>
      </w:tr>
      <w:tr w:rsidR="004B6E82" w14:paraId="35231870" w14:textId="77777777" w:rsidTr="004176AB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299" w14:textId="77777777" w:rsidR="004B6E82" w:rsidRPr="00CA322D" w:rsidRDefault="004B6E82" w:rsidP="004176AB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2CF8" w14:textId="77777777" w:rsidR="004B6E82" w:rsidRPr="00CA322D" w:rsidRDefault="004B6E82" w:rsidP="004176AB">
            <w:pPr>
              <w:snapToGrid w:val="0"/>
              <w:ind w:left="100" w:hangingChars="50" w:hanging="10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We have similar views as Samsung.</w:t>
            </w:r>
            <w:r w:rsidRPr="008A184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Since w</w:t>
            </w:r>
            <w:r>
              <w:rPr>
                <w:sz w:val="20"/>
                <w:szCs w:val="20"/>
                <w:lang w:eastAsia="zh-CN"/>
              </w:rPr>
              <w:t>e don’t have agreement</w:t>
            </w:r>
            <w:r w:rsidRPr="008A184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on detail configuration </w:t>
            </w:r>
            <w:r w:rsidRPr="008A1841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8A1841">
              <w:rPr>
                <w:sz w:val="20"/>
                <w:szCs w:val="20"/>
                <w:lang w:eastAsia="zh-CN"/>
              </w:rPr>
              <w:t xml:space="preserve">or </w:t>
            </w:r>
            <w:proofErr w:type="spellStart"/>
            <w:r w:rsidRPr="008A1841">
              <w:rPr>
                <w:i/>
                <w:sz w:val="20"/>
                <w:szCs w:val="20"/>
                <w:lang w:eastAsia="zh-CN"/>
              </w:rPr>
              <w:t>sfnSchemePdcch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algun Gothic"/>
                <w:sz w:val="20"/>
                <w:szCs w:val="20"/>
              </w:rPr>
              <w:t>“</w:t>
            </w:r>
            <w:r w:rsidRPr="00486B46">
              <w:rPr>
                <w:rFonts w:eastAsia="Malgun Gothic"/>
                <w:sz w:val="20"/>
                <w:szCs w:val="20"/>
              </w:rPr>
              <w:t>Per (UE, cell, TRP, …)</w:t>
            </w:r>
            <w:r>
              <w:rPr>
                <w:rFonts w:eastAsia="Malgun Gothic"/>
                <w:sz w:val="20"/>
                <w:szCs w:val="20"/>
              </w:rPr>
              <w:t>”</w:t>
            </w:r>
            <w:r w:rsidRPr="008A1841">
              <w:rPr>
                <w:sz w:val="20"/>
                <w:szCs w:val="20"/>
                <w:lang w:eastAsia="zh-CN"/>
              </w:rPr>
              <w:t xml:space="preserve"> column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should include </w:t>
            </w:r>
            <w:r w:rsidRPr="008A1841">
              <w:rPr>
                <w:sz w:val="20"/>
                <w:szCs w:val="20"/>
                <w:lang w:eastAsia="zh-CN"/>
              </w:rPr>
              <w:t xml:space="preserve">“per </w:t>
            </w:r>
            <w:r>
              <w:rPr>
                <w:rFonts w:hint="eastAsia"/>
                <w:sz w:val="20"/>
                <w:szCs w:val="20"/>
                <w:lang w:eastAsia="zh-CN"/>
              </w:rPr>
              <w:t>UE</w:t>
            </w:r>
            <w:r w:rsidRPr="008A1841">
              <w:rPr>
                <w:sz w:val="20"/>
                <w:szCs w:val="20"/>
                <w:lang w:eastAsia="zh-CN"/>
              </w:rPr>
              <w:t>”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 w:rsidRPr="008A1841">
              <w:rPr>
                <w:sz w:val="20"/>
                <w:szCs w:val="20"/>
                <w:lang w:eastAsia="zh-CN"/>
              </w:rPr>
              <w:t xml:space="preserve">“per </w:t>
            </w:r>
            <w:r>
              <w:rPr>
                <w:rFonts w:hint="eastAsia"/>
                <w:sz w:val="20"/>
                <w:szCs w:val="20"/>
                <w:lang w:eastAsia="zh-CN"/>
              </w:rPr>
              <w:t>CC</w:t>
            </w:r>
            <w:r w:rsidRPr="008A1841">
              <w:rPr>
                <w:sz w:val="20"/>
                <w:szCs w:val="20"/>
                <w:lang w:eastAsia="zh-CN"/>
              </w:rPr>
              <w:t>”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 w:rsidRPr="008A1841">
              <w:rPr>
                <w:sz w:val="20"/>
                <w:szCs w:val="20"/>
                <w:lang w:eastAsia="zh-CN"/>
              </w:rPr>
              <w:t xml:space="preserve">“per CORESET”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and </w:t>
            </w:r>
            <w:r w:rsidRPr="008A1841">
              <w:rPr>
                <w:sz w:val="20"/>
                <w:szCs w:val="20"/>
                <w:lang w:eastAsia="zh-CN"/>
              </w:rPr>
              <w:t xml:space="preserve">“per </w:t>
            </w:r>
            <w:r>
              <w:rPr>
                <w:rFonts w:hint="eastAsia"/>
                <w:sz w:val="20"/>
                <w:szCs w:val="20"/>
                <w:lang w:eastAsia="zh-CN"/>
              </w:rPr>
              <w:t>BWP</w:t>
            </w:r>
            <w:r w:rsidRPr="008A1841">
              <w:rPr>
                <w:sz w:val="20"/>
                <w:szCs w:val="20"/>
                <w:lang w:eastAsia="zh-CN"/>
              </w:rPr>
              <w:t>”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8A1841">
              <w:rPr>
                <w:sz w:val="20"/>
                <w:szCs w:val="20"/>
                <w:lang w:eastAsia="zh-CN"/>
              </w:rPr>
              <w:t>as an FFS.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4C3DD23C" w:rsidR="00EA1C32" w:rsidRPr="004B6E82" w:rsidRDefault="009F723B" w:rsidP="00EA1C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Lenovo/</w:t>
            </w:r>
            <w:proofErr w:type="spellStart"/>
            <w:r>
              <w:rPr>
                <w:sz w:val="20"/>
                <w:szCs w:val="20"/>
              </w:rPr>
              <w:t>MotM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25ACE69E" w:rsidR="00EA1C32" w:rsidRPr="00CA322D" w:rsidRDefault="009F723B" w:rsidP="00EA1C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</w:t>
            </w:r>
            <w:r>
              <w:rPr>
                <w:sz w:val="20"/>
                <w:szCs w:val="20"/>
              </w:rPr>
              <w:t xml:space="preserve"> also agree</w:t>
            </w:r>
            <w:r>
              <w:rPr>
                <w:sz w:val="20"/>
                <w:szCs w:val="20"/>
              </w:rPr>
              <w:t xml:space="preserve"> with Samsung’s comment about the possibility of configuring </w:t>
            </w:r>
            <w:proofErr w:type="spellStart"/>
            <w:r>
              <w:rPr>
                <w:rFonts w:eastAsia="Malgun Gothic"/>
                <w:i/>
                <w:sz w:val="20"/>
                <w:szCs w:val="20"/>
              </w:rPr>
              <w:t>sfnSchemePdcch</w:t>
            </w:r>
            <w:proofErr w:type="spellEnd"/>
            <w:r>
              <w:rPr>
                <w:rFonts w:eastAsia="Malgun Gothic"/>
                <w:sz w:val="20"/>
                <w:szCs w:val="20"/>
              </w:rPr>
              <w:t xml:space="preserve"> per CORESET, and hence we also prefer adding “per CORESET” to “Per (UE, cell, TRP, …)” as an FFS</w:t>
            </w:r>
            <w:r>
              <w:rPr>
                <w:rFonts w:eastAsia="Malgun Gothic"/>
                <w:sz w:val="20"/>
                <w:szCs w:val="20"/>
              </w:rPr>
              <w:t>. For “</w:t>
            </w:r>
            <w:r w:rsidRPr="009F723B">
              <w:rPr>
                <w:rFonts w:eastAsia="Malgun Gothic"/>
                <w:sz w:val="20"/>
                <w:szCs w:val="20"/>
              </w:rPr>
              <w:t>simultaneousTCI-UpdateList1</w:t>
            </w:r>
            <w:r>
              <w:rPr>
                <w:rFonts w:eastAsia="Malgun Gothic"/>
                <w:sz w:val="20"/>
                <w:szCs w:val="20"/>
              </w:rPr>
              <w:t>” and</w:t>
            </w:r>
            <w:r w:rsidRPr="009F723B">
              <w:rPr>
                <w:rFonts w:eastAsia="Malgun Gothic"/>
                <w:sz w:val="20"/>
                <w:szCs w:val="20"/>
              </w:rPr>
              <w:t xml:space="preserve"> </w:t>
            </w:r>
            <w:r>
              <w:rPr>
                <w:rFonts w:eastAsia="Malgun Gothic"/>
                <w:sz w:val="20"/>
                <w:szCs w:val="20"/>
              </w:rPr>
              <w:t>“</w:t>
            </w:r>
            <w:r w:rsidRPr="009F723B">
              <w:rPr>
                <w:rFonts w:eastAsia="Malgun Gothic"/>
                <w:sz w:val="20"/>
                <w:szCs w:val="20"/>
              </w:rPr>
              <w:t>simultaneousTCI-UpdateList2</w:t>
            </w:r>
            <w:r>
              <w:rPr>
                <w:rFonts w:eastAsia="Malgun Gothic"/>
                <w:sz w:val="20"/>
                <w:szCs w:val="20"/>
              </w:rPr>
              <w:t>”</w:t>
            </w:r>
            <w:r w:rsidRPr="009F723B">
              <w:rPr>
                <w:rFonts w:eastAsia="Malgun Gothic"/>
                <w:sz w:val="20"/>
                <w:szCs w:val="20"/>
              </w:rPr>
              <w:t>, we</w:t>
            </w:r>
            <w:r>
              <w:rPr>
                <w:rFonts w:eastAsia="Malgun Gothic"/>
                <w:sz w:val="20"/>
                <w:szCs w:val="20"/>
              </w:rPr>
              <w:t xml:space="preserve"> believe it should be left to RAN2 on whether/how this is captured</w:t>
            </w: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5BF5D" w14:textId="77777777" w:rsidR="00920E88" w:rsidRDefault="00920E88">
      <w:r>
        <w:separator/>
      </w:r>
    </w:p>
  </w:endnote>
  <w:endnote w:type="continuationSeparator" w:id="0">
    <w:p w14:paraId="1B14F458" w14:textId="77777777" w:rsidR="00920E88" w:rsidRDefault="0092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EC7F" w14:textId="77777777" w:rsidR="00920E88" w:rsidRDefault="00920E88">
      <w:r>
        <w:rPr>
          <w:color w:val="000000"/>
        </w:rPr>
        <w:separator/>
      </w:r>
    </w:p>
  </w:footnote>
  <w:footnote w:type="continuationSeparator" w:id="0">
    <w:p w14:paraId="05FC25DF" w14:textId="77777777" w:rsidR="00920E88" w:rsidRDefault="0092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tTAxMjMytjA1NjJS0lEKTi0uzszPAykwqgUAbhpTNS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937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30A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03D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26BB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08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078DF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553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6B46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6E82"/>
    <w:rsid w:val="004B79E8"/>
    <w:rsid w:val="004C00D8"/>
    <w:rsid w:val="004C021A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63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A3D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1E63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146A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4C0E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327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1114"/>
    <w:rsid w:val="008647AD"/>
    <w:rsid w:val="0086662A"/>
    <w:rsid w:val="00866EDF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0E88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848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2548"/>
    <w:rsid w:val="009834E8"/>
    <w:rsid w:val="009835DB"/>
    <w:rsid w:val="009851BC"/>
    <w:rsid w:val="0099314C"/>
    <w:rsid w:val="009943EE"/>
    <w:rsid w:val="00994F72"/>
    <w:rsid w:val="009950D1"/>
    <w:rsid w:val="009951F7"/>
    <w:rsid w:val="00995373"/>
    <w:rsid w:val="0099569A"/>
    <w:rsid w:val="00996511"/>
    <w:rsid w:val="009975A8"/>
    <w:rsid w:val="009A0070"/>
    <w:rsid w:val="009A06A1"/>
    <w:rsid w:val="009A0E2B"/>
    <w:rsid w:val="009A13B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23B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1C4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881"/>
    <w:rsid w:val="00A86923"/>
    <w:rsid w:val="00A87765"/>
    <w:rsid w:val="00A878F4"/>
    <w:rsid w:val="00A90058"/>
    <w:rsid w:val="00A9026C"/>
    <w:rsid w:val="00A90DAE"/>
    <w:rsid w:val="00A9193F"/>
    <w:rsid w:val="00A91D37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5E42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485"/>
    <w:rsid w:val="00C82866"/>
    <w:rsid w:val="00C83EF7"/>
    <w:rsid w:val="00C840A4"/>
    <w:rsid w:val="00C85386"/>
    <w:rsid w:val="00C85EB1"/>
    <w:rsid w:val="00C87CA8"/>
    <w:rsid w:val="00C917EE"/>
    <w:rsid w:val="00C91A92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22D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0E32"/>
    <w:rsid w:val="00CE1717"/>
    <w:rsid w:val="00CE2C4D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2F4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2BBD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D5AE4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494F"/>
    <w:rsid w:val="00E150B2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558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C68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4FF2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F8D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1D5B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5FA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A74E744D-F27F-4878-B1D2-BC196AB7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4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099D-C603-4CB6-A539-D318C85A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Ahmed Hindy</cp:lastModifiedBy>
  <cp:revision>3</cp:revision>
  <dcterms:created xsi:type="dcterms:W3CDTF">2021-09-08T08:36:00Z</dcterms:created>
  <dcterms:modified xsi:type="dcterms:W3CDTF">2021-09-08T15:39:00Z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