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bookmarkStart w:id="0" w:name="_GoBack"/>
      <w:bookmarkEnd w:id="0"/>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79FBCE4D"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ListParagraph"/>
              <w:numPr>
                <w:ilvl w:val="1"/>
                <w:numId w:val="12"/>
              </w:numPr>
              <w:snapToGrid w:val="0"/>
              <w:spacing w:after="0" w:line="240" w:lineRule="auto"/>
              <w:rPr>
                <w:rFonts w:eastAsia="Malgun Gothic"/>
                <w:color w:val="3333FF"/>
                <w:sz w:val="20"/>
                <w:szCs w:val="20"/>
              </w:rPr>
            </w:pPr>
            <w:r>
              <w:rPr>
                <w:rFonts w:eastAsia="Malgun Gothic"/>
                <w:color w:val="3333FF"/>
                <w:sz w:val="20"/>
                <w:szCs w:val="20"/>
              </w:rPr>
              <w:t xml:space="preserve">FFS: </w:t>
            </w:r>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lastRenderedPageBreak/>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lastRenderedPageBreak/>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lastRenderedPageBreak/>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lastRenderedPageBreak/>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lastRenderedPageBreak/>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channels and signals, SSB associated with a physical cell ID different from that of the serving cell is used as an indirect QCL reference for DL TCI (in case </w:t>
            </w:r>
            <w:r w:rsidRPr="005953EA">
              <w:rPr>
                <w:rFonts w:eastAsia="Malgun Gothic"/>
                <w:sz w:val="20"/>
                <w:szCs w:val="20"/>
              </w:rPr>
              <w:lastRenderedPageBreak/>
              <w:t>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lastRenderedPageBreak/>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lastRenderedPageBreak/>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lastRenderedPageBreak/>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(e.g.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Since this has not been discussed, the best I can do for now is to add FFS to be resolved in the next meeting ]</w:t>
            </w:r>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Thank you so much for MediaTek’s clarification, which seems to echo our views. Generally speaking, if how to identify non-UE-dedicated/associated PDSCH/PUSCH/PUCCH in spec is hard, does it means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40D3463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0439733E"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r>
              <w:rPr>
                <w:rFonts w:eastAsia="Malgun Gothic"/>
                <w:color w:val="3333FF"/>
                <w:sz w:val="20"/>
                <w:szCs w:val="20"/>
              </w:rPr>
              <w:t xml:space="preserve">FFS: </w:t>
            </w: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@QC and FW, if we have to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broken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have to use Rel-16 BM mechanism for inter-cell BM for all signals/channels. </w:t>
            </w:r>
          </w:p>
          <w:p w14:paraId="6CD81813" w14:textId="314E4A13" w:rsidR="000651E6" w:rsidRDefault="00FD6AAD" w:rsidP="000651E6">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For PDSCH, since we have agreed a WA to reuse Rel-15/Rel-16 beam indication for signals that indicated unified TCI is not applied for, we have to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ListParagraph"/>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We may need to consider additional beam indication for SRS so as to measure the UL CSI for the beam corresponding to PUSCH</w:t>
            </w:r>
          </w:p>
          <w:p w14:paraId="770FA2CE" w14:textId="3B60C014"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MO for the PDCCH in CORESET #0 is determined by associated SSB index, if the associated SSB index is from neighbor cell, how to determine MO?</w:t>
            </w:r>
          </w:p>
          <w:p w14:paraId="4392FACB" w14:textId="3FEC172D" w:rsidR="00A82420" w:rsidRDefault="00FD6AAD" w:rsidP="00A82420">
            <w:pPr>
              <w:pStyle w:val="ListParagraph"/>
              <w:numPr>
                <w:ilvl w:val="0"/>
                <w:numId w:val="12"/>
              </w:numPr>
              <w:snapToGrid w:val="0"/>
              <w:rPr>
                <w:rFonts w:eastAsia="Times New Roman"/>
                <w:sz w:val="20"/>
                <w:szCs w:val="20"/>
                <w:lang w:eastAsia="zh-CN"/>
              </w:rPr>
            </w:pPr>
            <w:r>
              <w:rPr>
                <w:rFonts w:eastAsia="Times New Roman"/>
                <w:sz w:val="20"/>
                <w:szCs w:val="20"/>
                <w:lang w:eastAsia="zh-CN"/>
              </w:rPr>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ListParagraph"/>
              <w:numPr>
                <w:ilvl w:val="1"/>
                <w:numId w:val="12"/>
              </w:numPr>
              <w:snapToGrid w:val="0"/>
              <w:rPr>
                <w:rFonts w:eastAsia="Times New Roman"/>
                <w:sz w:val="20"/>
                <w:szCs w:val="20"/>
                <w:lang w:eastAsia="zh-CN"/>
              </w:rPr>
            </w:pPr>
            <w:r>
              <w:rPr>
                <w:rFonts w:eastAsia="Times New Roman"/>
                <w:sz w:val="20"/>
                <w:szCs w:val="20"/>
                <w:lang w:eastAsia="zh-CN"/>
              </w:rPr>
              <w:t>Some companies argued the sentence is for dedicated signal only, but even if it is for dedicated signal, we should avoid to provide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r w:rsidR="008633AA" w14:paraId="2683EEE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813" w14:textId="0F587CF1" w:rsidR="008633AA" w:rsidRDefault="008633AA" w:rsidP="008633AA">
            <w:pPr>
              <w:snapToGrid w:val="0"/>
              <w:rPr>
                <w:rFonts w:eastAsia="PMingLiU"/>
                <w:sz w:val="18"/>
                <w:szCs w:val="18"/>
                <w:lang w:eastAsia="zh-CN"/>
              </w:rPr>
            </w:pPr>
            <w:r>
              <w:rPr>
                <w:rFonts w:eastAsia="Yu Mincho" w:hint="eastAsia"/>
                <w:sz w:val="18"/>
                <w:szCs w:val="18"/>
                <w:lang w:eastAsia="ja-JP"/>
              </w:rPr>
              <w:t>NTT Docomo3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D1B6" w14:textId="77777777" w:rsidR="008633AA" w:rsidRDefault="008633AA" w:rsidP="008633AA">
            <w:pPr>
              <w:snapToGrid w:val="0"/>
              <w:rPr>
                <w:rFonts w:eastAsia="Yu Mincho"/>
                <w:sz w:val="20"/>
                <w:szCs w:val="20"/>
                <w:lang w:eastAsia="ja-JP"/>
              </w:rPr>
            </w:pPr>
            <w:r w:rsidRPr="00926DB2">
              <w:rPr>
                <w:rFonts w:eastAsia="Yu Mincho" w:hint="eastAsia"/>
                <w:b/>
                <w:sz w:val="20"/>
                <w:szCs w:val="20"/>
                <w:u w:val="single"/>
                <w:lang w:eastAsia="ja-JP"/>
              </w:rPr>
              <w:t>Question to ZTE</w:t>
            </w:r>
            <w:r>
              <w:rPr>
                <w:rFonts w:eastAsia="Yu Mincho" w:hint="eastAsia"/>
                <w:sz w:val="20"/>
                <w:szCs w:val="20"/>
                <w:lang w:eastAsia="ja-JP"/>
              </w:rPr>
              <w:t xml:space="preserve">: </w:t>
            </w:r>
            <w:r>
              <w:rPr>
                <w:rFonts w:eastAsia="Yu Mincho"/>
                <w:sz w:val="20"/>
                <w:szCs w:val="20"/>
                <w:lang w:eastAsia="ja-JP"/>
              </w:rPr>
              <w:t>What do you mean “</w:t>
            </w:r>
            <w:r w:rsidRPr="00926DB2">
              <w:rPr>
                <w:rFonts w:eastAsia="Yu Mincho"/>
                <w:sz w:val="20"/>
                <w:szCs w:val="20"/>
                <w:lang w:eastAsia="ja-JP"/>
              </w:rPr>
              <w:t>non-UE-dedicated PUSCH</w:t>
            </w:r>
            <w:r>
              <w:rPr>
                <w:rFonts w:eastAsia="Yu Mincho"/>
                <w:sz w:val="20"/>
                <w:szCs w:val="20"/>
                <w:lang w:eastAsia="ja-JP"/>
              </w:rPr>
              <w:t>”? We don’t understand even if we read your reply to MediaTek. Do you intend PUSCH scheduled by RAR UL grant? Or, do you intend something else?</w:t>
            </w:r>
          </w:p>
          <w:p w14:paraId="1D231ABF" w14:textId="77777777" w:rsidR="008633AA" w:rsidRDefault="008633AA" w:rsidP="008633AA">
            <w:pPr>
              <w:snapToGrid w:val="0"/>
              <w:rPr>
                <w:rFonts w:eastAsia="Yu Mincho"/>
                <w:sz w:val="20"/>
                <w:szCs w:val="20"/>
                <w:lang w:eastAsia="ja-JP"/>
              </w:rPr>
            </w:pPr>
            <w:r>
              <w:rPr>
                <w:rFonts w:eastAsia="Yu Mincho" w:hint="eastAsia"/>
                <w:sz w:val="20"/>
                <w:szCs w:val="20"/>
                <w:lang w:eastAsia="ja-JP"/>
              </w:rPr>
              <w:t xml:space="preserve">For </w:t>
            </w:r>
            <w:r w:rsidRPr="00926DB2">
              <w:rPr>
                <w:rFonts w:eastAsia="Yu Mincho" w:hint="eastAsia"/>
                <w:sz w:val="20"/>
                <w:szCs w:val="20"/>
                <w:lang w:eastAsia="ja-JP"/>
              </w:rPr>
              <w:t>“</w:t>
            </w:r>
            <w:r w:rsidRPr="00926DB2">
              <w:rPr>
                <w:rFonts w:eastAsia="Yu Mincho"/>
                <w:sz w:val="20"/>
                <w:szCs w:val="20"/>
                <w:lang w:eastAsia="ja-JP"/>
              </w:rPr>
              <w:t>Non-dedicated PUCCH resource”</w:t>
            </w:r>
            <w:r>
              <w:rPr>
                <w:rFonts w:eastAsia="Yu Mincho"/>
                <w:sz w:val="20"/>
                <w:szCs w:val="20"/>
                <w:lang w:eastAsia="ja-JP"/>
              </w:rPr>
              <w:t>, based on MediaTek’s reply, we can understand what it intends.</w:t>
            </w:r>
          </w:p>
          <w:p w14:paraId="66C5CCE1" w14:textId="77777777" w:rsidR="008633AA" w:rsidRDefault="008633AA" w:rsidP="008633AA">
            <w:pPr>
              <w:snapToGrid w:val="0"/>
              <w:rPr>
                <w:rFonts w:eastAsia="Yu Mincho"/>
                <w:sz w:val="20"/>
                <w:szCs w:val="20"/>
                <w:lang w:eastAsia="ja-JP"/>
              </w:rPr>
            </w:pPr>
          </w:p>
          <w:p w14:paraId="4D51B61E" w14:textId="77777777" w:rsidR="008633AA" w:rsidRPr="009B00EC" w:rsidRDefault="008633AA" w:rsidP="008633AA">
            <w:pPr>
              <w:snapToGrid w:val="0"/>
              <w:rPr>
                <w:rFonts w:eastAsia="Yu Mincho"/>
                <w:sz w:val="20"/>
                <w:szCs w:val="20"/>
                <w:lang w:eastAsia="ja-JP"/>
              </w:rPr>
            </w:pPr>
            <w:r w:rsidRPr="009B00EC">
              <w:rPr>
                <w:rFonts w:eastAsia="Yu Mincho" w:hint="eastAsia"/>
                <w:sz w:val="20"/>
                <w:szCs w:val="20"/>
                <w:u w:val="single"/>
                <w:lang w:eastAsia="ja-JP"/>
              </w:rPr>
              <w:t>Comment on</w:t>
            </w:r>
            <w:r w:rsidRPr="009B00EC">
              <w:rPr>
                <w:rFonts w:eastAsia="Yu Mincho"/>
                <w:sz w:val="20"/>
                <w:szCs w:val="20"/>
                <w:u w:val="single"/>
                <w:lang w:eastAsia="ja-JP"/>
              </w:rPr>
              <w:t xml:space="preserve"> UE capability of</w:t>
            </w:r>
            <w:r w:rsidRPr="009B00EC">
              <w:rPr>
                <w:rFonts w:eastAsia="Yu Mincho" w:hint="eastAsia"/>
                <w:sz w:val="20"/>
                <w:szCs w:val="20"/>
                <w:u w:val="single"/>
                <w:lang w:eastAsia="ja-JP"/>
              </w:rPr>
              <w:t xml:space="preserve"> two active TCI</w:t>
            </w:r>
            <w:r>
              <w:rPr>
                <w:rFonts w:eastAsia="Yu Mincho"/>
                <w:sz w:val="20"/>
                <w:szCs w:val="20"/>
                <w:lang w:eastAsia="ja-JP"/>
              </w:rPr>
              <w:t>: similar as some companies, we don’t understand why UE reports supporting of two active TCI but these two active TCIs are the same QCL type D. When UE is capable of one QCL type D, we think UE ca</w:t>
            </w:r>
            <w:r>
              <w:rPr>
                <w:rFonts w:eastAsia="Yu Mincho" w:hint="eastAsia"/>
                <w:sz w:val="20"/>
                <w:szCs w:val="20"/>
                <w:lang w:eastAsia="ja-JP"/>
              </w:rPr>
              <w:t xml:space="preserve">n just report as </w:t>
            </w:r>
            <w:r>
              <w:rPr>
                <w:rFonts w:eastAsia="Yu Mincho"/>
                <w:sz w:val="20"/>
                <w:szCs w:val="20"/>
                <w:lang w:eastAsia="ja-JP"/>
              </w:rPr>
              <w:t>“one” active TCI. Unless we don’t understand the motivation, we prefer to remove the sentence, because we don’t know why and what we should study.</w:t>
            </w:r>
          </w:p>
          <w:p w14:paraId="2E705544" w14:textId="77777777" w:rsidR="008633AA" w:rsidRDefault="008633AA" w:rsidP="008633AA">
            <w:pPr>
              <w:snapToGrid w:val="0"/>
              <w:rPr>
                <w:rFonts w:eastAsia="Times New Roman"/>
                <w:sz w:val="20"/>
                <w:szCs w:val="20"/>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w:t>
            </w:r>
            <w:r w:rsidR="00CF59A7">
              <w:rPr>
                <w:rFonts w:eastAsia="DengXian"/>
                <w:sz w:val="18"/>
                <w:szCs w:val="18"/>
                <w:lang w:eastAsia="zh-CN"/>
              </w:rPr>
              <w:t>t</w:t>
            </w:r>
            <w:r w:rsidR="00246120">
              <w:rPr>
                <w:rFonts w:eastAsia="DengXian"/>
                <w:sz w:val="18"/>
                <w:szCs w:val="18"/>
                <w:lang w:eastAsia="zh-CN"/>
              </w:rPr>
              <w: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r w:rsidR="00CF59A7">
              <w:rPr>
                <w:rFonts w:eastAsia="Malgun Gothic"/>
                <w:bCs/>
                <w:sz w:val="18"/>
                <w:szCs w:val="18"/>
                <w:lang w:val="en-GB"/>
              </w:rPr>
              <w:t>ignalling</w:t>
            </w:r>
            <w:r w:rsidRPr="000138C3">
              <w:rPr>
                <w:rFonts w:eastAsia="Malgun Gothic"/>
                <w:bCs/>
                <w:sz w:val="18"/>
                <w:szCs w:val="18"/>
                <w:lang w:val="en-GB"/>
              </w:rPr>
              <w:t xml:space="preserve">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r w:rsidR="00E66840" w:rsidRPr="00E66840">
        <w:rPr>
          <w:rFonts w:eastAsia="Times New Roman"/>
          <w:sz w:val="20"/>
          <w:szCs w:val="20"/>
        </w:rPr>
        <w:t>:</w:t>
      </w:r>
    </w:p>
    <w:p w14:paraId="50EF7E25" w14:textId="4E01366A"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r w:rsidR="007A7479">
        <w:rPr>
          <w:rFonts w:eastAsia="Times New Roman"/>
          <w:sz w:val="20"/>
          <w:szCs w:val="20"/>
        </w:rPr>
        <w:t xml:space="preserve">For each P-MPR value, </w:t>
      </w:r>
      <w:r w:rsidR="00D077C5">
        <w:rPr>
          <w:rFonts w:eastAsia="Times New Roman"/>
          <w:sz w:val="20"/>
          <w:szCs w:val="20"/>
        </w:rPr>
        <w:t>up to M</w:t>
      </w:r>
      <w:r w:rsidRPr="00E63ECA">
        <w:rPr>
          <w:rFonts w:eastAsia="Times New Roman"/>
          <w:sz w:val="20"/>
          <w:szCs w:val="20"/>
        </w:rPr>
        <w:t xml:space="preserve"> SSBRI</w:t>
      </w:r>
      <w:r w:rsidR="00D077C5">
        <w:rPr>
          <w:rFonts w:eastAsia="Times New Roman"/>
          <w:sz w:val="20"/>
          <w:szCs w:val="20"/>
        </w:rPr>
        <w:t>(s)</w:t>
      </w:r>
      <w:r w:rsidRPr="00E63ECA">
        <w:rPr>
          <w:rFonts w:eastAsia="Times New Roman"/>
          <w:sz w:val="20"/>
          <w:szCs w:val="20"/>
        </w:rPr>
        <w:t>/CRI</w:t>
      </w:r>
      <w:r w:rsidR="00D077C5">
        <w:rPr>
          <w:rFonts w:eastAsia="Times New Roman"/>
          <w:sz w:val="20"/>
          <w:szCs w:val="20"/>
        </w:rPr>
        <w:t>(s)</w:t>
      </w:r>
      <w:r>
        <w:rPr>
          <w:rFonts w:eastAsia="Times New Roman"/>
          <w:sz w:val="20"/>
          <w:szCs w:val="20"/>
        </w:rPr>
        <w:t>, where the</w:t>
      </w:r>
      <w:r w:rsidR="007A7479">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6C470B4" w:rsidR="00E66840" w:rsidRDefault="002061C5" w:rsidP="00E66840">
      <w:pPr>
        <w:pStyle w:val="ListParagraph"/>
        <w:numPr>
          <w:ilvl w:val="2"/>
          <w:numId w:val="8"/>
        </w:numPr>
        <w:snapToGrid w:val="0"/>
        <w:spacing w:after="0" w:line="240" w:lineRule="auto"/>
        <w:jc w:val="both"/>
        <w:rPr>
          <w:rFonts w:eastAsia="Times New Roman"/>
          <w:sz w:val="20"/>
          <w:szCs w:val="20"/>
        </w:rPr>
      </w:pPr>
      <w:r w:rsidRPr="00D05614" w:rsidDel="002061C5">
        <w:rPr>
          <w:rFonts w:eastAsia="Times New Roman"/>
          <w:color w:val="00B0F0"/>
          <w:sz w:val="20"/>
          <w:szCs w:val="20"/>
        </w:rPr>
        <w:t xml:space="preserve"> </w:t>
      </w:r>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r w:rsidR="00CF59A7">
              <w:rPr>
                <w:sz w:val="18"/>
                <w:szCs w:val="18"/>
                <w:lang w:eastAsia="zh-CN"/>
              </w:rPr>
              <w:t>E</w:t>
            </w:r>
            <w:r>
              <w:rPr>
                <w:rFonts w:hint="eastAsia"/>
                <w:sz w:val="18"/>
                <w:szCs w:val="18"/>
                <w:lang w:eastAsia="zh-CN"/>
              </w:rPr>
              <w:t xml:space="preserv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r w:rsidRPr="00C45B99">
              <w:rPr>
                <w:rFonts w:asciiTheme="minorEastAsia" w:hAnsiTheme="minorEastAsia" w:hint="eastAsia"/>
                <w:bCs/>
                <w:sz w:val="20"/>
                <w:szCs w:val="20"/>
                <w:lang w:eastAsia="zh-CN"/>
              </w:rPr>
              <w:t>A</w:t>
            </w:r>
            <w:r w:rsidRPr="00C45B99">
              <w:rPr>
                <w:rFonts w:eastAsia="Malgun Gothic"/>
                <w:bCs/>
                <w:sz w:val="20"/>
                <w:szCs w:val="20"/>
              </w:rPr>
              <w:t>lso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3"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3"/>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8A8B" w14:textId="77777777" w:rsidR="0033750D" w:rsidRDefault="0033750D">
      <w:r>
        <w:separator/>
      </w:r>
    </w:p>
  </w:endnote>
  <w:endnote w:type="continuationSeparator" w:id="0">
    <w:p w14:paraId="54DE8D75" w14:textId="77777777" w:rsidR="0033750D" w:rsidRDefault="0033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7055" w14:textId="77777777" w:rsidR="0033750D" w:rsidRDefault="0033750D">
      <w:r>
        <w:rPr>
          <w:color w:val="000000"/>
        </w:rPr>
        <w:separator/>
      </w:r>
    </w:p>
  </w:footnote>
  <w:footnote w:type="continuationSeparator" w:id="0">
    <w:p w14:paraId="15FF5E6B" w14:textId="77777777" w:rsidR="0033750D" w:rsidRDefault="0033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50D"/>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354"/>
    <w:rsid w:val="003835F9"/>
    <w:rsid w:val="00383D77"/>
    <w:rsid w:val="0038409B"/>
    <w:rsid w:val="00384761"/>
    <w:rsid w:val="003847ED"/>
    <w:rsid w:val="00386BAA"/>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303E"/>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33AA"/>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39"/>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1AA"/>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98B"/>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7B1A-0AEA-4B91-8CEB-69DADF54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22219</Words>
  <Characters>126651</Characters>
  <Application>Microsoft Office Word</Application>
  <DocSecurity>0</DocSecurity>
  <Lines>1055</Lines>
  <Paragraphs>297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dcterms:created xsi:type="dcterms:W3CDTF">2021-08-25T07:24:00Z</dcterms:created>
  <dcterms:modified xsi:type="dcterms:W3CDTF">2021-08-25T07:25:00Z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