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bookmarkStart w:id="0" w:name="_GoBack"/>
      <w:bookmarkEnd w:id="0"/>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맑은 고딕"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맑은 고딕"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맑은 고딕" w:cs="Times New Roman"/>
                <w:i/>
                <w:sz w:val="20"/>
                <w:szCs w:val="20"/>
              </w:rPr>
            </w:pPr>
            <w:r w:rsidRPr="005953EA">
              <w:rPr>
                <w:rFonts w:eastAsia="맑은 고딕"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맑은 고딕" w:cs="Times New Roman"/>
                <w:sz w:val="20"/>
                <w:szCs w:val="20"/>
                <w:highlight w:val="yellow"/>
              </w:rPr>
            </w:pPr>
            <w:r w:rsidRPr="005953EA">
              <w:rPr>
                <w:rFonts w:eastAsia="맑은 고딕"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맑은 고딕" w:cs="Times New Roman"/>
                <w:sz w:val="20"/>
                <w:szCs w:val="20"/>
              </w:rPr>
            </w:pPr>
            <w:r w:rsidRPr="005953EA">
              <w:rPr>
                <w:rFonts w:eastAsia="맑은 고딕" w:cs="Times New Roman"/>
                <w:sz w:val="20"/>
                <w:szCs w:val="20"/>
              </w:rPr>
              <w:t xml:space="preserve">On Rel.17 beam indication enhancements </w:t>
            </w:r>
            <w:r w:rsidRPr="005953EA">
              <w:rPr>
                <w:rFonts w:eastAsia="맑은 고딕" w:cs="Times New Roman"/>
                <w:color w:val="000000"/>
                <w:sz w:val="20"/>
                <w:szCs w:val="20"/>
              </w:rPr>
              <w:t>for inter-cell beam management</w:t>
            </w:r>
            <w:r w:rsidRPr="005953EA">
              <w:rPr>
                <w:rFonts w:eastAsia="맑은 고딕"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맑은 고딕" w:cs="Times New Roman"/>
                <w:color w:val="FF0000"/>
                <w:sz w:val="20"/>
                <w:szCs w:val="20"/>
              </w:rPr>
            </w:pPr>
            <w:r w:rsidRPr="005953EA">
              <w:rPr>
                <w:rFonts w:eastAsia="맑은 고딕"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맑은 고딕" w:cs="Times New Roman"/>
                <w:color w:val="FF0000"/>
                <w:sz w:val="20"/>
                <w:szCs w:val="20"/>
              </w:rPr>
            </w:pPr>
            <w:r w:rsidRPr="005953EA">
              <w:rPr>
                <w:rFonts w:eastAsia="맑은 고딕"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맑은 고딕" w:cs="Times New Roman"/>
                <w:color w:val="FF0000"/>
                <w:sz w:val="20"/>
                <w:szCs w:val="20"/>
              </w:rPr>
            </w:pPr>
            <w:r w:rsidRPr="005953EA">
              <w:rPr>
                <w:rFonts w:eastAsia="맑은 고딕"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맑은 고딕" w:cs="Times New Roman"/>
                <w:color w:val="FF0000"/>
                <w:sz w:val="20"/>
                <w:szCs w:val="20"/>
              </w:rPr>
            </w:pPr>
            <w:r w:rsidRPr="005953EA">
              <w:rPr>
                <w:rFonts w:eastAsia="맑은 고딕"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맑은 고딕" w:cs="Times New Roman"/>
                <w:sz w:val="20"/>
                <w:szCs w:val="20"/>
              </w:rPr>
            </w:pPr>
            <w:r w:rsidRPr="005953EA">
              <w:rPr>
                <w:rFonts w:eastAsia="맑은 고딕" w:cs="Times New Roman"/>
                <w:sz w:val="20"/>
                <w:szCs w:val="20"/>
              </w:rPr>
              <w:t xml:space="preserve">For the aforementioned applicable </w:t>
            </w:r>
            <w:r w:rsidRPr="005953EA">
              <w:rPr>
                <w:rFonts w:eastAsia="맑은 고딕" w:cs="Times New Roman"/>
                <w:color w:val="FF0000"/>
                <w:sz w:val="20"/>
                <w:szCs w:val="20"/>
              </w:rPr>
              <w:t>DL</w:t>
            </w:r>
            <w:r w:rsidRPr="005953EA">
              <w:rPr>
                <w:rFonts w:eastAsia="맑은 고딕" w:cs="Times New Roman"/>
                <w:sz w:val="20"/>
                <w:szCs w:val="20"/>
              </w:rPr>
              <w:t xml:space="preserve"> channels and </w:t>
            </w:r>
            <w:r w:rsidRPr="005953EA">
              <w:rPr>
                <w:rFonts w:eastAsia="맑은 고딕" w:cs="Times New Roman"/>
                <w:color w:val="FF0000"/>
                <w:sz w:val="20"/>
                <w:szCs w:val="20"/>
              </w:rPr>
              <w:t>DL</w:t>
            </w:r>
            <w:r w:rsidRPr="005953EA">
              <w:rPr>
                <w:rFonts w:eastAsia="맑은 고딕"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맑은 고딕" w:cs="Times New Roman"/>
                <w:sz w:val="20"/>
                <w:szCs w:val="20"/>
              </w:rPr>
            </w:pPr>
            <w:r w:rsidRPr="005953EA">
              <w:rPr>
                <w:rFonts w:eastAsia="맑은 고딕"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맑은 고딕" w:cs="Times New Roman"/>
                <w:sz w:val="20"/>
                <w:szCs w:val="20"/>
              </w:rPr>
            </w:pPr>
            <w:r w:rsidRPr="005953EA">
              <w:rPr>
                <w:rFonts w:eastAsia="맑은 고딕"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맑은 고딕"/>
          <w:sz w:val="20"/>
          <w:szCs w:val="20"/>
        </w:rPr>
      </w:pPr>
    </w:p>
    <w:p w14:paraId="2CBBB46C" w14:textId="5C22473D" w:rsidR="005953EA" w:rsidRDefault="005953EA" w:rsidP="00B60550">
      <w:pPr>
        <w:snapToGrid w:val="0"/>
        <w:jc w:val="both"/>
        <w:rPr>
          <w:rFonts w:eastAsia="맑은 고딕"/>
          <w:sz w:val="20"/>
          <w:szCs w:val="20"/>
        </w:rPr>
      </w:pPr>
      <w:r>
        <w:rPr>
          <w:rFonts w:eastAsia="맑은 고딕"/>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맑은 고딕"/>
          <w:sz w:val="20"/>
          <w:szCs w:val="20"/>
        </w:rPr>
      </w:pPr>
    </w:p>
    <w:p w14:paraId="49A79DC7" w14:textId="227D9FC4" w:rsidR="005953EA" w:rsidRDefault="005953EA" w:rsidP="00B60550">
      <w:pPr>
        <w:snapToGrid w:val="0"/>
        <w:jc w:val="both"/>
        <w:rPr>
          <w:rFonts w:eastAsia="맑은 고딕"/>
          <w:sz w:val="20"/>
          <w:szCs w:val="20"/>
        </w:rPr>
      </w:pPr>
      <w:r>
        <w:rPr>
          <w:rFonts w:eastAsia="맑은 고딕"/>
          <w:sz w:val="20"/>
          <w:szCs w:val="20"/>
        </w:rPr>
        <w:t xml:space="preserve">To progress together and compromise, the moderator proposes </w:t>
      </w:r>
      <w:r w:rsidR="00493A2B">
        <w:rPr>
          <w:rFonts w:eastAsia="맑은 고딕"/>
          <w:sz w:val="20"/>
          <w:szCs w:val="20"/>
        </w:rPr>
        <w:t>the following combo</w:t>
      </w:r>
      <w:r>
        <w:rPr>
          <w:rFonts w:eastAsia="맑은 고딕"/>
          <w:sz w:val="20"/>
          <w:szCs w:val="20"/>
        </w:rPr>
        <w:t xml:space="preserve">: </w:t>
      </w:r>
    </w:p>
    <w:p w14:paraId="3FAFAC2F" w14:textId="7C73959A" w:rsidR="005953EA" w:rsidRDefault="005953EA" w:rsidP="00B60550">
      <w:pPr>
        <w:snapToGrid w:val="0"/>
        <w:jc w:val="both"/>
        <w:rPr>
          <w:rFonts w:eastAsia="맑은 고딕"/>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맑은 고딕"/>
                <w:sz w:val="20"/>
                <w:szCs w:val="20"/>
                <w:lang w:val="en-GB"/>
              </w:rPr>
            </w:pPr>
          </w:p>
          <w:p w14:paraId="3605AB3D" w14:textId="44763221" w:rsidR="005953EA" w:rsidRDefault="00493A2B" w:rsidP="005953EA">
            <w:pPr>
              <w:snapToGrid w:val="0"/>
              <w:jc w:val="both"/>
              <w:rPr>
                <w:rFonts w:eastAsia="맑은 고딕"/>
                <w:sz w:val="20"/>
                <w:szCs w:val="20"/>
              </w:rPr>
            </w:pPr>
            <w:r>
              <w:rPr>
                <w:rFonts w:eastAsia="맑은 고딕"/>
                <w:b/>
                <w:sz w:val="20"/>
                <w:szCs w:val="20"/>
                <w:u w:val="single"/>
              </w:rPr>
              <w:t>Combo P</w:t>
            </w:r>
            <w:r w:rsidR="005953EA" w:rsidRPr="005953EA">
              <w:rPr>
                <w:rFonts w:eastAsia="맑은 고딕"/>
                <w:b/>
                <w:sz w:val="20"/>
                <w:szCs w:val="20"/>
                <w:u w:val="single"/>
              </w:rPr>
              <w:t>roposal</w:t>
            </w:r>
            <w:r w:rsidR="005953EA">
              <w:rPr>
                <w:rFonts w:eastAsia="맑은 고딕"/>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맑은 고딕"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a3"/>
              <w:numPr>
                <w:ilvl w:val="1"/>
                <w:numId w:val="11"/>
              </w:numPr>
              <w:snapToGrid w:val="0"/>
              <w:spacing w:after="0" w:line="240" w:lineRule="auto"/>
              <w:jc w:val="both"/>
              <w:rPr>
                <w:rFonts w:eastAsia="맑은 고딕"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맑은 고딕"/>
                <w:sz w:val="20"/>
                <w:szCs w:val="20"/>
              </w:rPr>
            </w:pPr>
          </w:p>
          <w:p w14:paraId="5BCD6C22" w14:textId="77777777" w:rsidR="005953EA" w:rsidRPr="005953EA" w:rsidRDefault="005953EA" w:rsidP="005953EA">
            <w:pPr>
              <w:snapToGrid w:val="0"/>
              <w:jc w:val="both"/>
              <w:rPr>
                <w:rFonts w:eastAsia="맑은 고딕" w:cs="Times New Roman"/>
                <w:sz w:val="20"/>
                <w:szCs w:val="20"/>
              </w:rPr>
            </w:pPr>
            <w:r w:rsidRPr="005953EA">
              <w:rPr>
                <w:rFonts w:eastAsia="맑은 고딕" w:cs="Times New Roman"/>
                <w:sz w:val="20"/>
                <w:szCs w:val="20"/>
              </w:rPr>
              <w:t xml:space="preserve">On Rel.17 beam indication enhancements </w:t>
            </w:r>
            <w:r w:rsidRPr="005953EA">
              <w:rPr>
                <w:rFonts w:eastAsia="맑은 고딕" w:cs="Times New Roman"/>
                <w:color w:val="000000"/>
                <w:sz w:val="20"/>
                <w:szCs w:val="20"/>
              </w:rPr>
              <w:t>for inter-cell beam management</w:t>
            </w:r>
            <w:r w:rsidRPr="005953EA">
              <w:rPr>
                <w:rFonts w:eastAsia="맑은 고딕"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0C159DBA" w:rsidR="005953EA" w:rsidRPr="005953EA" w:rsidRDefault="00493A2B" w:rsidP="00493A2B">
            <w:pPr>
              <w:numPr>
                <w:ilvl w:val="0"/>
                <w:numId w:val="29"/>
              </w:numPr>
              <w:snapToGrid w:val="0"/>
              <w:jc w:val="both"/>
              <w:rPr>
                <w:rFonts w:eastAsia="맑은 고딕" w:cs="Times New Roman"/>
                <w:color w:val="FF0000"/>
                <w:sz w:val="20"/>
                <w:szCs w:val="20"/>
              </w:rPr>
            </w:pPr>
            <w:r>
              <w:rPr>
                <w:rFonts w:eastAsia="맑은 고딕" w:cs="Times New Roman"/>
                <w:color w:val="FF0000"/>
                <w:sz w:val="20"/>
                <w:szCs w:val="20"/>
              </w:rPr>
              <w:t>The</w:t>
            </w:r>
            <w:r w:rsidR="005953EA" w:rsidRPr="005953EA">
              <w:rPr>
                <w:rFonts w:eastAsia="맑은 고딕" w:cs="Times New Roman"/>
                <w:color w:val="FF0000"/>
                <w:sz w:val="20"/>
                <w:szCs w:val="20"/>
              </w:rPr>
              <w:t xml:space="preserve"> channels and signals as for intra-cell beam management </w:t>
            </w:r>
            <w:r>
              <w:rPr>
                <w:rFonts w:eastAsia="맑은 고딕" w:cs="Times New Roman"/>
                <w:color w:val="FF0000"/>
                <w:sz w:val="20"/>
                <w:szCs w:val="20"/>
              </w:rPr>
              <w:t>except for non-UE-specific channels</w:t>
            </w:r>
          </w:p>
          <w:p w14:paraId="43603A56" w14:textId="77777777" w:rsidR="005953EA" w:rsidRPr="005953EA" w:rsidRDefault="005953EA" w:rsidP="005953EA">
            <w:pPr>
              <w:numPr>
                <w:ilvl w:val="0"/>
                <w:numId w:val="29"/>
              </w:numPr>
              <w:snapToGrid w:val="0"/>
              <w:jc w:val="both"/>
              <w:rPr>
                <w:rFonts w:eastAsia="맑은 고딕" w:cs="Times New Roman"/>
                <w:sz w:val="20"/>
                <w:szCs w:val="20"/>
              </w:rPr>
            </w:pPr>
            <w:r w:rsidRPr="005953EA">
              <w:rPr>
                <w:rFonts w:eastAsia="맑은 고딕" w:cs="Times New Roman"/>
                <w:sz w:val="20"/>
                <w:szCs w:val="20"/>
              </w:rPr>
              <w:t xml:space="preserve">For the aforementioned applicable </w:t>
            </w:r>
            <w:r w:rsidRPr="005953EA">
              <w:rPr>
                <w:rFonts w:eastAsia="맑은 고딕" w:cs="Times New Roman"/>
                <w:color w:val="FF0000"/>
                <w:sz w:val="20"/>
                <w:szCs w:val="20"/>
              </w:rPr>
              <w:t>DL</w:t>
            </w:r>
            <w:r w:rsidRPr="005953EA">
              <w:rPr>
                <w:rFonts w:eastAsia="맑은 고딕" w:cs="Times New Roman"/>
                <w:sz w:val="20"/>
                <w:szCs w:val="20"/>
              </w:rPr>
              <w:t xml:space="preserve"> channels and </w:t>
            </w:r>
            <w:r w:rsidRPr="005953EA">
              <w:rPr>
                <w:rFonts w:eastAsia="맑은 고딕" w:cs="Times New Roman"/>
                <w:color w:val="FF0000"/>
                <w:sz w:val="20"/>
                <w:szCs w:val="20"/>
              </w:rPr>
              <w:t>DL</w:t>
            </w:r>
            <w:r w:rsidRPr="005953EA">
              <w:rPr>
                <w:rFonts w:eastAsia="맑은 고딕"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맑은 고딕" w:cs="Times New Roman"/>
                <w:sz w:val="20"/>
                <w:szCs w:val="20"/>
              </w:rPr>
            </w:pPr>
            <w:r w:rsidRPr="005953EA">
              <w:rPr>
                <w:rFonts w:eastAsia="맑은 고딕"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맑은 고딕" w:cs="Times New Roman"/>
                <w:sz w:val="20"/>
                <w:szCs w:val="20"/>
              </w:rPr>
            </w:pPr>
            <w:r w:rsidRPr="005953EA">
              <w:rPr>
                <w:rFonts w:eastAsia="맑은 고딕" w:cs="Times New Roman"/>
                <w:sz w:val="20"/>
                <w:szCs w:val="20"/>
              </w:rPr>
              <w:t xml:space="preserve">This inter-cell beam management does not mandate a UE to </w:t>
            </w:r>
            <w:r w:rsidR="00493A2B" w:rsidRPr="00493A2B">
              <w:rPr>
                <w:rFonts w:eastAsia="맑은 고딕" w:cs="Times New Roman"/>
                <w:color w:val="FF0000"/>
                <w:sz w:val="20"/>
                <w:szCs w:val="20"/>
              </w:rPr>
              <w:t>maintain</w:t>
            </w:r>
            <w:r w:rsidRPr="00493A2B">
              <w:rPr>
                <w:rFonts w:eastAsia="맑은 고딕" w:cs="Times New Roman"/>
                <w:color w:val="FF0000"/>
                <w:sz w:val="20"/>
                <w:szCs w:val="20"/>
              </w:rPr>
              <w:t xml:space="preserve"> </w:t>
            </w:r>
            <w:r w:rsidRPr="005953EA">
              <w:rPr>
                <w:rFonts w:eastAsia="맑은 고딕" w:cs="Times New Roman"/>
                <w:sz w:val="20"/>
                <w:szCs w:val="20"/>
              </w:rPr>
              <w:t>more than one active TCI state / QCL per band</w:t>
            </w:r>
            <w:r w:rsidR="00493A2B">
              <w:rPr>
                <w:rFonts w:eastAsia="맑은 고딕" w:cs="Times New Roman"/>
                <w:sz w:val="20"/>
                <w:szCs w:val="20"/>
              </w:rPr>
              <w:t xml:space="preserve"> </w:t>
            </w:r>
            <w:r w:rsidR="00493A2B" w:rsidRPr="00493A2B">
              <w:rPr>
                <w:rFonts w:eastAsia="맑은 고딕"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맑은 고딕" w:cs="Times New Roman"/>
                <w:sz w:val="20"/>
                <w:szCs w:val="20"/>
              </w:rPr>
            </w:pPr>
            <w:r>
              <w:rPr>
                <w:rFonts w:eastAsia="맑은 고딕" w:cs="Times New Roman"/>
                <w:color w:val="FF0000"/>
                <w:sz w:val="20"/>
                <w:szCs w:val="20"/>
              </w:rPr>
              <w:lastRenderedPageBreak/>
              <w:t>That is, beam switching across slots is used to receive or transmit along two different beams</w:t>
            </w:r>
          </w:p>
          <w:p w14:paraId="35F42B5E" w14:textId="76A7B992" w:rsidR="005953EA" w:rsidRPr="005953EA" w:rsidRDefault="005953EA" w:rsidP="00B60550">
            <w:pPr>
              <w:snapToGrid w:val="0"/>
              <w:jc w:val="both"/>
              <w:rPr>
                <w:rFonts w:eastAsia="맑은 고딕"/>
                <w:sz w:val="20"/>
                <w:szCs w:val="20"/>
              </w:rPr>
            </w:pPr>
          </w:p>
        </w:tc>
      </w:tr>
    </w:tbl>
    <w:p w14:paraId="793F4195" w14:textId="0AC3EF16" w:rsidR="005953EA" w:rsidRDefault="005953EA" w:rsidP="00B60550">
      <w:pPr>
        <w:snapToGrid w:val="0"/>
        <w:jc w:val="both"/>
        <w:rPr>
          <w:rFonts w:eastAsia="맑은 고딕"/>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맑은 고딕"/>
                <w:bCs/>
                <w:sz w:val="18"/>
                <w:szCs w:val="18"/>
              </w:rPr>
            </w:pPr>
            <w:r w:rsidRPr="000A5158">
              <w:rPr>
                <w:rFonts w:eastAsia="맑은 고딕" w:hint="eastAsia"/>
                <w:bCs/>
                <w:sz w:val="18"/>
                <w:szCs w:val="18"/>
              </w:rPr>
              <w:t>Support combo proposal, which is a good compromise.</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4FD9C4BC" w:rsidR="00484050" w:rsidRPr="001C5353" w:rsidRDefault="00484050" w:rsidP="00ED4B93">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4710" w14:textId="64814FA8" w:rsidR="000B3B3B" w:rsidRPr="00ED4B93" w:rsidRDefault="000B3B3B" w:rsidP="00ED4B93">
            <w:pPr>
              <w:snapToGrid w:val="0"/>
              <w:rPr>
                <w:rFonts w:eastAsia="맑은 고딕"/>
                <w:sz w:val="18"/>
                <w:szCs w:val="18"/>
              </w:rPr>
            </w:pP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4441A1C" w:rsidR="00CD2E4B" w:rsidRDefault="00CD2E4B" w:rsidP="00CD2E4B">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705D3EEE" w:rsidR="00CD2E4B" w:rsidRPr="000C38F9" w:rsidRDefault="00CD2E4B" w:rsidP="00CD2E4B">
            <w:pPr>
              <w:snapToGrid w:val="0"/>
              <w:rPr>
                <w:rFonts w:eastAsia="맑은 고딕"/>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바탕"/>
                <w:sz w:val="18"/>
                <w:szCs w:val="20"/>
                <w:lang w:eastAsia="en-US"/>
              </w:rPr>
            </w:pPr>
            <w:r>
              <w:rPr>
                <w:rFonts w:eastAsia="바탕"/>
                <w:b/>
                <w:sz w:val="18"/>
                <w:szCs w:val="20"/>
                <w:lang w:eastAsia="en-US"/>
              </w:rPr>
              <w:t>Alt1 (X ms)</w:t>
            </w:r>
            <w:r>
              <w:rPr>
                <w:rFonts w:eastAsia="바탕"/>
                <w:sz w:val="18"/>
                <w:szCs w:val="20"/>
                <w:lang w:eastAsia="en-US"/>
              </w:rPr>
              <w:t xml:space="preserve">: </w:t>
            </w:r>
            <w:r w:rsidR="006615EB">
              <w:rPr>
                <w:rFonts w:eastAsia="바탕"/>
                <w:sz w:val="18"/>
                <w:szCs w:val="20"/>
                <w:lang w:eastAsia="en-US"/>
              </w:rPr>
              <w:t>Apple, OPPO, CATT, ZTE</w:t>
            </w:r>
          </w:p>
          <w:p w14:paraId="3A85DC55" w14:textId="77777777" w:rsidR="00AB4984" w:rsidRDefault="00AB4984" w:rsidP="00D9596D">
            <w:pPr>
              <w:snapToGrid w:val="0"/>
              <w:jc w:val="both"/>
              <w:rPr>
                <w:rFonts w:eastAsia="바탕"/>
                <w:sz w:val="18"/>
                <w:szCs w:val="20"/>
                <w:lang w:eastAsia="en-US"/>
              </w:rPr>
            </w:pPr>
          </w:p>
          <w:p w14:paraId="3C627D53" w14:textId="56CB0389" w:rsidR="00AB4984" w:rsidRPr="00BE1A78" w:rsidRDefault="00AB4984" w:rsidP="006615EB">
            <w:pPr>
              <w:snapToGrid w:val="0"/>
              <w:jc w:val="both"/>
              <w:rPr>
                <w:rFonts w:eastAsia="바탕"/>
                <w:b/>
                <w:sz w:val="18"/>
                <w:szCs w:val="20"/>
                <w:lang w:eastAsia="en-US"/>
              </w:rPr>
            </w:pPr>
            <w:r w:rsidRPr="00AB4984">
              <w:rPr>
                <w:rFonts w:eastAsia="바탕"/>
                <w:b/>
                <w:sz w:val="18"/>
                <w:szCs w:val="20"/>
                <w:lang w:eastAsia="en-US"/>
              </w:rPr>
              <w:t>Alt2 (Y symbols</w:t>
            </w:r>
            <w:r>
              <w:rPr>
                <w:rFonts w:eastAsia="바탕"/>
                <w:sz w:val="18"/>
                <w:szCs w:val="20"/>
                <w:lang w:eastAsia="en-US"/>
              </w:rPr>
              <w:t xml:space="preserve">): Ericsson, Samsung, Qualcomm, </w:t>
            </w:r>
            <w:r w:rsidR="006615EB">
              <w:rPr>
                <w:rFonts w:eastAsia="바탕"/>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바탕"/>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바탕"/>
                <w:sz w:val="18"/>
                <w:szCs w:val="20"/>
                <w:lang w:eastAsia="en-US"/>
              </w:rPr>
              <w:t xml:space="preserve"> MTK, Xiaomi, Nokia/NSB,   </w:t>
            </w:r>
          </w:p>
          <w:p w14:paraId="251C7C5A" w14:textId="6F1734DD" w:rsidR="00AB4984" w:rsidRDefault="00AB4984" w:rsidP="00D9596D">
            <w:pPr>
              <w:snapToGrid w:val="0"/>
              <w:jc w:val="both"/>
              <w:rPr>
                <w:rFonts w:eastAsia="바탕"/>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바탕"/>
                <w:sz w:val="18"/>
                <w:szCs w:val="20"/>
                <w:lang w:eastAsia="en-US"/>
              </w:rPr>
            </w:pPr>
          </w:p>
          <w:p w14:paraId="38BEF155" w14:textId="27AB5B8F" w:rsidR="00AB4984" w:rsidRDefault="00AB4984" w:rsidP="00AB4984">
            <w:pPr>
              <w:snapToGrid w:val="0"/>
              <w:jc w:val="both"/>
              <w:rPr>
                <w:rFonts w:eastAsia="바탕"/>
                <w:sz w:val="18"/>
                <w:szCs w:val="20"/>
                <w:lang w:eastAsia="en-US"/>
              </w:rPr>
            </w:pPr>
            <w:r>
              <w:rPr>
                <w:rFonts w:eastAsia="바탕"/>
                <w:b/>
                <w:sz w:val="18"/>
                <w:szCs w:val="20"/>
                <w:lang w:eastAsia="en-US"/>
              </w:rPr>
              <w:t>BAT for smallest SCS among CCs</w:t>
            </w:r>
            <w:r>
              <w:rPr>
                <w:rFonts w:eastAsia="바탕"/>
                <w:sz w:val="18"/>
                <w:szCs w:val="20"/>
                <w:lang w:eastAsia="en-US"/>
              </w:rPr>
              <w:t>: Qualcomm</w:t>
            </w:r>
            <w:r w:rsidR="006615EB">
              <w:rPr>
                <w:rFonts w:eastAsia="바탕"/>
                <w:sz w:val="18"/>
                <w:szCs w:val="20"/>
                <w:lang w:eastAsia="en-US"/>
              </w:rPr>
              <w:t>, Intel, Lenovo/MotM, Sony</w:t>
            </w:r>
          </w:p>
          <w:p w14:paraId="13C6E492" w14:textId="77777777" w:rsidR="006615EB" w:rsidRDefault="006615EB" w:rsidP="00AB4984">
            <w:pPr>
              <w:snapToGrid w:val="0"/>
              <w:jc w:val="both"/>
              <w:rPr>
                <w:rFonts w:eastAsia="바탕"/>
                <w:sz w:val="18"/>
                <w:szCs w:val="20"/>
                <w:lang w:eastAsia="en-US"/>
              </w:rPr>
            </w:pPr>
          </w:p>
          <w:p w14:paraId="2270A26B" w14:textId="5A42E0C9" w:rsidR="006615EB" w:rsidRDefault="006615EB" w:rsidP="00AB4984">
            <w:pPr>
              <w:snapToGrid w:val="0"/>
              <w:jc w:val="both"/>
              <w:rPr>
                <w:rFonts w:eastAsia="바탕"/>
                <w:sz w:val="18"/>
                <w:szCs w:val="20"/>
                <w:lang w:eastAsia="en-US"/>
              </w:rPr>
            </w:pPr>
            <w:r w:rsidRPr="006615EB">
              <w:rPr>
                <w:rFonts w:eastAsia="바탕"/>
                <w:b/>
                <w:sz w:val="18"/>
                <w:szCs w:val="20"/>
                <w:lang w:eastAsia="en-US"/>
              </w:rPr>
              <w:t>One value for all CCs</w:t>
            </w:r>
            <w:r>
              <w:rPr>
                <w:rFonts w:eastAsia="바탕"/>
                <w:sz w:val="18"/>
                <w:szCs w:val="20"/>
                <w:lang w:eastAsia="en-US"/>
              </w:rPr>
              <w:t>: Apple, Spreadtrum, OPPO, CATT, ZTE</w:t>
            </w:r>
          </w:p>
          <w:p w14:paraId="4CDF9370" w14:textId="77777777" w:rsidR="006615EB" w:rsidRDefault="006615EB" w:rsidP="00AB4984">
            <w:pPr>
              <w:snapToGrid w:val="0"/>
              <w:jc w:val="both"/>
              <w:rPr>
                <w:rFonts w:eastAsia="바탕"/>
                <w:sz w:val="18"/>
                <w:szCs w:val="20"/>
                <w:lang w:eastAsia="en-US"/>
              </w:rPr>
            </w:pPr>
          </w:p>
          <w:p w14:paraId="50DB4815" w14:textId="1FF2684C" w:rsidR="006615EB" w:rsidRPr="007217CD" w:rsidRDefault="006615EB" w:rsidP="00AB4984">
            <w:pPr>
              <w:snapToGrid w:val="0"/>
              <w:jc w:val="both"/>
              <w:rPr>
                <w:rFonts w:eastAsia="바탕"/>
                <w:sz w:val="18"/>
                <w:szCs w:val="20"/>
                <w:lang w:eastAsia="en-US"/>
              </w:rPr>
            </w:pPr>
            <w:r w:rsidRPr="006615EB">
              <w:rPr>
                <w:rFonts w:eastAsia="바탕"/>
                <w:b/>
                <w:sz w:val="18"/>
                <w:szCs w:val="20"/>
                <w:lang w:eastAsia="en-US"/>
              </w:rPr>
              <w:t>BAT for CC with largest delay</w:t>
            </w:r>
            <w:r>
              <w:rPr>
                <w:rFonts w:eastAsia="바탕"/>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맑은 고딕"/>
                <w:sz w:val="18"/>
                <w:szCs w:val="18"/>
              </w:rPr>
            </w:pPr>
            <w:r>
              <w:rPr>
                <w:rFonts w:eastAsia="맑은 고딕"/>
                <w:sz w:val="18"/>
                <w:szCs w:val="18"/>
              </w:rPr>
              <w:t>OK</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111BA5A" w:rsidR="00627C83" w:rsidRDefault="00627C83" w:rsidP="00627C8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3B6A62C" w:rsidR="00627C83" w:rsidRDefault="00627C83" w:rsidP="00627C83">
            <w:pPr>
              <w:snapToGrid w:val="0"/>
              <w:rPr>
                <w:rFonts w:eastAsia="DengXian"/>
                <w:sz w:val="18"/>
                <w:szCs w:val="18"/>
              </w:rPr>
            </w:pP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2BBBE86" w:rsidR="005A6195" w:rsidRDefault="005A6195" w:rsidP="005A619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26FCC4" w:rsidR="005A6195" w:rsidRDefault="005A6195" w:rsidP="005A6195">
            <w:pPr>
              <w:snapToGrid w:val="0"/>
              <w:rPr>
                <w:rFonts w:eastAsia="DengXian"/>
                <w:sz w:val="18"/>
                <w:szCs w:val="18"/>
              </w:rPr>
            </w:pP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8C04B1" w:rsidRDefault="008C04B1" w:rsidP="008C04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8C04B1" w:rsidRDefault="008C04B1" w:rsidP="008C04B1">
            <w:pPr>
              <w:snapToGrid w:val="0"/>
              <w:rPr>
                <w:rFonts w:eastAsia="DengXian"/>
                <w:sz w:val="18"/>
                <w:szCs w:val="18"/>
                <w:lang w:eastAsia="zh-CN"/>
              </w:rPr>
            </w:pP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B36596" w:rsidRDefault="00B36596" w:rsidP="00B3659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B36596" w:rsidRDefault="00B36596" w:rsidP="00B36596">
            <w:pPr>
              <w:snapToGrid w:val="0"/>
              <w:rPr>
                <w:rFonts w:eastAsia="DengXian"/>
                <w:sz w:val="18"/>
                <w:szCs w:val="18"/>
                <w:lang w:eastAsia="zh-CN"/>
              </w:rPr>
            </w:pP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9B41E8" w:rsidRDefault="009B41E8" w:rsidP="009B41E8">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237A4F" w:rsidRDefault="00237A4F" w:rsidP="00FD637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237A4F" w:rsidRPr="00237A4F" w:rsidRDefault="00237A4F" w:rsidP="00FD6373">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맑은 고딕"/>
                <w:bCs/>
                <w:sz w:val="18"/>
                <w:szCs w:val="18"/>
                <w:lang w:eastAsia="en-US"/>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맑은 고딕"/>
          <w:bCs/>
          <w:sz w:val="20"/>
          <w:szCs w:val="20"/>
        </w:rPr>
        <w:t xml:space="preserve"> </w:t>
      </w:r>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맑은 고딕"/>
          <w:bCs/>
          <w:sz w:val="20"/>
          <w:szCs w:val="20"/>
        </w:rPr>
        <w:t>Support c</w:t>
      </w:r>
      <w:r w:rsidR="001E206D" w:rsidRPr="005174AE">
        <w:rPr>
          <w:rFonts w:eastAsia="맑은 고딕"/>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맑은 고딕"/>
                <w:sz w:val="18"/>
                <w:szCs w:val="18"/>
              </w:rPr>
            </w:pPr>
            <w:r>
              <w:rPr>
                <w:rFonts w:eastAsia="맑은 고딕"/>
                <w:sz w:val="18"/>
                <w:szCs w:val="18"/>
              </w:rPr>
              <w:t>The f</w:t>
            </w:r>
            <w:r>
              <w:rPr>
                <w:rFonts w:eastAsia="맑은 고딕" w:hint="eastAsia"/>
                <w:sz w:val="18"/>
                <w:szCs w:val="18"/>
              </w:rPr>
              <w:t xml:space="preserve">irst bullet </w:t>
            </w:r>
            <w:r w:rsidR="000138C3">
              <w:rPr>
                <w:rFonts w:eastAsia="맑은 고딕"/>
                <w:sz w:val="18"/>
                <w:szCs w:val="18"/>
              </w:rPr>
              <w:t>i</w:t>
            </w:r>
            <w:r>
              <w:rPr>
                <w:rFonts w:eastAsia="맑은 고딕" w:hint="eastAsia"/>
                <w:sz w:val="18"/>
                <w:szCs w:val="18"/>
              </w:rPr>
              <w:t xml:space="preserve">s too strong since it </w:t>
            </w:r>
            <w:r w:rsidR="000138C3">
              <w:rPr>
                <w:rFonts w:eastAsia="맑은 고딕"/>
                <w:sz w:val="18"/>
                <w:szCs w:val="18"/>
              </w:rPr>
              <w:t xml:space="preserve">could mean that it </w:t>
            </w:r>
            <w:r>
              <w:rPr>
                <w:rFonts w:eastAsia="맑은 고딕" w:hint="eastAsia"/>
                <w:sz w:val="18"/>
                <w:szCs w:val="18"/>
              </w:rPr>
              <w:t xml:space="preserve">precludes all </w:t>
            </w:r>
            <w:r w:rsidR="000138C3">
              <w:rPr>
                <w:rFonts w:eastAsia="맑은 고딕"/>
                <w:sz w:val="18"/>
                <w:szCs w:val="18"/>
              </w:rPr>
              <w:t xml:space="preserve">different types of </w:t>
            </w:r>
            <w:r>
              <w:rPr>
                <w:rFonts w:eastAsia="맑은 고딕" w:hint="eastAsia"/>
                <w:sz w:val="18"/>
                <w:szCs w:val="18"/>
              </w:rPr>
              <w:t xml:space="preserve">UE reporting </w:t>
            </w:r>
            <w:r>
              <w:rPr>
                <w:rFonts w:eastAsia="맑은 고딕"/>
                <w:sz w:val="18"/>
                <w:szCs w:val="18"/>
              </w:rPr>
              <w:t xml:space="preserve">for MPUE </w:t>
            </w:r>
            <w:r w:rsidR="000138C3">
              <w:rPr>
                <w:rFonts w:eastAsia="맑은 고딕"/>
                <w:sz w:val="18"/>
                <w:szCs w:val="18"/>
              </w:rPr>
              <w:t xml:space="preserve">(captured in the agreement @104b-e below) </w:t>
            </w:r>
            <w:r>
              <w:rPr>
                <w:rFonts w:eastAsia="맑은 고딕" w:hint="eastAsia"/>
                <w:sz w:val="18"/>
                <w:szCs w:val="18"/>
              </w:rPr>
              <w:t xml:space="preserve">and could </w:t>
            </w:r>
            <w:r>
              <w:rPr>
                <w:rFonts w:eastAsia="맑은 고딕"/>
                <w:sz w:val="18"/>
                <w:szCs w:val="18"/>
              </w:rPr>
              <w:t>contradict</w:t>
            </w:r>
            <w:r w:rsidR="000138C3">
              <w:rPr>
                <w:rFonts w:eastAsia="맑은 고딕"/>
                <w:sz w:val="18"/>
                <w:szCs w:val="18"/>
              </w:rPr>
              <w:t xml:space="preserve"> with</w:t>
            </w:r>
            <w:r>
              <w:rPr>
                <w:rFonts w:eastAsia="맑은 고딕" w:hint="eastAsia"/>
                <w:sz w:val="18"/>
                <w:szCs w:val="18"/>
              </w:rPr>
              <w:t xml:space="preserve"> </w:t>
            </w:r>
            <w:r>
              <w:rPr>
                <w:rFonts w:eastAsia="맑은 고딕"/>
                <w:sz w:val="18"/>
                <w:szCs w:val="18"/>
              </w:rPr>
              <w:t>the FFS point</w:t>
            </w:r>
            <w:r w:rsidR="000138C3">
              <w:rPr>
                <w:rFonts w:eastAsia="맑은 고딕"/>
                <w:sz w:val="18"/>
                <w:szCs w:val="18"/>
              </w:rPr>
              <w:t>, which is a</w:t>
            </w:r>
            <w:r>
              <w:rPr>
                <w:rFonts w:eastAsia="맑은 고딕"/>
                <w:sz w:val="18"/>
                <w:szCs w:val="18"/>
              </w:rPr>
              <w:t xml:space="preserve"> UE reporting. </w:t>
            </w:r>
            <w:r>
              <w:rPr>
                <w:rFonts w:eastAsia="맑은 고딕" w:hint="eastAsia"/>
                <w:sz w:val="18"/>
                <w:szCs w:val="18"/>
              </w:rPr>
              <w:t>W</w:t>
            </w:r>
            <w:r>
              <w:rPr>
                <w:rFonts w:eastAsia="맑은 고딕"/>
                <w:sz w:val="18"/>
                <w:szCs w:val="18"/>
              </w:rPr>
              <w:t xml:space="preserve">e could </w:t>
            </w:r>
            <w:r w:rsidR="000138C3">
              <w:rPr>
                <w:rFonts w:eastAsia="맑은 고딕"/>
                <w:sz w:val="18"/>
                <w:szCs w:val="18"/>
              </w:rPr>
              <w:t>accept the proposal</w:t>
            </w:r>
            <w:r>
              <w:rPr>
                <w:rFonts w:eastAsia="맑은 고딕"/>
                <w:sz w:val="18"/>
                <w:szCs w:val="18"/>
              </w:rPr>
              <w:t xml:space="preserve"> if the first bullet is </w:t>
            </w:r>
            <w:r w:rsidR="000138C3">
              <w:rPr>
                <w:rFonts w:eastAsia="맑은 고딕"/>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맑은 고딕"/>
                <w:sz w:val="18"/>
                <w:szCs w:val="18"/>
              </w:rPr>
            </w:pPr>
          </w:p>
          <w:p w14:paraId="720BF93F" w14:textId="74120FFC" w:rsidR="000138C3" w:rsidRPr="000138C3" w:rsidRDefault="000138C3" w:rsidP="000138C3">
            <w:pPr>
              <w:snapToGrid w:val="0"/>
              <w:rPr>
                <w:rFonts w:eastAsia="맑은 고딕"/>
                <w:bCs/>
                <w:sz w:val="18"/>
                <w:szCs w:val="18"/>
                <w:lang w:val="en-GB"/>
              </w:rPr>
            </w:pPr>
            <w:r w:rsidRPr="000138C3">
              <w:rPr>
                <w:rFonts w:eastAsia="맑은 고딕"/>
                <w:b/>
                <w:bCs/>
                <w:sz w:val="18"/>
                <w:szCs w:val="18"/>
                <w:lang w:val="en-GB"/>
              </w:rPr>
              <w:t>Agreement</w:t>
            </w:r>
            <w:r>
              <w:rPr>
                <w:rFonts w:eastAsia="맑은 고딕"/>
                <w:b/>
                <w:bCs/>
                <w:sz w:val="18"/>
                <w:szCs w:val="18"/>
                <w:lang w:val="en-GB"/>
              </w:rPr>
              <w:t xml:space="preserve"> @104bis-e</w:t>
            </w:r>
          </w:p>
          <w:p w14:paraId="5065E929" w14:textId="77777777" w:rsidR="000138C3" w:rsidRPr="000138C3" w:rsidRDefault="000138C3" w:rsidP="000138C3">
            <w:pPr>
              <w:snapToGrid w:val="0"/>
              <w:rPr>
                <w:rFonts w:eastAsia="맑은 고딕"/>
                <w:bCs/>
                <w:sz w:val="18"/>
                <w:szCs w:val="18"/>
                <w:lang w:val="en-GB"/>
              </w:rPr>
            </w:pPr>
            <w:r w:rsidRPr="000138C3">
              <w:rPr>
                <w:rFonts w:eastAsia="맑은 고딕"/>
                <w:sz w:val="18"/>
                <w:szCs w:val="18"/>
                <w:lang w:val="en-GB"/>
              </w:rPr>
              <w:t xml:space="preserve">On Rel.17 enhancements for MPUE, </w:t>
            </w:r>
            <w:r w:rsidRPr="000138C3">
              <w:rPr>
                <w:rFonts w:eastAsia="맑은 고딕"/>
                <w:bCs/>
                <w:sz w:val="18"/>
                <w:szCs w:val="18"/>
                <w:lang w:val="en-GB"/>
              </w:rPr>
              <w:t xml:space="preserve">investigate and, </w:t>
            </w:r>
            <w:r w:rsidRPr="000138C3">
              <w:rPr>
                <w:rFonts w:eastAsia="맑은 고딕"/>
                <w:b/>
                <w:sz w:val="18"/>
                <w:szCs w:val="18"/>
                <w:u w:val="single"/>
                <w:lang w:val="en-GB"/>
              </w:rPr>
              <w:t>if needed</w:t>
            </w:r>
            <w:r w:rsidRPr="000138C3">
              <w:rPr>
                <w:rFonts w:eastAsia="맑은 고딕"/>
                <w:bCs/>
                <w:sz w:val="18"/>
                <w:szCs w:val="18"/>
                <w:lang w:val="en-GB"/>
              </w:rPr>
              <w:t>, specify the following:</w:t>
            </w:r>
          </w:p>
          <w:p w14:paraId="70AEACB9"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bCs/>
                <w:sz w:val="18"/>
                <w:szCs w:val="18"/>
                <w:lang w:val="en-GB"/>
              </w:rPr>
              <w:lastRenderedPageBreak/>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bCs/>
                <w:sz w:val="18"/>
                <w:szCs w:val="18"/>
                <w:lang w:val="en-GB"/>
              </w:rPr>
              <w:t xml:space="preserve">Information related to panel </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w:t>
            </w:r>
          </w:p>
          <w:p w14:paraId="59DE011F"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hint="eastAsia"/>
                <w:bCs/>
                <w:sz w:val="18"/>
                <w:szCs w:val="18"/>
                <w:lang w:val="en-GB"/>
              </w:rPr>
              <w:t>UE report</w:t>
            </w:r>
            <w:r w:rsidRPr="000138C3">
              <w:rPr>
                <w:rFonts w:eastAsia="맑은 고딕"/>
                <w:bCs/>
                <w:sz w:val="18"/>
                <w:szCs w:val="18"/>
                <w:lang w:val="en-GB"/>
              </w:rPr>
              <w:t>ing</w:t>
            </w:r>
            <w:r w:rsidRPr="000138C3">
              <w:rPr>
                <w:rFonts w:eastAsia="맑은 고딕" w:hint="eastAsia"/>
                <w:bCs/>
                <w:sz w:val="18"/>
                <w:szCs w:val="18"/>
                <w:lang w:val="en-GB"/>
              </w:rPr>
              <w:t xml:space="preserve"> information related to</w:t>
            </w:r>
            <w:r w:rsidRPr="000138C3">
              <w:rPr>
                <w:rFonts w:eastAsia="맑은 고딕"/>
                <w:bCs/>
                <w:sz w:val="18"/>
                <w:szCs w:val="18"/>
                <w:lang w:val="en-GB"/>
              </w:rPr>
              <w:t xml:space="preserve">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bCs/>
                <w:sz w:val="18"/>
                <w:szCs w:val="18"/>
                <w:lang w:val="en-GB"/>
              </w:rPr>
              <w:t>UE reporting of panel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맑은 고딕"/>
                <w:bCs/>
                <w:sz w:val="18"/>
                <w:szCs w:val="18"/>
                <w:lang w:val="en-GB"/>
              </w:rPr>
            </w:pPr>
            <w:r w:rsidRPr="000138C3">
              <w:rPr>
                <w:rFonts w:eastAsia="맑은 고딕" w:hint="eastAsia"/>
                <w:bCs/>
                <w:sz w:val="18"/>
                <w:szCs w:val="18"/>
                <w:lang w:val="en-GB"/>
              </w:rPr>
              <w:t xml:space="preserve">FFS: </w:t>
            </w:r>
            <w:r w:rsidRPr="000138C3">
              <w:rPr>
                <w:rFonts w:eastAsia="맑은 고딕"/>
                <w:bCs/>
                <w:sz w:val="18"/>
                <w:szCs w:val="18"/>
                <w:lang w:val="en-GB"/>
              </w:rPr>
              <w:t>details of this information (e.g.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bCs/>
                <w:sz w:val="18"/>
                <w:szCs w:val="18"/>
                <w:lang w:val="en-GB"/>
              </w:rPr>
              <w:t>UE-reported information in MPE report (if supported) is used to indicate the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맑은 고딕"/>
                <w:bCs/>
                <w:sz w:val="18"/>
                <w:szCs w:val="18"/>
                <w:lang w:val="en-GB"/>
              </w:rPr>
            </w:pPr>
            <w:r w:rsidRPr="000138C3">
              <w:rPr>
                <w:rFonts w:eastAsia="맑은 고딕"/>
                <w:bCs/>
                <w:sz w:val="18"/>
                <w:szCs w:val="18"/>
                <w:lang w:val="en-GB"/>
              </w:rPr>
              <w:t>Note</w:t>
            </w:r>
            <w:r w:rsidRPr="000138C3">
              <w:rPr>
                <w:rFonts w:eastAsia="맑은 고딕" w:hint="eastAsia"/>
                <w:bCs/>
                <w:sz w:val="18"/>
                <w:szCs w:val="18"/>
                <w:lang w:val="en-GB"/>
              </w:rPr>
              <w:t xml:space="preserve">: This will depend on </w:t>
            </w:r>
            <w:r w:rsidRPr="000138C3">
              <w:rPr>
                <w:rFonts w:eastAsia="맑은 고딕"/>
                <w:bCs/>
                <w:sz w:val="18"/>
                <w:szCs w:val="18"/>
                <w:lang w:val="en-GB"/>
              </w:rPr>
              <w:t xml:space="preserve">the final outcome of </w:t>
            </w:r>
            <w:r w:rsidRPr="000138C3">
              <w:rPr>
                <w:rFonts w:eastAsia="맑은 고딕" w:hint="eastAsia"/>
                <w:bCs/>
                <w:sz w:val="18"/>
                <w:szCs w:val="18"/>
                <w:lang w:val="en-GB"/>
              </w:rPr>
              <w:t xml:space="preserve">whether </w:t>
            </w:r>
            <w:r w:rsidRPr="000138C3">
              <w:rPr>
                <w:rFonts w:eastAsia="맑은 고딕"/>
                <w:sz w:val="18"/>
                <w:szCs w:val="18"/>
                <w:lang w:val="en-GB"/>
              </w:rPr>
              <w:t xml:space="preserve">specification support for </w:t>
            </w:r>
            <w:r w:rsidRPr="000138C3">
              <w:rPr>
                <w:rFonts w:eastAsia="맑은 고딕" w:hint="eastAsia"/>
                <w:sz w:val="18"/>
                <w:szCs w:val="18"/>
                <w:lang w:val="en-GB"/>
              </w:rPr>
              <w:t xml:space="preserve">UE-initiated panel </w:t>
            </w:r>
            <w:r w:rsidRPr="000138C3">
              <w:rPr>
                <w:rFonts w:eastAsia="맑은 고딕"/>
                <w:bCs/>
                <w:sz w:val="18"/>
                <w:szCs w:val="18"/>
                <w:lang w:val="en-GB"/>
              </w:rPr>
              <w:t>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is agreed </w:t>
            </w:r>
          </w:p>
          <w:p w14:paraId="43F5DDA7" w14:textId="162F79B5" w:rsidR="000138C3" w:rsidRPr="000138C3" w:rsidRDefault="000138C3" w:rsidP="000A5158">
            <w:pPr>
              <w:snapToGrid w:val="0"/>
              <w:rPr>
                <w:rFonts w:eastAsia="맑은 고딕"/>
                <w:sz w:val="18"/>
                <w:szCs w:val="18"/>
                <w:lang w:val="en-GB"/>
              </w:rPr>
            </w:pP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468C9E7"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6E4E7EF1" w:rsidR="00B47FD7" w:rsidRPr="00B30E6F" w:rsidRDefault="00B47FD7" w:rsidP="00A6343F">
            <w:pPr>
              <w:snapToGrid w:val="0"/>
              <w:rPr>
                <w:sz w:val="20"/>
              </w:rPr>
            </w:pP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174E7E0" w:rsidR="0030694E" w:rsidRPr="00123205" w:rsidRDefault="0030694E" w:rsidP="0030694E">
            <w:pPr>
              <w:snapToGrid w:val="0"/>
              <w:rPr>
                <w:rFonts w:eastAsia="맑은 고딕"/>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5316818D" w:rsidR="0030694E" w:rsidRPr="00123205" w:rsidRDefault="0030694E" w:rsidP="0030694E">
            <w:pPr>
              <w:rPr>
                <w:rFonts w:eastAsia="맑은 고딕"/>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바탕"/>
                <w:sz w:val="18"/>
                <w:szCs w:val="20"/>
                <w:lang w:eastAsia="en-US"/>
              </w:rPr>
            </w:pPr>
            <w:r>
              <w:rPr>
                <w:rFonts w:eastAsia="바탕"/>
                <w:b/>
                <w:sz w:val="18"/>
                <w:szCs w:val="20"/>
                <w:lang w:eastAsia="en-US"/>
              </w:rPr>
              <w:t xml:space="preserve">Support: </w:t>
            </w:r>
            <w:r w:rsidRPr="00436238">
              <w:rPr>
                <w:rFonts w:eastAsia="바탕"/>
                <w:sz w:val="18"/>
                <w:szCs w:val="20"/>
                <w:lang w:eastAsia="en-US"/>
              </w:rPr>
              <w:t xml:space="preserve">Qualcomm, </w:t>
            </w:r>
            <w:r>
              <w:rPr>
                <w:rFonts w:eastAsia="바탕"/>
                <w:sz w:val="18"/>
                <w:szCs w:val="20"/>
                <w:lang w:eastAsia="en-US"/>
              </w:rPr>
              <w:t xml:space="preserve">NTT Docomo, Spreadtrum, Lenovo/MotM, OPPO, Xiaomi, vivo, ZTE, CMCC, Sony, </w:t>
            </w:r>
            <w:r w:rsidR="000C1743">
              <w:rPr>
                <w:rFonts w:eastAsia="바탕"/>
                <w:sz w:val="18"/>
                <w:szCs w:val="20"/>
                <w:lang w:eastAsia="en-US"/>
              </w:rPr>
              <w:t>Nokia/NSB, Samsung</w:t>
            </w:r>
          </w:p>
          <w:p w14:paraId="55CA260D" w14:textId="77777777" w:rsidR="00436238" w:rsidRDefault="00436238" w:rsidP="00D9596D">
            <w:pPr>
              <w:snapToGrid w:val="0"/>
              <w:jc w:val="both"/>
              <w:rPr>
                <w:rFonts w:eastAsia="바탕"/>
                <w:b/>
                <w:sz w:val="18"/>
                <w:szCs w:val="20"/>
                <w:lang w:eastAsia="en-US"/>
              </w:rPr>
            </w:pPr>
          </w:p>
          <w:p w14:paraId="6AC5837E" w14:textId="25B7953F" w:rsidR="00436238" w:rsidRPr="00BE1A78" w:rsidRDefault="00436238" w:rsidP="000C1743">
            <w:pPr>
              <w:snapToGrid w:val="0"/>
              <w:jc w:val="both"/>
              <w:rPr>
                <w:rFonts w:eastAsia="바탕"/>
                <w:b/>
                <w:sz w:val="18"/>
                <w:szCs w:val="20"/>
                <w:lang w:eastAsia="en-US"/>
              </w:rPr>
            </w:pPr>
            <w:r>
              <w:rPr>
                <w:rFonts w:eastAsia="바탕"/>
                <w:b/>
                <w:sz w:val="18"/>
                <w:szCs w:val="20"/>
                <w:lang w:eastAsia="en-US"/>
              </w:rPr>
              <w:t xml:space="preserve">Not support: </w:t>
            </w:r>
            <w:r w:rsidRPr="00436238">
              <w:rPr>
                <w:rFonts w:eastAsia="바탕"/>
                <w:sz w:val="18"/>
                <w:szCs w:val="20"/>
                <w:lang w:eastAsia="en-US"/>
              </w:rPr>
              <w:t>Ericsson,</w:t>
            </w:r>
            <w:r>
              <w:rPr>
                <w:rFonts w:eastAsia="바탕"/>
                <w:sz w:val="18"/>
                <w:szCs w:val="20"/>
                <w:lang w:eastAsia="en-US"/>
              </w:rPr>
              <w:t xml:space="preserve"> Intel, Apple, MTK, CATT, LG, </w:t>
            </w:r>
            <w:r>
              <w:rPr>
                <w:rFonts w:eastAsia="바탕"/>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9CD9D3B"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82C628E"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A367C86" w:rsidR="00D11AD4" w:rsidRDefault="00D11AD4" w:rsidP="00EF7B5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7015AA63" w:rsidR="00B47FD7" w:rsidRPr="00B47FD7" w:rsidRDefault="00B47FD7" w:rsidP="0056292A">
            <w:pPr>
              <w:snapToGrid w:val="0"/>
              <w:rPr>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15701F" w:rsidRDefault="0015701F" w:rsidP="00105FC6">
            <w:pPr>
              <w:snapToGrid w:val="0"/>
              <w:rPr>
                <w:rFonts w:eastAsia="SimSun"/>
                <w:sz w:val="18"/>
                <w:szCs w:val="18"/>
                <w:lang w:eastAsia="zh-CN"/>
              </w:rPr>
            </w:pP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401692" w:rsidRDefault="00401692"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401692" w:rsidRDefault="00401692" w:rsidP="00105FC6">
            <w:pPr>
              <w:snapToGrid w:val="0"/>
              <w:rPr>
                <w:rFonts w:eastAsia="SimSun"/>
                <w:sz w:val="18"/>
                <w:szCs w:val="18"/>
                <w:lang w:eastAsia="zh-CN"/>
              </w:rPr>
            </w:pP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5A6195" w:rsidRDefault="005A6195" w:rsidP="005A6195">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5A6195" w:rsidRDefault="005A6195" w:rsidP="005A6195">
            <w:pPr>
              <w:snapToGrid w:val="0"/>
              <w:rPr>
                <w:rFonts w:eastAsia="SimSun"/>
                <w:sz w:val="18"/>
                <w:szCs w:val="18"/>
                <w:lang w:eastAsia="zh-CN"/>
              </w:rPr>
            </w:pP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C7303C" w:rsidRDefault="00C7303C" w:rsidP="00B01BF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B022ED" w:rsidRDefault="00B022ED" w:rsidP="00C7303C">
            <w:pPr>
              <w:snapToGrid w:val="0"/>
              <w:rPr>
                <w:rFonts w:eastAsia="SimSun"/>
                <w:sz w:val="18"/>
                <w:szCs w:val="18"/>
                <w:lang w:eastAsia="zh-CN"/>
              </w:rPr>
            </w:pPr>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374DCA" w:rsidRDefault="00374DCA" w:rsidP="00374DC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374DCA" w:rsidRDefault="00374DCA" w:rsidP="00C7303C">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D7E38" w14:textId="77777777" w:rsidR="00110C35" w:rsidRDefault="00110C35">
      <w:r>
        <w:separator/>
      </w:r>
    </w:p>
  </w:endnote>
  <w:endnote w:type="continuationSeparator" w:id="0">
    <w:p w14:paraId="0A7651C9" w14:textId="77777777" w:rsidR="00110C35" w:rsidRDefault="001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w:altName w:val="SimSun"/>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3D307" w14:textId="77777777" w:rsidR="00110C35" w:rsidRDefault="00110C35">
      <w:r>
        <w:rPr>
          <w:color w:val="000000"/>
        </w:rPr>
        <w:separator/>
      </w:r>
    </w:p>
  </w:footnote>
  <w:footnote w:type="continuationSeparator" w:id="0">
    <w:p w14:paraId="0B716D7D" w14:textId="77777777" w:rsidR="00110C35" w:rsidRDefault="0011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EC74F7"/>
    <w:multiLevelType w:val="hybridMultilevel"/>
    <w:tmpl w:val="CEB0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6"/>
  </w:num>
  <w:num w:numId="4">
    <w:abstractNumId w:val="17"/>
  </w:num>
  <w:num w:numId="5">
    <w:abstractNumId w:val="32"/>
  </w:num>
  <w:num w:numId="6">
    <w:abstractNumId w:val="9"/>
  </w:num>
  <w:num w:numId="7">
    <w:abstractNumId w:val="29"/>
  </w:num>
  <w:num w:numId="8">
    <w:abstractNumId w:val="15"/>
  </w:num>
  <w:num w:numId="9">
    <w:abstractNumId w:val="35"/>
  </w:num>
  <w:num w:numId="10">
    <w:abstractNumId w:val="31"/>
  </w:num>
  <w:num w:numId="11">
    <w:abstractNumId w:val="45"/>
  </w:num>
  <w:num w:numId="12">
    <w:abstractNumId w:val="25"/>
  </w:num>
  <w:num w:numId="13">
    <w:abstractNumId w:val="7"/>
  </w:num>
  <w:num w:numId="14">
    <w:abstractNumId w:val="11"/>
  </w:num>
  <w:num w:numId="15">
    <w:abstractNumId w:val="4"/>
  </w:num>
  <w:num w:numId="16">
    <w:abstractNumId w:val="10"/>
  </w:num>
  <w:num w:numId="17">
    <w:abstractNumId w:val="14"/>
  </w:num>
  <w:num w:numId="18">
    <w:abstractNumId w:val="41"/>
  </w:num>
  <w:num w:numId="19">
    <w:abstractNumId w:val="12"/>
  </w:num>
  <w:num w:numId="20">
    <w:abstractNumId w:val="38"/>
  </w:num>
  <w:num w:numId="21">
    <w:abstractNumId w:val="28"/>
  </w:num>
  <w:num w:numId="22">
    <w:abstractNumId w:val="40"/>
  </w:num>
  <w:num w:numId="23">
    <w:abstractNumId w:val="37"/>
  </w:num>
  <w:num w:numId="24">
    <w:abstractNumId w:val="30"/>
  </w:num>
  <w:num w:numId="25">
    <w:abstractNumId w:val="26"/>
  </w:num>
  <w:num w:numId="26">
    <w:abstractNumId w:val="16"/>
  </w:num>
  <w:num w:numId="27">
    <w:abstractNumId w:val="5"/>
  </w:num>
  <w:num w:numId="28">
    <w:abstractNumId w:val="42"/>
  </w:num>
  <w:num w:numId="29">
    <w:abstractNumId w:val="21"/>
  </w:num>
  <w:num w:numId="30">
    <w:abstractNumId w:val="24"/>
  </w:num>
  <w:num w:numId="31">
    <w:abstractNumId w:val="20"/>
  </w:num>
  <w:num w:numId="32">
    <w:abstractNumId w:val="13"/>
  </w:num>
  <w:num w:numId="33">
    <w:abstractNumId w:val="43"/>
  </w:num>
  <w:num w:numId="34">
    <w:abstractNumId w:val="22"/>
  </w:num>
  <w:num w:numId="35">
    <w:abstractNumId w:val="1"/>
  </w:num>
  <w:num w:numId="36">
    <w:abstractNumId w:val="33"/>
  </w:num>
  <w:num w:numId="37">
    <w:abstractNumId w:val="27"/>
  </w:num>
  <w:num w:numId="38">
    <w:abstractNumId w:val="18"/>
  </w:num>
  <w:num w:numId="39">
    <w:abstractNumId w:val="2"/>
  </w:num>
  <w:num w:numId="40">
    <w:abstractNumId w:val="34"/>
  </w:num>
  <w:num w:numId="41">
    <w:abstractNumId w:val="39"/>
  </w:num>
  <w:num w:numId="42">
    <w:abstractNumId w:val="36"/>
  </w:num>
  <w:num w:numId="43">
    <w:abstractNumId w:val="46"/>
  </w:num>
  <w:num w:numId="44">
    <w:abstractNumId w:val="23"/>
  </w:num>
  <w:num w:numId="45">
    <w:abstractNumId w:val="0"/>
  </w:num>
  <w:num w:numId="46">
    <w:abstractNumId w:val="3"/>
  </w:num>
  <w:num w:numId="4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清單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맑은 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BA01-6624-4E59-8B76-33DBD77E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13424</Characters>
  <Application>Microsoft Office Word</Application>
  <DocSecurity>0</DocSecurity>
  <Lines>111</Lines>
  <Paragraphs>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2021-08-20T10:01:00Z</dcterms:created>
  <dcterms:modified xsi:type="dcterms:W3CDTF">2021-08-20T10:01:00Z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