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143D6" w14:textId="4B9C9627" w:rsidR="00975774" w:rsidRPr="00A44619" w:rsidRDefault="0061107F">
      <w:pPr>
        <w:pStyle w:val="Header"/>
        <w:widowControl w:val="0"/>
        <w:rPr>
          <w:rFonts w:ascii="Arial" w:hAnsi="Arial" w:cs="Arial"/>
          <w:b/>
          <w:bCs/>
          <w:lang w:val="en-GB"/>
        </w:rPr>
      </w:pPr>
      <w:r w:rsidRPr="00A44619">
        <w:rPr>
          <w:rFonts w:ascii="Arial" w:hAnsi="Arial" w:cs="Arial"/>
          <w:b/>
          <w:bCs/>
          <w:lang w:val="en-GB"/>
        </w:rPr>
        <w:t>3GPP TSG RAN WG1#10</w:t>
      </w:r>
      <w:r w:rsidR="00666EEE">
        <w:rPr>
          <w:rFonts w:ascii="Arial" w:hAnsi="Arial" w:cs="Arial"/>
          <w:b/>
          <w:bCs/>
          <w:lang w:val="en-GB"/>
        </w:rPr>
        <w:t>6</w:t>
      </w:r>
      <w:r w:rsidRPr="00A44619">
        <w:rPr>
          <w:rFonts w:ascii="Arial" w:hAnsi="Arial" w:cs="Arial"/>
          <w:b/>
          <w:bCs/>
          <w:lang w:val="en-GB"/>
        </w:rPr>
        <w:tab/>
      </w:r>
      <w:r w:rsidRPr="00A44619">
        <w:rPr>
          <w:rFonts w:ascii="Arial" w:hAnsi="Arial" w:cs="Arial"/>
          <w:b/>
          <w:bCs/>
          <w:lang w:val="en-GB" w:eastAsia="zh-CN"/>
        </w:rPr>
        <w:tab/>
      </w:r>
      <w:r w:rsidRPr="00A44619">
        <w:rPr>
          <w:rFonts w:ascii="Arial" w:hAnsi="Arial" w:cs="Arial"/>
          <w:b/>
          <w:bCs/>
          <w:lang w:val="en-GB"/>
        </w:rPr>
        <w:t>R1-</w:t>
      </w:r>
      <w:r w:rsidR="001C222F" w:rsidRPr="00A44619">
        <w:rPr>
          <w:rFonts w:ascii="Arial" w:hAnsi="Arial" w:cs="Arial"/>
          <w:b/>
          <w:bCs/>
          <w:lang w:val="en-GB"/>
        </w:rPr>
        <w:t>2</w:t>
      </w:r>
      <w:r w:rsidR="00121804" w:rsidRPr="00A44619">
        <w:rPr>
          <w:rFonts w:ascii="Arial" w:hAnsi="Arial" w:cs="Arial"/>
          <w:b/>
          <w:bCs/>
          <w:lang w:val="en-GB"/>
        </w:rPr>
        <w:t>nnnnnn</w:t>
      </w:r>
    </w:p>
    <w:p w14:paraId="2B144F78" w14:textId="100853EE" w:rsidR="00975774" w:rsidRDefault="0061107F">
      <w:pPr>
        <w:pStyle w:val="Header"/>
        <w:widowControl w:val="0"/>
        <w:rPr>
          <w:rFonts w:ascii="Arial" w:hAnsi="Arial" w:cs="Arial"/>
          <w:b/>
          <w:bCs/>
          <w:lang w:val="en-GB"/>
        </w:rPr>
      </w:pPr>
      <w:r>
        <w:rPr>
          <w:rFonts w:ascii="Arial" w:hAnsi="Arial" w:cs="Arial"/>
          <w:b/>
          <w:bCs/>
          <w:lang w:val="en-GB"/>
        </w:rPr>
        <w:t xml:space="preserve">e-Meeting, </w:t>
      </w:r>
      <w:r w:rsidR="00666EEE" w:rsidRPr="00666EEE">
        <w:rPr>
          <w:rFonts w:ascii="Arial" w:hAnsi="Arial" w:cs="Arial"/>
          <w:b/>
          <w:bCs/>
          <w:lang w:val="en-GB"/>
        </w:rPr>
        <w:t>August 16th – 27th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Feature lead summary for NR-U DL Signals and Channels</w:t>
      </w:r>
    </w:p>
    <w:p w14:paraId="5AFDF8DA"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630A1727" w14:textId="674DE0D3" w:rsidR="00975774" w:rsidRDefault="0061107F" w:rsidP="00206C7B">
      <w:pPr>
        <w:pStyle w:val="Heading1"/>
      </w:pPr>
      <w:r>
        <w:t xml:space="preserve">Topic </w:t>
      </w:r>
      <w:r w:rsidR="000C33E5">
        <w:t>DL-</w:t>
      </w:r>
      <w:r>
        <w:t xml:space="preserve">A: </w:t>
      </w:r>
      <w:r w:rsidR="0057609E">
        <w:t>PDCCH Monitoring</w:t>
      </w:r>
    </w:p>
    <w:p w14:paraId="557E22B4" w14:textId="3B5CBD1F" w:rsidR="00815772" w:rsidRPr="00E73E0E" w:rsidRDefault="00815772" w:rsidP="00FD337D">
      <w:pPr>
        <w:pStyle w:val="Heading2"/>
      </w:pPr>
      <w:r>
        <w:t>Issue DL-A</w:t>
      </w:r>
      <w:r w:rsidR="00E23887">
        <w:t>1</w:t>
      </w:r>
      <w:r>
        <w:t xml:space="preserve"> (R1-210</w:t>
      </w:r>
      <w:r w:rsidR="00666EEE">
        <w:t>7484</w:t>
      </w:r>
      <w:r>
        <w:t xml:space="preserve">): </w:t>
      </w:r>
      <w:r w:rsidR="00666EEE">
        <w:t>SSSG Switching</w:t>
      </w:r>
    </w:p>
    <w:tbl>
      <w:tblPr>
        <w:tblStyle w:val="TableGrid"/>
        <w:tblW w:w="0" w:type="auto"/>
        <w:tblLook w:val="04A0" w:firstRow="1" w:lastRow="0" w:firstColumn="1" w:lastColumn="0" w:noHBand="0" w:noVBand="1"/>
      </w:tblPr>
      <w:tblGrid>
        <w:gridCol w:w="9307"/>
      </w:tblGrid>
      <w:tr w:rsidR="00815772" w14:paraId="0D1DA05F" w14:textId="77777777" w:rsidTr="007F08B2">
        <w:tc>
          <w:tcPr>
            <w:tcW w:w="9307" w:type="dxa"/>
          </w:tcPr>
          <w:p w14:paraId="63062B0E" w14:textId="77777777" w:rsidR="00815772" w:rsidRDefault="00815772" w:rsidP="007F08B2">
            <w:pPr>
              <w:rPr>
                <w:lang w:eastAsia="zh-CN"/>
              </w:rPr>
            </w:pPr>
            <w:r w:rsidRPr="00AE0B81">
              <w:rPr>
                <w:highlight w:val="yellow"/>
                <w:lang w:eastAsia="zh-CN"/>
              </w:rPr>
              <w:t>Background:</w:t>
            </w:r>
          </w:p>
          <w:p w14:paraId="7EAEA5DA" w14:textId="7F8A070C" w:rsidR="00815772" w:rsidRPr="00815772" w:rsidRDefault="00666EEE" w:rsidP="00FD337D">
            <w:pPr>
              <w:jc w:val="left"/>
              <w:rPr>
                <w:b/>
                <w:bCs/>
                <w:i/>
                <w:iCs/>
              </w:rPr>
            </w:pPr>
            <w:r w:rsidRPr="00666EEE">
              <w:rPr>
                <w:rFonts w:hint="eastAsia"/>
                <w:noProof/>
                <w:lang w:val="en-GB" w:eastAsia="ja-JP"/>
              </w:rPr>
              <w:t xml:space="preserve">According to the specification, </w:t>
            </w:r>
            <w:r w:rsidRPr="00666EEE">
              <w:rPr>
                <w:noProof/>
                <w:lang w:val="en-GB" w:eastAsia="ja-JP"/>
              </w:rPr>
              <w:t xml:space="preserve">if UE detects any DCI by monitoring a PDCCH candidate that is associated with a search space set belonging to SSSG#0, UE will switch monitoring from SSSG#0 to SSSG#1. However, sometimes, one PDCCH candidate may be associated with multiple search space sets. For example, when PDCCH monitoring occasions of the two search space sets are overlapped and the same CORESET is associated with them, UE will try to detect DCI on the PDCCH candidate(s) over the same CCEs according to the two search space sets. Then, we see there is an ambiguity </w:t>
            </w:r>
            <w:r w:rsidRPr="00666EEE">
              <w:rPr>
                <w:rFonts w:hint="eastAsia"/>
                <w:noProof/>
                <w:lang w:val="en-GB" w:eastAsia="ja-JP"/>
              </w:rPr>
              <w:t>in</w:t>
            </w:r>
            <w:r w:rsidRPr="00666EEE">
              <w:rPr>
                <w:noProof/>
                <w:lang w:val="en-GB" w:eastAsia="ja-JP"/>
              </w:rPr>
              <w:t xml:space="preserve"> the specification: whether UE</w:t>
            </w:r>
            <w:r w:rsidRPr="00666EEE">
              <w:rPr>
                <w:rFonts w:hint="eastAsia"/>
                <w:noProof/>
                <w:lang w:val="en-GB" w:eastAsia="ja-JP"/>
              </w:rPr>
              <w:t xml:space="preserve"> should perform SSSG </w:t>
            </w:r>
            <w:r w:rsidRPr="00666EEE">
              <w:rPr>
                <w:noProof/>
                <w:lang w:val="en-GB" w:eastAsia="ja-JP"/>
              </w:rPr>
              <w:t xml:space="preserve">switching or not if UE detects a DCI on a PDCCH candidate associated with multiple search space sets and not all of the associated search space sets belong to SSSG#0, e.g., no </w:t>
            </w:r>
            <w:r w:rsidRPr="00666EEE">
              <w:rPr>
                <w:i/>
                <w:noProof/>
                <w:lang w:val="en-GB" w:eastAsia="ja-JP"/>
              </w:rPr>
              <w:t xml:space="preserve">searchSpaceGroupIdList </w:t>
            </w:r>
            <w:r w:rsidRPr="00666EEE">
              <w:rPr>
                <w:noProof/>
                <w:lang w:val="en-GB" w:eastAsia="ja-JP"/>
              </w:rPr>
              <w:t>is provide in some of the</w:t>
            </w:r>
            <w:r w:rsidRPr="00666EEE">
              <w:rPr>
                <w:i/>
                <w:noProof/>
                <w:lang w:val="en-GB" w:eastAsia="ja-JP"/>
              </w:rPr>
              <w:t xml:space="preserve"> </w:t>
            </w:r>
            <w:r w:rsidRPr="00666EEE">
              <w:rPr>
                <w:noProof/>
                <w:lang w:val="en-GB" w:eastAsia="ja-JP"/>
              </w:rPr>
              <w:t xml:space="preserve">search space sets. In our view, in such case, UE still needs to perform </w:t>
            </w:r>
            <w:r w:rsidRPr="00666EEE">
              <w:rPr>
                <w:rFonts w:hint="eastAsia"/>
                <w:noProof/>
                <w:lang w:val="en-GB" w:eastAsia="ja-JP"/>
              </w:rPr>
              <w:t xml:space="preserve">SSSG </w:t>
            </w:r>
            <w:r w:rsidRPr="00666EEE">
              <w:rPr>
                <w:noProof/>
                <w:lang w:val="en-GB" w:eastAsia="ja-JP"/>
              </w:rPr>
              <w:t xml:space="preserve">switching from SSSG#0 to SSSG#1 since NW </w:t>
            </w:r>
            <w:r w:rsidRPr="00666EEE">
              <w:rPr>
                <w:rFonts w:hint="eastAsia"/>
                <w:noProof/>
                <w:lang w:val="en-GB" w:eastAsia="ja-JP"/>
              </w:rPr>
              <w:t xml:space="preserve">is supposed to </w:t>
            </w:r>
            <w:r w:rsidRPr="00666EEE">
              <w:rPr>
                <w:noProof/>
                <w:lang w:val="en-GB" w:eastAsia="ja-JP"/>
              </w:rPr>
              <w:t>occupy</w:t>
            </w:r>
            <w:r w:rsidRPr="00666EEE">
              <w:rPr>
                <w:rFonts w:hint="eastAsia"/>
                <w:noProof/>
                <w:lang w:val="en-GB" w:eastAsia="ja-JP"/>
              </w:rPr>
              <w:t xml:space="preserve"> the </w:t>
            </w:r>
            <w:r w:rsidRPr="00666EEE">
              <w:rPr>
                <w:noProof/>
                <w:lang w:val="en-GB" w:eastAsia="ja-JP"/>
              </w:rPr>
              <w:t xml:space="preserve">unlicensed </w:t>
            </w:r>
            <w:r w:rsidRPr="00666EEE">
              <w:rPr>
                <w:rFonts w:hint="eastAsia"/>
                <w:noProof/>
                <w:lang w:val="en-GB" w:eastAsia="ja-JP"/>
              </w:rPr>
              <w:t xml:space="preserve">channel to </w:t>
            </w:r>
            <w:r w:rsidRPr="00666EEE">
              <w:rPr>
                <w:noProof/>
                <w:lang w:val="en-GB" w:eastAsia="ja-JP"/>
              </w:rPr>
              <w:t>transmit</w:t>
            </w:r>
            <w:r w:rsidRPr="00666EEE">
              <w:rPr>
                <w:rFonts w:hint="eastAsia"/>
                <w:noProof/>
                <w:lang w:val="en-GB" w:eastAsia="ja-JP"/>
              </w:rPr>
              <w:t xml:space="preserve"> the </w:t>
            </w:r>
            <w:r w:rsidRPr="00666EEE">
              <w:rPr>
                <w:noProof/>
                <w:lang w:val="en-GB" w:eastAsia="ja-JP"/>
              </w:rPr>
              <w:t>DCI. However, current wording in the specification in not clear if such case happens, and different understanding on</w:t>
            </w:r>
            <w:r w:rsidRPr="00666EEE">
              <w:rPr>
                <w:rFonts w:hint="eastAsia"/>
                <w:noProof/>
                <w:lang w:val="en-GB" w:eastAsia="ja-JP"/>
              </w:rPr>
              <w:t xml:space="preserve"> the </w:t>
            </w:r>
            <w:r w:rsidRPr="00666EEE">
              <w:rPr>
                <w:noProof/>
                <w:lang w:val="en-GB" w:eastAsia="ja-JP"/>
              </w:rPr>
              <w:t>specification</w:t>
            </w:r>
            <w:r w:rsidRPr="00666EEE">
              <w:rPr>
                <w:rFonts w:hint="eastAsia"/>
                <w:noProof/>
                <w:lang w:val="en-GB" w:eastAsia="ja-JP"/>
              </w:rPr>
              <w:t xml:space="preserve"> may cause </w:t>
            </w:r>
            <w:r w:rsidRPr="00666EEE">
              <w:rPr>
                <w:noProof/>
                <w:lang w:val="en-GB" w:eastAsia="ja-JP"/>
              </w:rPr>
              <w:t>the ambiguity between UE and NW.</w:t>
            </w:r>
          </w:p>
        </w:tc>
      </w:tr>
      <w:tr w:rsidR="00815772" w14:paraId="18CF9457" w14:textId="77777777" w:rsidTr="007F08B2">
        <w:tc>
          <w:tcPr>
            <w:tcW w:w="9307" w:type="dxa"/>
          </w:tcPr>
          <w:p w14:paraId="449E1FDF" w14:textId="77777777" w:rsidR="00815772" w:rsidRDefault="00815772" w:rsidP="007F08B2">
            <w:pPr>
              <w:rPr>
                <w:highlight w:val="yellow"/>
                <w:lang w:eastAsia="zh-CN"/>
              </w:rPr>
            </w:pPr>
            <w:r>
              <w:rPr>
                <w:highlight w:val="yellow"/>
                <w:lang w:eastAsia="zh-CN"/>
              </w:rPr>
              <w:t>Proposal:</w:t>
            </w:r>
          </w:p>
          <w:p w14:paraId="1D2764DF" w14:textId="77777777" w:rsidR="00666EEE" w:rsidRPr="005E657B" w:rsidRDefault="00666EEE" w:rsidP="00666EEE">
            <w:pPr>
              <w:pStyle w:val="ListParagraph"/>
              <w:spacing w:before="240" w:line="360" w:lineRule="auto"/>
              <w:ind w:left="0"/>
              <w:jc w:val="left"/>
              <w:rPr>
                <w:rFonts w:ascii="Arial" w:hAnsi="Arial" w:cs="Arial"/>
                <w:b/>
                <w:bCs/>
                <w:color w:val="000000" w:themeColor="text1"/>
                <w:lang w:eastAsia="x-none"/>
              </w:rPr>
            </w:pPr>
            <w:r w:rsidRPr="005E657B">
              <w:rPr>
                <w:rFonts w:ascii="Arial" w:hAnsi="Arial" w:cs="Arial"/>
                <w:b/>
                <w:bCs/>
                <w:color w:val="000000" w:themeColor="text1"/>
                <w:lang w:eastAsia="x-none"/>
              </w:rPr>
              <w:t>Proposal 1: Support text proposal TP#1 for TS38.213 Section 10.4 to avoid ambiguity of SSSG switching</w:t>
            </w:r>
            <w:r w:rsidRPr="005E657B">
              <w:rPr>
                <w:rFonts w:ascii="Arial" w:hAnsi="Arial" w:cs="Arial" w:hint="eastAsia"/>
                <w:b/>
                <w:bCs/>
                <w:color w:val="000000" w:themeColor="text1"/>
                <w:lang w:eastAsia="x-none"/>
              </w:rPr>
              <w:t xml:space="preserve"> </w:t>
            </w:r>
            <w:r w:rsidRPr="005E657B">
              <w:rPr>
                <w:rFonts w:ascii="Arial" w:hAnsi="Arial" w:cs="Arial"/>
                <w:b/>
                <w:bCs/>
                <w:color w:val="000000" w:themeColor="text1"/>
                <w:lang w:eastAsia="x-none"/>
              </w:rPr>
              <w:t xml:space="preserve">when a UE is not provided with </w:t>
            </w:r>
            <w:r w:rsidRPr="005E657B">
              <w:rPr>
                <w:rFonts w:ascii="Arial" w:hAnsi="Arial" w:cs="Arial"/>
                <w:b/>
                <w:bCs/>
                <w:i/>
                <w:color w:val="000000" w:themeColor="text1"/>
                <w:lang w:eastAsia="x-none"/>
              </w:rPr>
              <w:t>SearchSpaceSwitchTrigger</w:t>
            </w:r>
            <w:r w:rsidRPr="005E657B">
              <w:rPr>
                <w:rFonts w:ascii="Arial" w:hAnsi="Arial" w:cs="Arial"/>
                <w:b/>
                <w:bCs/>
                <w:color w:val="000000" w:themeColor="text1"/>
                <w:lang w:eastAsia="x-none"/>
              </w:rPr>
              <w:t>.</w:t>
            </w:r>
          </w:p>
          <w:p w14:paraId="0B55823A" w14:textId="77777777" w:rsidR="00666EEE" w:rsidRPr="005D28E6" w:rsidRDefault="00666EEE" w:rsidP="00666EEE">
            <w:pPr>
              <w:pStyle w:val="ListParagraph"/>
              <w:spacing w:before="240" w:line="360" w:lineRule="auto"/>
              <w:ind w:left="0"/>
              <w:jc w:val="left"/>
              <w:rPr>
                <w:rFonts w:ascii="Arial" w:hAnsi="Arial" w:cs="Arial"/>
                <w:b/>
                <w:bCs/>
                <w:color w:val="FF0000"/>
                <w:lang w:eastAsia="x-none"/>
              </w:rPr>
            </w:pPr>
          </w:p>
          <w:p w14:paraId="6A719BEC" w14:textId="60D5C10E" w:rsidR="00666EEE" w:rsidRPr="00700401" w:rsidRDefault="00666EEE" w:rsidP="00666EEE">
            <w:pPr>
              <w:rPr>
                <w:szCs w:val="20"/>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 xml:space="preserve">--- Text Proposal </w:t>
            </w:r>
            <w:r>
              <w:rPr>
                <w:szCs w:val="20"/>
                <w:highlight w:val="yellow"/>
                <w:lang w:eastAsia="zh-CN"/>
              </w:rPr>
              <w:t xml:space="preserve">TP#1 </w:t>
            </w:r>
            <w:r w:rsidRPr="00700401">
              <w:rPr>
                <w:szCs w:val="20"/>
                <w:highlight w:val="yellow"/>
                <w:lang w:eastAsia="zh-CN"/>
              </w:rPr>
              <w:t>for 38.</w:t>
            </w:r>
            <w:r>
              <w:rPr>
                <w:szCs w:val="20"/>
                <w:highlight w:val="yellow"/>
                <w:lang w:eastAsia="zh-CN"/>
              </w:rPr>
              <w:t xml:space="preserve">213, Section 10.4 </w:t>
            </w:r>
            <w:r w:rsidRPr="00700401">
              <w:rPr>
                <w:szCs w:val="20"/>
                <w:highlight w:val="yellow"/>
                <w:lang w:eastAsia="zh-CN"/>
              </w:rPr>
              <w:t>-----</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w:t>
            </w:r>
          </w:p>
          <w:p w14:paraId="2377970F" w14:textId="77777777" w:rsidR="00666EEE" w:rsidRDefault="00666EEE" w:rsidP="00666EEE">
            <w:pPr>
              <w:pStyle w:val="Heading4"/>
              <w:numPr>
                <w:ilvl w:val="0"/>
                <w:numId w:val="0"/>
              </w:numPr>
              <w:outlineLvl w:val="3"/>
            </w:pPr>
            <w:r>
              <w:t>10.4</w:t>
            </w:r>
            <w:r>
              <w:tab/>
            </w:r>
            <w:r w:rsidRPr="00D26445">
              <w:t xml:space="preserve">Search </w:t>
            </w:r>
            <w:r>
              <w:t>s</w:t>
            </w:r>
            <w:r w:rsidRPr="00D26445">
              <w:t xml:space="preserve">pace </w:t>
            </w:r>
            <w:r>
              <w:t>s</w:t>
            </w:r>
            <w:r w:rsidRPr="00D26445">
              <w:t xml:space="preserve">et </w:t>
            </w:r>
            <w:r>
              <w:t>group s</w:t>
            </w:r>
            <w:r w:rsidRPr="00D26445">
              <w:t>witching</w:t>
            </w:r>
          </w:p>
          <w:p w14:paraId="3DEAEA9F" w14:textId="77777777" w:rsidR="00666EEE" w:rsidRPr="00700401" w:rsidRDefault="00666EEE" w:rsidP="00666EEE">
            <w:pPr>
              <w:pStyle w:val="BodyText"/>
              <w:jc w:val="center"/>
              <w:rPr>
                <w:color w:val="FF0000"/>
              </w:rPr>
            </w:pPr>
            <w:r w:rsidRPr="00886F89">
              <w:rPr>
                <w:color w:val="FF0000"/>
              </w:rPr>
              <w:t>*** Unchanged text omitted ***</w:t>
            </w:r>
          </w:p>
          <w:p w14:paraId="7837BD3C" w14:textId="77777777" w:rsidR="00666EEE" w:rsidRPr="00756C63" w:rsidRDefault="00666EEE" w:rsidP="00666EEE">
            <w:pPr>
              <w:jc w:val="left"/>
            </w:pPr>
            <w:r w:rsidRPr="00756C63">
              <w:rPr>
                <w:lang w:eastAsia="zh-CN"/>
              </w:rPr>
              <w:t>If a UE is not provided</w:t>
            </w:r>
            <w:r w:rsidRPr="00756C63">
              <w:t xml:space="preserve"> </w:t>
            </w:r>
            <w:r w:rsidRPr="00756C63">
              <w:rPr>
                <w:i/>
                <w:iCs/>
              </w:rPr>
              <w:t>SearchSpaceSwitchTrigger</w:t>
            </w:r>
            <w:r w:rsidRPr="00756C63">
              <w:rPr>
                <w:iCs/>
              </w:rPr>
              <w:t xml:space="preserve"> for a serving cell</w:t>
            </w:r>
            <w:r w:rsidRPr="00756C63">
              <w:t>,</w:t>
            </w:r>
          </w:p>
          <w:p w14:paraId="0D63A115" w14:textId="77777777" w:rsidR="00666EEE" w:rsidRDefault="00666EEE" w:rsidP="00666EEE">
            <w:pPr>
              <w:pStyle w:val="B1"/>
            </w:pPr>
            <w:r w:rsidRPr="00756C63">
              <w:t>-</w:t>
            </w:r>
            <w:r w:rsidRPr="00756C63">
              <w:tab/>
            </w:r>
            <w:r w:rsidRPr="00D26445">
              <w:t>if the UE detects a DCI format by monitoring PDCCH according to</w:t>
            </w:r>
            <w:r>
              <w:t xml:space="preserve"> </w:t>
            </w:r>
            <w:r w:rsidRPr="005E657B">
              <w:rPr>
                <w:color w:val="FF0000"/>
              </w:rPr>
              <w:t>at least</w:t>
            </w:r>
            <w:r w:rsidRPr="00D26445">
              <w:t xml:space="preserve"> a search space set with group index 0, the UE starts monitoring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w:t>
            </w:r>
            <w:r w:rsidRPr="00D26445">
              <w:t xml:space="preserve">, the UE sets the timer value to the value provided by </w:t>
            </w:r>
            <w:r w:rsidRPr="00D26445">
              <w:rPr>
                <w:i/>
                <w:lang w:eastAsia="zh-CN"/>
              </w:rPr>
              <w:t>searchSpaceSwitchTimer</w:t>
            </w:r>
            <w:r w:rsidRPr="00D26445">
              <w:rPr>
                <w:lang w:eastAsia="zh-CN"/>
              </w:rPr>
              <w:t xml:space="preserve"> if the UE detects a DCI format </w:t>
            </w:r>
            <w:r w:rsidRPr="00D26445">
              <w:t>by monitoring PDCCH in any search space set</w:t>
            </w:r>
            <w:r>
              <w:t>]</w:t>
            </w:r>
          </w:p>
          <w:p w14:paraId="422766E4" w14:textId="77777777" w:rsidR="00666EEE" w:rsidRPr="00700401" w:rsidRDefault="00666EEE" w:rsidP="00666EEE">
            <w:pPr>
              <w:pStyle w:val="B1"/>
              <w:jc w:val="center"/>
              <w:rPr>
                <w:color w:val="FF0000"/>
              </w:rPr>
            </w:pPr>
            <w:r w:rsidRPr="00795248">
              <w:rPr>
                <w:color w:val="FF0000"/>
              </w:rPr>
              <w:t>*** Unchanged text omitted ***</w:t>
            </w:r>
          </w:p>
          <w:p w14:paraId="7CA2FE82" w14:textId="7E7FA165" w:rsidR="00666EEE" w:rsidRPr="00700401" w:rsidRDefault="00666EEE" w:rsidP="00666EEE">
            <w:pPr>
              <w:rPr>
                <w:szCs w:val="20"/>
                <w:highlight w:val="yellow"/>
                <w:lang w:eastAsia="zh-CN"/>
              </w:rPr>
            </w:pPr>
            <w:r w:rsidRPr="00700401">
              <w:rPr>
                <w:szCs w:val="20"/>
                <w:highlight w:val="yellow"/>
                <w:lang w:eastAsia="zh-CN"/>
              </w:rPr>
              <w:lastRenderedPageBreak/>
              <w:t>-----------------</w:t>
            </w:r>
            <w:r>
              <w:rPr>
                <w:szCs w:val="20"/>
                <w:highlight w:val="yellow"/>
                <w:lang w:eastAsia="zh-CN"/>
              </w:rPr>
              <w:t>---------</w:t>
            </w:r>
            <w:r w:rsidRPr="00700401">
              <w:rPr>
                <w:szCs w:val="20"/>
                <w:highlight w:val="yellow"/>
                <w:lang w:eastAsia="zh-CN"/>
              </w:rPr>
              <w:t>----------- End Text Proposal ---------</w:t>
            </w:r>
            <w:r>
              <w:rPr>
                <w:szCs w:val="20"/>
                <w:highlight w:val="yellow"/>
                <w:lang w:eastAsia="zh-CN"/>
              </w:rPr>
              <w:t>-------</w:t>
            </w:r>
            <w:r w:rsidRPr="00700401">
              <w:rPr>
                <w:szCs w:val="20"/>
                <w:highlight w:val="yellow"/>
                <w:lang w:eastAsia="zh-CN"/>
              </w:rPr>
              <w:t>-------------------------------</w:t>
            </w:r>
          </w:p>
          <w:p w14:paraId="0139932B" w14:textId="34D6527D" w:rsidR="00815772" w:rsidRPr="00FD337D" w:rsidRDefault="00815772" w:rsidP="007F08B2">
            <w:pPr>
              <w:rPr>
                <w:lang w:eastAsia="ko-KR"/>
              </w:rPr>
            </w:pPr>
          </w:p>
        </w:tc>
      </w:tr>
    </w:tbl>
    <w:p w14:paraId="6E7A9E87" w14:textId="77777777" w:rsidR="00815772" w:rsidRDefault="00815772" w:rsidP="00815772">
      <w:pPr>
        <w:rPr>
          <w:lang w:val="en-GB" w:eastAsia="zh-CN"/>
        </w:rPr>
      </w:pPr>
    </w:p>
    <w:tbl>
      <w:tblPr>
        <w:tblStyle w:val="TableGrid"/>
        <w:tblW w:w="9310" w:type="dxa"/>
        <w:tblLook w:val="04A0" w:firstRow="1" w:lastRow="0" w:firstColumn="1" w:lastColumn="0" w:noHBand="0" w:noVBand="1"/>
      </w:tblPr>
      <w:tblGrid>
        <w:gridCol w:w="3005"/>
        <w:gridCol w:w="6305"/>
      </w:tblGrid>
      <w:tr w:rsidR="00815772" w14:paraId="431D16CC" w14:textId="77777777" w:rsidTr="007F08B2">
        <w:tc>
          <w:tcPr>
            <w:tcW w:w="2972" w:type="dxa"/>
            <w:shd w:val="clear" w:color="auto" w:fill="FFC000"/>
          </w:tcPr>
          <w:p w14:paraId="71208CF9" w14:textId="77777777" w:rsidR="00815772" w:rsidRDefault="00815772" w:rsidP="007F08B2">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08CD32A8" w14:textId="77777777" w:rsidR="00815772" w:rsidRDefault="00815772" w:rsidP="007F08B2">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15772" w14:paraId="33FD6165" w14:textId="77777777" w:rsidTr="007F08B2">
        <w:tc>
          <w:tcPr>
            <w:tcW w:w="2972" w:type="dxa"/>
          </w:tcPr>
          <w:p w14:paraId="4E0059B0" w14:textId="77777777" w:rsidR="00815772" w:rsidRDefault="00815772" w:rsidP="007F08B2">
            <w:pPr>
              <w:spacing w:after="0"/>
              <w:rPr>
                <w:rFonts w:eastAsia="SimSun"/>
                <w:szCs w:val="20"/>
                <w:lang w:eastAsia="zh-CN"/>
              </w:rPr>
            </w:pPr>
          </w:p>
        </w:tc>
        <w:tc>
          <w:tcPr>
            <w:tcW w:w="6237" w:type="dxa"/>
          </w:tcPr>
          <w:p w14:paraId="7E7D9D02" w14:textId="77777777" w:rsidR="00815772" w:rsidRDefault="00815772" w:rsidP="007F08B2">
            <w:pPr>
              <w:spacing w:after="0"/>
              <w:rPr>
                <w:rFonts w:eastAsia="SimSun"/>
                <w:szCs w:val="20"/>
                <w:lang w:eastAsia="zh-CN"/>
              </w:rPr>
            </w:pPr>
          </w:p>
        </w:tc>
      </w:tr>
      <w:tr w:rsidR="00815772" w14:paraId="3907C846" w14:textId="77777777" w:rsidTr="007F08B2">
        <w:tc>
          <w:tcPr>
            <w:tcW w:w="2972" w:type="dxa"/>
          </w:tcPr>
          <w:p w14:paraId="1A8E2959" w14:textId="77777777" w:rsidR="00815772" w:rsidRDefault="00815772" w:rsidP="007F08B2">
            <w:pPr>
              <w:spacing w:after="0"/>
              <w:rPr>
                <w:rFonts w:eastAsia="SimSun"/>
                <w:szCs w:val="20"/>
                <w:lang w:eastAsia="zh-CN"/>
              </w:rPr>
            </w:pPr>
          </w:p>
        </w:tc>
        <w:tc>
          <w:tcPr>
            <w:tcW w:w="6237" w:type="dxa"/>
          </w:tcPr>
          <w:p w14:paraId="5AD50403" w14:textId="77777777" w:rsidR="00815772" w:rsidRDefault="00815772" w:rsidP="007F08B2">
            <w:pPr>
              <w:spacing w:after="0"/>
              <w:rPr>
                <w:rFonts w:eastAsia="SimSun"/>
                <w:szCs w:val="20"/>
                <w:lang w:eastAsia="zh-CN"/>
              </w:rPr>
            </w:pPr>
          </w:p>
        </w:tc>
      </w:tr>
    </w:tbl>
    <w:p w14:paraId="68A9CF2F" w14:textId="77777777" w:rsidR="00815772" w:rsidRPr="003F1520" w:rsidRDefault="00815772">
      <w:pPr>
        <w:rPr>
          <w:lang w:val="en-GB" w:eastAsia="zh-CN"/>
        </w:rPr>
      </w:pPr>
    </w:p>
    <w:sectPr w:rsidR="00815772" w:rsidRPr="003F1520"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2015B" w14:textId="77777777" w:rsidR="00C669EA" w:rsidRDefault="00C669EA" w:rsidP="00245B37">
      <w:pPr>
        <w:spacing w:after="0" w:line="240" w:lineRule="auto"/>
      </w:pPr>
      <w:r>
        <w:separator/>
      </w:r>
    </w:p>
  </w:endnote>
  <w:endnote w:type="continuationSeparator" w:id="0">
    <w:p w14:paraId="1694E528" w14:textId="77777777" w:rsidR="00C669EA" w:rsidRDefault="00C669EA"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e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399C4" w14:textId="77777777" w:rsidR="00C669EA" w:rsidRDefault="00C669EA" w:rsidP="00245B37">
      <w:pPr>
        <w:spacing w:after="0" w:line="240" w:lineRule="auto"/>
      </w:pPr>
      <w:r>
        <w:separator/>
      </w:r>
    </w:p>
  </w:footnote>
  <w:footnote w:type="continuationSeparator" w:id="0">
    <w:p w14:paraId="2104C4B5" w14:textId="77777777" w:rsidR="00C669EA" w:rsidRDefault="00C669EA" w:rsidP="0024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EF24B3"/>
    <w:multiLevelType w:val="singleLevel"/>
    <w:tmpl w:val="EBEF24B3"/>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EFB4BA25"/>
    <w:multiLevelType w:val="singleLevel"/>
    <w:tmpl w:val="EFB4BA25"/>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00000002"/>
    <w:multiLevelType w:val="singleLevel"/>
    <w:tmpl w:val="00000002"/>
    <w:name w:val="WW8Num2"/>
    <w:lvl w:ilvl="0">
      <w:start w:val="1"/>
      <w:numFmt w:val="bullet"/>
      <w:pStyle w:val="BodyTextIndent2"/>
      <w:lvlText w:val=""/>
      <w:lvlJc w:val="left"/>
      <w:pPr>
        <w:tabs>
          <w:tab w:val="num" w:pos="851"/>
        </w:tabs>
        <w:ind w:left="851" w:hanging="851"/>
      </w:pPr>
      <w:rPr>
        <w:rFonts w:ascii="ZapfDingbats" w:hAnsi="ZapfDingbats"/>
      </w:rPr>
    </w:lvl>
  </w:abstractNum>
  <w:abstractNum w:abstractNumId="3"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6"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500083"/>
    <w:multiLevelType w:val="hybridMultilevel"/>
    <w:tmpl w:val="AEA0D7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1CE95F45"/>
    <w:multiLevelType w:val="hybridMultilevel"/>
    <w:tmpl w:val="75327A24"/>
    <w:lvl w:ilvl="0" w:tplc="B392608C">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9"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53BFD"/>
    <w:multiLevelType w:val="hybridMultilevel"/>
    <w:tmpl w:val="A71EDB44"/>
    <w:lvl w:ilvl="0" w:tplc="48C662A4">
      <w:start w:val="2"/>
      <w:numFmt w:val="bullet"/>
      <w:lvlText w:val="-"/>
      <w:lvlJc w:val="left"/>
      <w:pPr>
        <w:ind w:left="576" w:hanging="360"/>
      </w:pPr>
      <w:rPr>
        <w:rFonts w:ascii="Times New Roman" w:eastAsia="Batang" w:hAnsi="Times New Roman" w:cs="Times New Roman" w:hint="default"/>
        <w:b/>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3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FC9079"/>
    <w:multiLevelType w:val="singleLevel"/>
    <w:tmpl w:val="7DFC9079"/>
    <w:lvl w:ilvl="0">
      <w:start w:val="1"/>
      <w:numFmt w:val="bullet"/>
      <w:lvlText w:val="·"/>
      <w:lvlJc w:val="left"/>
      <w:pPr>
        <w:ind w:left="420" w:hanging="420"/>
      </w:pPr>
      <w:rPr>
        <w:rFonts w:ascii="仿宋" w:eastAsia="仿宋" w:hAnsi="仿宋" w:cs="仿宋"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9"/>
  </w:num>
  <w:num w:numId="2">
    <w:abstractNumId w:val="18"/>
  </w:num>
  <w:num w:numId="3">
    <w:abstractNumId w:val="35"/>
  </w:num>
  <w:num w:numId="4">
    <w:abstractNumId w:val="31"/>
  </w:num>
  <w:num w:numId="5">
    <w:abstractNumId w:val="27"/>
  </w:num>
  <w:num w:numId="6">
    <w:abstractNumId w:val="23"/>
  </w:num>
  <w:num w:numId="7">
    <w:abstractNumId w:val="25"/>
  </w:num>
  <w:num w:numId="8">
    <w:abstractNumId w:val="37"/>
  </w:num>
  <w:num w:numId="9">
    <w:abstractNumId w:val="26"/>
  </w:num>
  <w:num w:numId="10">
    <w:abstractNumId w:val="33"/>
  </w:num>
  <w:num w:numId="11">
    <w:abstractNumId w:val="20"/>
  </w:num>
  <w:num w:numId="12">
    <w:abstractNumId w:val="15"/>
  </w:num>
  <w:num w:numId="13">
    <w:abstractNumId w:val="19"/>
  </w:num>
  <w:num w:numId="14">
    <w:abstractNumId w:val="28"/>
  </w:num>
  <w:num w:numId="15">
    <w:abstractNumId w:val="24"/>
  </w:num>
  <w:num w:numId="16">
    <w:abstractNumId w:val="11"/>
  </w:num>
  <w:num w:numId="17">
    <w:abstractNumId w:val="21"/>
  </w:num>
  <w:num w:numId="18">
    <w:abstractNumId w:val="34"/>
  </w:num>
  <w:num w:numId="19">
    <w:abstractNumId w:val="22"/>
  </w:num>
  <w:num w:numId="20">
    <w:abstractNumId w:val="5"/>
  </w:num>
  <w:num w:numId="21">
    <w:abstractNumId w:val="14"/>
  </w:num>
  <w:num w:numId="22">
    <w:abstractNumId w:val="7"/>
  </w:num>
  <w:num w:numId="23">
    <w:abstractNumId w:val="3"/>
  </w:num>
  <w:num w:numId="24">
    <w:abstractNumId w:val="17"/>
  </w:num>
  <w:num w:numId="25">
    <w:abstractNumId w:val="32"/>
  </w:num>
  <w:num w:numId="26">
    <w:abstractNumId w:val="16"/>
  </w:num>
  <w:num w:numId="27">
    <w:abstractNumId w:val="29"/>
  </w:num>
  <w:num w:numId="28">
    <w:abstractNumId w:val="6"/>
  </w:num>
  <w:num w:numId="29">
    <w:abstractNumId w:val="12"/>
  </w:num>
  <w:num w:numId="30">
    <w:abstractNumId w:val="13"/>
  </w:num>
  <w:num w:numId="31">
    <w:abstractNumId w:val="4"/>
  </w:num>
  <w:num w:numId="32">
    <w:abstractNumId w:val="10"/>
  </w:num>
  <w:num w:numId="33">
    <w:abstractNumId w:val="8"/>
  </w:num>
  <w:num w:numId="34">
    <w:abstractNumId w:val="1"/>
  </w:num>
  <w:num w:numId="35">
    <w:abstractNumId w:val="0"/>
  </w:num>
  <w:num w:numId="36">
    <w:abstractNumId w:val="36"/>
  </w:num>
  <w:num w:numId="37">
    <w:abstractNumId w:val="3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5F"/>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455"/>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1A"/>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33"/>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E8E"/>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40B"/>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3D60"/>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3FAA"/>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6EE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08E9"/>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14D"/>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772"/>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75B"/>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5AC"/>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54A"/>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6B7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3B5"/>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19"/>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124"/>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9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AE2"/>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887"/>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495"/>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37D"/>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목록 단락,列出段落,Lista1,?? ??,?????,????,列出段落1,中等深浅网格 1 - 着色 21,列表段落,¥¡¡¡¡ì¬º¥¹¥È¶ÎÂä,ÁÐ³ö¶ÎÂä,¥ê¥¹¥È¶ÎÂä,列表段落1,—ño’i—Ž,1st level - Bullet List Paragraph,Lettre d'introduction,Paragrafo elenco,Normal bullet 2,Bullet list,목록단락,リスト段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목록 단락 Char,列出段落 Char,Lista1 Char,?? ?? Char,????? Char,???? Char,列出段落1 Char,中等深浅网格 1 - 着色 21 Char,列表段落 Char,¥¡¡¡¡ì¬º¥¹¥È¶ÎÂä Char,ÁÐ³ö¶ÎÂä Char,¥ê¥¹¥È¶ÎÂä Char,列表段落1 Char,—ño’i—Ž Char,Lettre d'introduction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rsid w:val="00364B26"/>
    <w:pPr>
      <w:numPr>
        <w:ilvl w:val="1"/>
      </w:numPr>
      <w:ind w:left="200" w:hangingChars="200" w:hanging="200"/>
    </w:pPr>
    <w:rPr>
      <w:rFonts w:eastAsia="MS PMincho"/>
    </w:rPr>
  </w:style>
  <w:style w:type="paragraph" w:customStyle="1" w:styleId="3">
    <w:name w:val="段落番号3"/>
    <w:basedOn w:val="1"/>
    <w:next w:val="Normal"/>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2.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6.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7.xml><?xml version="1.0" encoding="utf-8"?>
<ds:datastoreItem xmlns:ds="http://schemas.openxmlformats.org/officeDocument/2006/customXml" ds:itemID="{17B3EECF-2FA4-4D83-96AB-895ADE87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2276</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9</cp:revision>
  <cp:lastPrinted>2016-08-12T06:06:00Z</cp:lastPrinted>
  <dcterms:created xsi:type="dcterms:W3CDTF">2021-05-13T17:39:00Z</dcterms:created>
  <dcterms:modified xsi:type="dcterms:W3CDTF">2021-08-09T08:16:00Z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