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3019" w14:textId="77777777" w:rsidR="00517484" w:rsidRDefault="00D3344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Pr="00802360">
        <w:rPr>
          <w:b/>
          <w:sz w:val="24"/>
          <w:highlight w:val="yellow"/>
        </w:rPr>
        <w:t>R1-21</w:t>
      </w:r>
      <w:proofErr w:type="spellStart"/>
      <w:r w:rsidRPr="00802360">
        <w:rPr>
          <w:rFonts w:hint="eastAsia"/>
          <w:b/>
          <w:sz w:val="24"/>
          <w:highlight w:val="yellow"/>
          <w:lang w:val="en-US" w:eastAsia="zh-CN"/>
        </w:rPr>
        <w:t>xxxxx</w:t>
      </w:r>
      <w:proofErr w:type="spellEnd"/>
    </w:p>
    <w:p w14:paraId="4B15F54A" w14:textId="77777777" w:rsidR="00517484" w:rsidRDefault="00D3344C">
      <w:pPr>
        <w:pStyle w:val="CRCoverPage"/>
        <w:outlineLvl w:val="0"/>
        <w:rPr>
          <w:b/>
          <w:sz w:val="24"/>
        </w:rPr>
      </w:pPr>
      <w:proofErr w:type="gramStart"/>
      <w:r>
        <w:rPr>
          <w:rFonts w:cs="Arial"/>
          <w:b/>
          <w:sz w:val="24"/>
          <w:szCs w:val="28"/>
          <w:lang w:eastAsia="zh-CN"/>
        </w:rPr>
        <w:t>e-Meeting</w:t>
      </w:r>
      <w:proofErr w:type="gramEnd"/>
      <w:r>
        <w:rPr>
          <w:rFonts w:cs="Arial"/>
          <w:b/>
          <w:sz w:val="24"/>
          <w:szCs w:val="28"/>
          <w:lang w:eastAsia="zh-CN"/>
        </w:rPr>
        <w:t>, August 16th – 27th, 2021</w:t>
      </w:r>
      <w:bookmarkStart w:id="0" w:name="_GoBack"/>
      <w:bookmarkEnd w:id="0"/>
    </w:p>
    <w:p w14:paraId="246FF94B" w14:textId="77777777" w:rsidR="00517484" w:rsidRDefault="00517484">
      <w:pPr>
        <w:rPr>
          <w:rFonts w:ascii="Arial" w:hAnsi="Arial" w:cs="Arial"/>
          <w:color w:val="000000"/>
        </w:rPr>
      </w:pPr>
    </w:p>
    <w:p w14:paraId="76BB6AD0" w14:textId="77777777" w:rsidR="00517484" w:rsidRDefault="00D3344C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Pr="00D3344C">
        <w:rPr>
          <w:rFonts w:ascii="Arial" w:hAnsi="Arial" w:cs="Arial"/>
          <w:b/>
          <w:color w:val="000000"/>
          <w:highlight w:val="yellow"/>
        </w:rPr>
        <w:t>[D</w:t>
      </w:r>
      <w:r w:rsidRPr="00D3344C">
        <w:rPr>
          <w:rFonts w:ascii="Arial" w:hAnsi="Arial" w:cs="Arial" w:hint="eastAsia"/>
          <w:b/>
          <w:color w:val="000000"/>
          <w:highlight w:val="yellow"/>
          <w:lang w:val="en-US" w:eastAsia="zh-CN"/>
        </w:rPr>
        <w:t>raft</w:t>
      </w:r>
      <w:r w:rsidRPr="00D3344C"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ascii="Arial" w:hAnsi="Arial" w:cs="Arial" w:hint="eastAsia"/>
          <w:b/>
          <w:color w:val="000000"/>
          <w:lang w:val="en-US" w:eastAsia="zh-CN"/>
        </w:rPr>
        <w:t xml:space="preserve"> </w:t>
      </w:r>
      <w:r>
        <w:rPr>
          <w:rFonts w:ascii="Arial" w:hAnsi="Arial" w:cs="Arial"/>
          <w:b/>
          <w:color w:val="000000"/>
        </w:rPr>
        <w:t xml:space="preserve">LS on the </w:t>
      </w:r>
      <w:r w:rsidR="00E50102">
        <w:rPr>
          <w:rFonts w:ascii="Arial" w:hAnsi="Arial" w:cs="Arial"/>
          <w:b/>
          <w:color w:val="000000"/>
        </w:rPr>
        <w:t>TA validation and mapping details</w:t>
      </w:r>
      <w:r>
        <w:rPr>
          <w:rFonts w:ascii="Arial" w:hAnsi="Arial" w:cs="Arial"/>
          <w:b/>
          <w:color w:val="000000"/>
        </w:rPr>
        <w:t xml:space="preserve"> </w:t>
      </w:r>
      <w:r w:rsidR="00E50102">
        <w:rPr>
          <w:rFonts w:ascii="Arial" w:hAnsi="Arial" w:cs="Arial"/>
          <w:b/>
          <w:color w:val="000000"/>
        </w:rPr>
        <w:t>for</w:t>
      </w:r>
      <w:r>
        <w:rPr>
          <w:rFonts w:ascii="Arial" w:hAnsi="Arial" w:cs="Arial"/>
          <w:b/>
          <w:color w:val="000000"/>
        </w:rPr>
        <w:t xml:space="preserve"> </w:t>
      </w:r>
      <w:r w:rsidR="00E50102">
        <w:rPr>
          <w:rFonts w:ascii="Arial" w:hAnsi="Arial" w:cs="Arial"/>
          <w:b/>
          <w:color w:val="000000"/>
        </w:rPr>
        <w:t>CG-SDT</w:t>
      </w:r>
    </w:p>
    <w:p w14:paraId="0EFDB317" w14:textId="77777777" w:rsidR="00517484" w:rsidRDefault="00D3344C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 w14:paraId="35CC20D8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 w14:paraId="7314CDBD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</w:rPr>
        <w:t>NR_SmallData_INACTIVE</w:t>
      </w:r>
      <w:proofErr w:type="spellEnd"/>
      <w:r>
        <w:rPr>
          <w:rFonts w:ascii="Arial" w:hAnsi="Arial" w:cs="Arial"/>
          <w:bCs/>
        </w:rPr>
        <w:t>-Core</w:t>
      </w:r>
    </w:p>
    <w:p w14:paraId="0025D29C" w14:textId="77777777" w:rsidR="00517484" w:rsidRDefault="00517484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460D6364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  <w:t xml:space="preserve">ZTE </w:t>
      </w:r>
      <w:r w:rsidRPr="00D3344C">
        <w:rPr>
          <w:rFonts w:ascii="Arial" w:hAnsi="Arial" w:cs="Arial"/>
          <w:bCs/>
          <w:color w:val="000000"/>
          <w:highlight w:val="yellow"/>
        </w:rPr>
        <w:t>[</w:t>
      </w:r>
      <w:r w:rsidRPr="00D3344C">
        <w:rPr>
          <w:rFonts w:ascii="Arial" w:hAnsi="Arial" w:cs="Arial"/>
          <w:bCs/>
          <w:highlight w:val="yellow"/>
        </w:rPr>
        <w:t>RAN1]</w:t>
      </w:r>
    </w:p>
    <w:p w14:paraId="0AAAE06E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 w14:paraId="58708971" w14:textId="77777777" w:rsidR="00517484" w:rsidRDefault="00517484">
      <w:pPr>
        <w:spacing w:after="60"/>
        <w:ind w:left="1985" w:hanging="1985"/>
        <w:rPr>
          <w:rFonts w:ascii="Arial" w:hAnsi="Arial" w:cs="Arial"/>
          <w:bCs/>
        </w:rPr>
      </w:pPr>
    </w:p>
    <w:p w14:paraId="705597B4" w14:textId="77777777" w:rsidR="00517484" w:rsidRDefault="00D3344C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EA9C490" w14:textId="77777777" w:rsidR="00517484" w:rsidRDefault="00D3344C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 xml:space="preserve">Li </w:t>
      </w:r>
      <w:proofErr w:type="spellStart"/>
      <w:r>
        <w:rPr>
          <w:rFonts w:cs="Arial"/>
          <w:b w:val="0"/>
          <w:bCs/>
        </w:rPr>
        <w:t>Tian</w:t>
      </w:r>
      <w:proofErr w:type="spellEnd"/>
    </w:p>
    <w:p w14:paraId="71E678A3" w14:textId="77777777" w:rsidR="00517484" w:rsidRPr="001E3886" w:rsidRDefault="00D3344C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E3886">
        <w:rPr>
          <w:rFonts w:cs="Arial"/>
          <w:color w:val="auto"/>
        </w:rPr>
        <w:t>E-mail Address:</w:t>
      </w:r>
      <w:r w:rsidRPr="001E3886">
        <w:rPr>
          <w:rFonts w:cs="Arial"/>
          <w:b w:val="0"/>
          <w:bCs/>
          <w:color w:val="auto"/>
        </w:rPr>
        <w:tab/>
        <w:t>tian.li150@zte.com.cn</w:t>
      </w:r>
    </w:p>
    <w:p w14:paraId="31AF0B7D" w14:textId="77777777" w:rsidR="00517484" w:rsidRDefault="00517484">
      <w:pPr>
        <w:spacing w:after="60"/>
        <w:ind w:left="1985" w:hanging="1985"/>
        <w:rPr>
          <w:rFonts w:ascii="Arial" w:hAnsi="Arial" w:cs="Arial"/>
          <w:b/>
        </w:rPr>
      </w:pPr>
    </w:p>
    <w:p w14:paraId="23588112" w14:textId="77777777" w:rsidR="00517484" w:rsidRDefault="00D3344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155C4E08" w14:textId="77777777" w:rsidR="00517484" w:rsidRDefault="00517484">
      <w:pPr>
        <w:pBdr>
          <w:bottom w:val="single" w:sz="4" w:space="1" w:color="auto"/>
        </w:pBdr>
        <w:rPr>
          <w:rFonts w:ascii="Arial" w:hAnsi="Arial" w:cs="Arial"/>
        </w:rPr>
      </w:pPr>
    </w:p>
    <w:p w14:paraId="112A4F1E" w14:textId="77777777" w:rsidR="00517484" w:rsidRDefault="00517484">
      <w:pPr>
        <w:rPr>
          <w:rFonts w:ascii="Arial" w:hAnsi="Arial" w:cs="Arial"/>
        </w:rPr>
      </w:pPr>
    </w:p>
    <w:p w14:paraId="1F29ECF2" w14:textId="77777777" w:rsidR="00517484" w:rsidRDefault="00D3344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73B87D" w14:textId="77777777" w:rsidR="00517484" w:rsidRDefault="00D3344C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TA validation</w:t>
      </w:r>
    </w:p>
    <w:p w14:paraId="40794C35" w14:textId="77777777" w:rsidR="00517484" w:rsidRDefault="00D3344C">
      <w:pPr>
        <w:spacing w:after="120"/>
        <w:jc w:val="both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 w:hint="eastAsia"/>
          <w:color w:val="000000"/>
          <w:lang w:val="en-US" w:eastAsia="zh-CN"/>
        </w:rPr>
        <w:t>the</w:t>
      </w:r>
      <w:r>
        <w:rPr>
          <w:rFonts w:ascii="Arial" w:hAnsi="Arial" w:cs="Arial"/>
          <w:color w:val="000000"/>
          <w:lang w:val="en-US"/>
        </w:rPr>
        <w:t xml:space="preserve"> remain</w:t>
      </w:r>
      <w:r>
        <w:rPr>
          <w:rFonts w:ascii="Arial" w:hAnsi="Arial" w:cs="Arial" w:hint="eastAsia"/>
          <w:color w:val="000000"/>
          <w:lang w:val="en-US" w:eastAsia="zh-CN"/>
        </w:rPr>
        <w:t xml:space="preserve">ing issues on the SSB subset determination for RSRP based TA validation </w:t>
      </w:r>
      <w:r w:rsidR="00C02A8F">
        <w:rPr>
          <w:rFonts w:ascii="Arial" w:hAnsi="Arial" w:cs="Arial"/>
          <w:color w:val="000000"/>
          <w:lang w:val="en-US" w:eastAsia="zh-CN"/>
        </w:rPr>
        <w:t>but still companies</w:t>
      </w:r>
      <w:r>
        <w:rPr>
          <w:rFonts w:ascii="Arial" w:hAnsi="Arial" w:cs="Arial" w:hint="eastAsia"/>
          <w:color w:val="000000"/>
          <w:lang w:val="en-US" w:eastAsia="zh-CN"/>
        </w:rPr>
        <w:t xml:space="preserve"> cannot reach consensus </w:t>
      </w:r>
      <w:r w:rsidR="007506EB">
        <w:rPr>
          <w:rFonts w:ascii="Arial" w:hAnsi="Arial" w:cs="Arial"/>
          <w:color w:val="000000"/>
          <w:lang w:val="en-US" w:eastAsia="zh-CN"/>
        </w:rPr>
        <w:t xml:space="preserve">to select </w:t>
      </w:r>
      <w:r>
        <w:rPr>
          <w:rFonts w:ascii="Arial" w:hAnsi="Arial" w:cs="Arial" w:hint="eastAsia"/>
          <w:color w:val="000000"/>
          <w:lang w:val="en-US" w:eastAsia="zh-CN"/>
        </w:rPr>
        <w:t>on</w:t>
      </w:r>
      <w:r w:rsidR="007506EB">
        <w:rPr>
          <w:rFonts w:ascii="Arial" w:hAnsi="Arial" w:cs="Arial"/>
          <w:color w:val="000000"/>
          <w:lang w:val="en-US" w:eastAsia="zh-CN"/>
        </w:rPr>
        <w:t>e from</w:t>
      </w:r>
      <w:r>
        <w:rPr>
          <w:rFonts w:ascii="Arial" w:hAnsi="Arial" w:cs="Arial" w:hint="eastAsia"/>
          <w:color w:val="000000"/>
          <w:lang w:val="en-US" w:eastAsia="zh-CN"/>
        </w:rPr>
        <w:t xml:space="preserve"> the following options. RAN1 kindly asks if the down-selection</w:t>
      </w:r>
      <w:r w:rsidR="006D59FF">
        <w:rPr>
          <w:rFonts w:ascii="Arial" w:hAnsi="Arial" w:cs="Arial"/>
          <w:color w:val="000000"/>
          <w:lang w:val="en-US" w:eastAsia="zh-CN"/>
        </w:rPr>
        <w:t xml:space="preserve"> can be done in </w:t>
      </w:r>
      <w:r w:rsidR="00906257">
        <w:rPr>
          <w:rFonts w:ascii="Arial" w:hAnsi="Arial" w:cs="Arial"/>
          <w:color w:val="000000"/>
          <w:lang w:val="en-US" w:eastAsia="zh-CN"/>
        </w:rPr>
        <w:t>RAN2</w:t>
      </w:r>
      <w:r>
        <w:rPr>
          <w:rFonts w:ascii="Arial" w:hAnsi="Arial" w:cs="Arial" w:hint="eastAsia"/>
          <w:color w:val="000000"/>
          <w:lang w:val="en-US" w:eastAsia="zh-CN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517484" w14:paraId="5BF3AF74" w14:textId="77777777">
        <w:tc>
          <w:tcPr>
            <w:tcW w:w="10141" w:type="dxa"/>
          </w:tcPr>
          <w:p w14:paraId="086D5AF5" w14:textId="77777777" w:rsidR="00EC3D27" w:rsidRDefault="00EC3D27" w:rsidP="00EC3D27">
            <w:pPr>
              <w:rPr>
                <w:bCs/>
                <w:iCs/>
                <w:lang w:eastAsia="zh-CN"/>
              </w:rPr>
            </w:pPr>
            <w:r>
              <w:t>The SSB subset for RSRP based TA validation is determined as</w:t>
            </w:r>
          </w:p>
          <w:p w14:paraId="66472A57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1: W</w:t>
            </w:r>
            <w:r>
              <w:rPr>
                <w:bCs/>
                <w:iCs/>
                <w:lang w:eastAsia="zh-CN"/>
              </w:rPr>
              <w:t>ithin a set of SSBs configured per CG configuration</w:t>
            </w:r>
          </w:p>
          <w:p w14:paraId="5330346E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2: W</w:t>
            </w:r>
            <w:r>
              <w:rPr>
                <w:bCs/>
                <w:iCs/>
                <w:lang w:eastAsia="zh-CN"/>
              </w:rPr>
              <w:t>ithin a set of SSBs configured for all CG configurations</w:t>
            </w:r>
          </w:p>
          <w:p w14:paraId="7B583E38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3: W</w:t>
            </w:r>
            <w:r>
              <w:rPr>
                <w:bCs/>
                <w:iCs/>
                <w:lang w:eastAsia="zh-CN"/>
              </w:rPr>
              <w:t>ithin a set of all SSBs actually transmitted as indicated in SIB1</w:t>
            </w:r>
          </w:p>
          <w:p w14:paraId="0357D785" w14:textId="77777777" w:rsidR="00517484" w:rsidRDefault="00D3344C">
            <w:pPr>
              <w:numPr>
                <w:ilvl w:val="0"/>
                <w:numId w:val="6"/>
              </w:numPr>
            </w:pPr>
            <w:r>
              <w:rPr>
                <w:rFonts w:hint="eastAsia"/>
                <w:bCs/>
                <w:iCs/>
                <w:lang w:eastAsia="zh-CN"/>
              </w:rPr>
              <w:t xml:space="preserve">Option </w:t>
            </w:r>
            <w:r>
              <w:rPr>
                <w:rFonts w:hint="eastAsia"/>
                <w:bCs/>
                <w:iCs/>
                <w:strike/>
                <w:lang w:val="en-US" w:eastAsia="zh-CN"/>
              </w:rPr>
              <w:t>4</w:t>
            </w:r>
            <w:r>
              <w:rPr>
                <w:rFonts w:hint="eastAsia"/>
                <w:bCs/>
                <w:iCs/>
                <w:lang w:eastAsia="zh-CN"/>
              </w:rPr>
              <w:t>: Highest N SSBs of all SSBs actually transmitted as indicated in SIB1</w:t>
            </w:r>
          </w:p>
        </w:tc>
      </w:tr>
    </w:tbl>
    <w:p w14:paraId="2E9EE070" w14:textId="77777777" w:rsidR="00517484" w:rsidRDefault="00517484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</w:p>
    <w:p w14:paraId="201506BA" w14:textId="77777777" w:rsidR="00517484" w:rsidRDefault="00517484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61AFBF79" w14:textId="36D3AD38" w:rsidR="00517484" w:rsidRDefault="00D3344C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commentRangeStart w:id="1"/>
      <w:r>
        <w:rPr>
          <w:rFonts w:ascii="Arial" w:hAnsi="Arial" w:cs="Arial"/>
          <w:b/>
          <w:color w:val="000000"/>
          <w:u w:val="single"/>
          <w:lang w:eastAsia="zh-CN"/>
        </w:rPr>
        <w:t>SSB</w:t>
      </w:r>
      <w:r>
        <w:rPr>
          <w:rFonts w:ascii="Arial" w:hAnsi="Arial" w:cs="Arial" w:hint="eastAsia"/>
          <w:b/>
          <w:color w:val="000000"/>
          <w:u w:val="single"/>
          <w:lang w:val="en-US" w:eastAsia="zh-CN"/>
        </w:rPr>
        <w:t xml:space="preserve"> to PUSCH mapping </w:t>
      </w:r>
      <w:r>
        <w:rPr>
          <w:rFonts w:ascii="Arial" w:hAnsi="Arial" w:cs="Arial"/>
          <w:b/>
          <w:color w:val="000000"/>
          <w:u w:val="single"/>
          <w:lang w:eastAsia="zh-CN"/>
        </w:rPr>
        <w:t>for CG-SDT</w:t>
      </w:r>
      <w:commentRangeEnd w:id="1"/>
      <w:r w:rsidR="00A67952">
        <w:rPr>
          <w:rStyle w:val="af"/>
          <w:rFonts w:ascii="Arial" w:hAnsi="Arial"/>
        </w:rPr>
        <w:commentReference w:id="1"/>
      </w:r>
    </w:p>
    <w:p w14:paraId="2E515DC0" w14:textId="02106942" w:rsidR="00517484" w:rsidRDefault="00D3344C"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/>
          <w:color w:val="000000"/>
          <w:lang w:val="en-US" w:eastAsia="zh-CN"/>
        </w:rPr>
        <w:t>SSB</w:t>
      </w:r>
      <w:r>
        <w:rPr>
          <w:rFonts w:ascii="Arial" w:hAnsi="Arial" w:cs="Arial" w:hint="eastAsia"/>
          <w:color w:val="000000"/>
          <w:lang w:val="en-US" w:eastAsia="zh-CN"/>
        </w:rPr>
        <w:t xml:space="preserve"> to PUSCH mapping details</w:t>
      </w:r>
      <w:r>
        <w:rPr>
          <w:rFonts w:ascii="Arial" w:hAnsi="Arial" w:cs="Arial"/>
          <w:color w:val="000000"/>
          <w:lang w:val="en-US" w:eastAsia="zh-CN"/>
        </w:rPr>
        <w:t xml:space="preserve"> for CG-SDT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RAN1 will continue working on the </w:t>
      </w:r>
      <w:r>
        <w:rPr>
          <w:rFonts w:ascii="Arial" w:hAnsi="Arial" w:cs="Arial" w:hint="eastAsia"/>
          <w:color w:val="000000"/>
          <w:lang w:val="en-US" w:eastAsia="zh-CN"/>
        </w:rPr>
        <w:t xml:space="preserve">remaining </w:t>
      </w:r>
      <w:r>
        <w:rPr>
          <w:rFonts w:ascii="Arial" w:hAnsi="Arial" w:cs="Arial"/>
          <w:color w:val="000000"/>
          <w:lang w:val="en-US"/>
        </w:rPr>
        <w:t>details</w:t>
      </w:r>
      <w:r w:rsidR="00422CB2">
        <w:rPr>
          <w:rFonts w:ascii="Arial" w:hAnsi="Arial" w:cs="Arial"/>
          <w:color w:val="000000"/>
          <w:lang w:val="en-US"/>
        </w:rPr>
        <w:t xml:space="preserve"> (FFS part)</w:t>
      </w:r>
      <w:r>
        <w:rPr>
          <w:rFonts w:ascii="Arial" w:hAnsi="Arial" w:cs="Arial"/>
          <w:color w:val="000000"/>
          <w:lang w:val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517484" w14:paraId="41D2E888" w14:textId="77777777">
        <w:tc>
          <w:tcPr>
            <w:tcW w:w="10141" w:type="dxa"/>
          </w:tcPr>
          <w:p w14:paraId="02864B99" w14:textId="77777777" w:rsidR="00517484" w:rsidRDefault="00D3344C">
            <w:pPr>
              <w:shd w:val="clear" w:color="auto" w:fill="FFFFFF"/>
              <w:spacing w:before="75" w:line="288" w:lineRule="auto"/>
              <w:jc w:val="both"/>
              <w:rPr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 w14:paraId="0BDF6347" w14:textId="77777777" w:rsidR="005A1851" w:rsidRPr="00635344" w:rsidRDefault="005A1851" w:rsidP="005A1851">
            <w:pPr>
              <w:pStyle w:val="af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Each N of consecutive SSB indexes associated to one CG configuration are mapped to valid CG PUSCH resources</w:t>
            </w:r>
          </w:p>
          <w:p w14:paraId="13F05DA2" w14:textId="77777777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 xml:space="preserve">first, in increasing order of DMRS resource indexes, where a DMRS resource index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DMR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id</m:t>
                  </m:r>
                </m:sub>
              </m:sSub>
            </m:oMath>
            <w:r w:rsidRPr="00635344">
              <w:rPr>
                <w:lang w:eastAsia="zh-CN"/>
              </w:rPr>
              <w:t xml:space="preserve"> is determined first in an ascending order of a DMRS port index and second in an ascending order of a DMRS sequence index</w:t>
            </w:r>
          </w:p>
          <w:p w14:paraId="0744C43B" w14:textId="77777777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second, in increasing order of CG period indexes in the association period</w:t>
            </w:r>
          </w:p>
          <w:p w14:paraId="7428BDA2" w14:textId="77777777" w:rsidR="005A1851" w:rsidRPr="00635344" w:rsidRDefault="005A1851" w:rsidP="005A18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 xml:space="preserve">The mapping ratio N is explicitly signalled and the association period is implicitly derived </w:t>
            </w:r>
          </w:p>
          <w:p w14:paraId="48EE6EC0" w14:textId="75C042FB" w:rsidR="005A1851" w:rsidRPr="00635344" w:rsidRDefault="005A1851" w:rsidP="005A1851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FFS candidate value set of mapping ratio, and whether it is configured per CG configuration or per cell</w:t>
            </w:r>
          </w:p>
          <w:p w14:paraId="7E1B8A92" w14:textId="7CD6FC3A" w:rsidR="005A1851" w:rsidRPr="00635344" w:rsidRDefault="005A1851" w:rsidP="005A185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The SSB to CG PUSCH association period is the duration of multiple of CG periods depending the smallest time duration</w:t>
            </w:r>
            <w:r w:rsidRPr="00635344">
              <w:t xml:space="preserve"> in the set determined by the CG period such that</w:t>
            </w:r>
            <w:r w:rsidRPr="00635344">
              <w:rPr>
                <w:lang w:eastAsia="zh-CN"/>
              </w:rPr>
              <w:t xml:space="preserve"> all SSBs associated with the CG configuration are mapped at least once to CG PUSCH resources.</w:t>
            </w:r>
          </w:p>
          <w:p w14:paraId="01A0068B" w14:textId="2B372018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An association pattern period includes one or more association periods and is determined so that a pattern between CG PUSCH occasions and SS/PBCH block indexes associated with the CG configuration repeats at most every 640 msec.</w:t>
            </w:r>
          </w:p>
          <w:p w14:paraId="543AF19D" w14:textId="77777777" w:rsidR="005A1851" w:rsidRPr="00635344" w:rsidRDefault="005A1851" w:rsidP="005A185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Note: The mapping ordering and steps may be revisited if multiple CG PUSCH occasions in one CG period is supported</w:t>
            </w:r>
          </w:p>
          <w:p w14:paraId="3FF18220" w14:textId="77777777" w:rsidR="00517484" w:rsidRPr="005A1851" w:rsidRDefault="00517484">
            <w:pPr>
              <w:pStyle w:val="af1"/>
              <w:ind w:left="0"/>
              <w:rPr>
                <w:lang w:eastAsia="zh-CN"/>
              </w:rPr>
            </w:pPr>
          </w:p>
          <w:p w14:paraId="2F19CE75" w14:textId="77777777" w:rsidR="00517484" w:rsidRDefault="00D3344C" w:rsidP="000D32D5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u w:val="single"/>
                <w:lang w:eastAsia="zh-CN"/>
              </w:rPr>
            </w:pPr>
            <w:r>
              <w:rPr>
                <w:rFonts w:ascii="Times New Roman" w:hAnsi="Times New Roman" w:hint="eastAsia"/>
                <w:u w:val="single"/>
                <w:lang w:eastAsia="zh-CN"/>
              </w:rPr>
              <w:t>Multiple DMRS per CG configuration</w:t>
            </w:r>
          </w:p>
          <w:p w14:paraId="0C122743" w14:textId="77777777" w:rsidR="00517484" w:rsidRDefault="00D3344C" w:rsidP="000D32D5">
            <w:pPr>
              <w:pStyle w:val="af1"/>
              <w:numPr>
                <w:ilvl w:val="0"/>
                <w:numId w:val="12"/>
              </w:numPr>
              <w:spacing w:line="264" w:lineRule="auto"/>
              <w:rPr>
                <w:lang w:eastAsia="zh-CN"/>
              </w:rPr>
            </w:pPr>
            <w:r>
              <w:rPr>
                <w:lang w:eastAsia="zh-CN"/>
              </w:rPr>
              <w:t>Support multiple DMRS resources per CG configuration when single layer PUSCH transmission is assumed, and each DMRS resource could be mapped to the same or different SSB(s)</w:t>
            </w:r>
          </w:p>
          <w:p w14:paraId="2F78F721" w14:textId="77777777" w:rsidR="00517484" w:rsidRDefault="00D3344C" w:rsidP="000D32D5">
            <w:pPr>
              <w:pStyle w:val="af1"/>
              <w:numPr>
                <w:ilvl w:val="1"/>
                <w:numId w:val="13"/>
              </w:numPr>
              <w:spacing w:line="264" w:lineRule="auto"/>
              <w:rPr>
                <w:lang w:eastAsia="zh-CN"/>
              </w:rPr>
            </w:pPr>
            <w:r>
              <w:rPr>
                <w:lang w:eastAsia="zh-CN"/>
              </w:rPr>
              <w:t>FFS if multi-layer PUSCH transmission is supported for CG-SDT</w:t>
            </w:r>
          </w:p>
          <w:p w14:paraId="4EAD72E5" w14:textId="77777777" w:rsidR="00517484" w:rsidRPr="00635344" w:rsidRDefault="00D3344C" w:rsidP="000D32D5">
            <w:pPr>
              <w:pStyle w:val="af1"/>
              <w:numPr>
                <w:ilvl w:val="1"/>
                <w:numId w:val="13"/>
              </w:numPr>
              <w:spacing w:line="264" w:lineRule="auto"/>
              <w:rPr>
                <w:lang w:eastAsia="zh-CN"/>
              </w:rPr>
            </w:pPr>
            <w:r w:rsidRPr="00635344">
              <w:rPr>
                <w:lang w:eastAsia="zh-CN"/>
              </w:rPr>
              <w:t>FFS any limitation on the DMRS configuration if multiple CG PUSCH occasions per CG period is supported</w:t>
            </w:r>
          </w:p>
          <w:p w14:paraId="6F1DA716" w14:textId="77777777" w:rsidR="00517484" w:rsidRPr="00635344" w:rsidRDefault="00517484" w:rsidP="000D32D5">
            <w:pPr>
              <w:pStyle w:val="af1"/>
              <w:autoSpaceDE w:val="0"/>
              <w:autoSpaceDN w:val="0"/>
              <w:adjustRightInd w:val="0"/>
              <w:snapToGrid w:val="0"/>
              <w:spacing w:line="264" w:lineRule="auto"/>
              <w:ind w:left="0"/>
              <w:rPr>
                <w:lang w:eastAsia="zh-CN"/>
              </w:rPr>
            </w:pPr>
          </w:p>
          <w:p w14:paraId="5F9FE669" w14:textId="77777777" w:rsidR="00517484" w:rsidRPr="00635344" w:rsidRDefault="00D3344C" w:rsidP="000D32D5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  <w:r w:rsidRPr="00635344">
              <w:rPr>
                <w:rFonts w:ascii="Times New Roman" w:hAnsi="Times New Roman" w:hint="eastAsia"/>
                <w:u w:val="single"/>
                <w:lang w:val="en-US" w:eastAsia="zh-CN"/>
              </w:rPr>
              <w:t>Repetitions</w:t>
            </w:r>
          </w:p>
          <w:p w14:paraId="145727E2" w14:textId="77777777" w:rsidR="00517484" w:rsidRPr="00635344" w:rsidRDefault="00D3344C" w:rsidP="000D32D5">
            <w:pPr>
              <w:numPr>
                <w:ilvl w:val="0"/>
                <w:numId w:val="14"/>
              </w:numPr>
              <w:spacing w:line="264" w:lineRule="auto"/>
              <w:rPr>
                <w:lang w:eastAsia="zh-CN"/>
              </w:rPr>
            </w:pPr>
            <w:r w:rsidRPr="00635344">
              <w:rPr>
                <w:shd w:val="clear" w:color="auto" w:fill="FFFFFF"/>
              </w:rPr>
              <w:lastRenderedPageBreak/>
              <w:t>Repetition K&gt;1 is supported at least when</w:t>
            </w:r>
            <w:r w:rsidRPr="00635344">
              <w:rPr>
                <w:rStyle w:val="apple-converted-space"/>
                <w:shd w:val="clear" w:color="auto" w:fill="FFFFFF"/>
              </w:rPr>
              <w:t> </w:t>
            </w:r>
            <w:r w:rsidRPr="00635344">
              <w:rPr>
                <w:shd w:val="clear" w:color="auto" w:fill="FFFFFF"/>
              </w:rPr>
              <w:t>a consistent number of valid repetitions across different CG periods</w:t>
            </w:r>
            <w:r w:rsidRPr="00635344">
              <w:rPr>
                <w:rStyle w:val="apple-converted-space"/>
                <w:shd w:val="clear" w:color="auto" w:fill="FFFFFF"/>
              </w:rPr>
              <w:t> </w:t>
            </w:r>
            <w:r w:rsidRPr="00635344">
              <w:rPr>
                <w:shd w:val="clear" w:color="auto" w:fill="FFFFFF"/>
              </w:rPr>
              <w:t>can be guaranteed for each associated SSB</w:t>
            </w:r>
            <w:r w:rsidRPr="00635344">
              <w:rPr>
                <w:lang w:eastAsia="zh-CN"/>
              </w:rPr>
              <w:t>.</w:t>
            </w:r>
          </w:p>
          <w:p w14:paraId="6EA1C57E" w14:textId="56CD313A" w:rsidR="00517484" w:rsidRPr="000D32D5" w:rsidRDefault="00D3344C" w:rsidP="000D32D5">
            <w:pPr>
              <w:numPr>
                <w:ilvl w:val="1"/>
                <w:numId w:val="14"/>
              </w:numPr>
              <w:spacing w:line="264" w:lineRule="auto"/>
              <w:rPr>
                <w:lang w:eastAsia="zh-CN"/>
              </w:rPr>
            </w:pPr>
            <w:r w:rsidRPr="00635344">
              <w:rPr>
                <w:rFonts w:hint="eastAsia"/>
                <w:lang w:eastAsia="zh-CN"/>
              </w:rPr>
              <w:t xml:space="preserve">The repetitions </w:t>
            </w:r>
            <w:r w:rsidR="000D32D5" w:rsidRPr="000D32D5">
              <w:rPr>
                <w:lang w:eastAsia="zh-CN"/>
              </w:rPr>
              <w:t>within one CG period</w:t>
            </w:r>
            <w:r w:rsidR="000D32D5" w:rsidRPr="000D32D5">
              <w:rPr>
                <w:rFonts w:hint="eastAsia"/>
                <w:lang w:eastAsia="zh-CN"/>
              </w:rPr>
              <w:t xml:space="preserve"> </w:t>
            </w:r>
            <w:r w:rsidRPr="00635344">
              <w:rPr>
                <w:rFonts w:hint="eastAsia"/>
                <w:lang w:eastAsia="zh-CN"/>
              </w:rPr>
              <w:t>are considered as a bundle of transmission occasions that are mapped to the same SSB(s)</w:t>
            </w:r>
            <w:r w:rsidRPr="00635344">
              <w:rPr>
                <w:strike/>
                <w:lang w:eastAsia="zh-CN"/>
              </w:rPr>
              <w:t xml:space="preserve"> </w:t>
            </w:r>
          </w:p>
          <w:p w14:paraId="0A46B576" w14:textId="77777777" w:rsidR="000D32D5" w:rsidRPr="000D32D5" w:rsidRDefault="000D32D5" w:rsidP="000D32D5">
            <w:pPr>
              <w:pStyle w:val="af1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>FFS details if Rel-16 CG Type 1 repetition mechanism cannot work for CG-SDT in Rel-17.</w:t>
            </w:r>
          </w:p>
          <w:p w14:paraId="4F225C0C" w14:textId="77777777" w:rsidR="00517484" w:rsidRPr="00635344" w:rsidRDefault="00D3344C" w:rsidP="000D32D5">
            <w:pPr>
              <w:numPr>
                <w:ilvl w:val="0"/>
                <w:numId w:val="14"/>
              </w:numPr>
              <w:spacing w:line="264" w:lineRule="auto"/>
              <w:rPr>
                <w:lang w:eastAsia="zh-CN"/>
              </w:rPr>
            </w:pPr>
            <w:r w:rsidRPr="00635344">
              <w:rPr>
                <w:lang w:eastAsia="zh-CN"/>
              </w:rPr>
              <w:t xml:space="preserve">FFS if repetition can be supported or not when the </w:t>
            </w:r>
            <w:r w:rsidRPr="00635344">
              <w:rPr>
                <w:shd w:val="clear" w:color="auto" w:fill="FFFFFF"/>
              </w:rPr>
              <w:t>number of valid repetitions across different CG periods</w:t>
            </w:r>
            <w:r w:rsidRPr="00635344">
              <w:rPr>
                <w:rStyle w:val="apple-converted-space"/>
                <w:shd w:val="clear" w:color="auto" w:fill="FFFFFF"/>
              </w:rPr>
              <w:t> </w:t>
            </w:r>
            <w:r w:rsidRPr="00635344">
              <w:rPr>
                <w:shd w:val="clear" w:color="auto" w:fill="FFFFFF"/>
              </w:rPr>
              <w:t>for each associated SSB is not consistent.</w:t>
            </w:r>
          </w:p>
          <w:p w14:paraId="74321A23" w14:textId="77777777" w:rsidR="00517484" w:rsidRDefault="00517484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</w:p>
          <w:p w14:paraId="4121B27E" w14:textId="77777777" w:rsidR="00517484" w:rsidRDefault="00D3344C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u w:val="single"/>
                <w:lang w:val="en-US" w:eastAsia="zh-CN"/>
              </w:rPr>
              <w:t>Validation of PUSCH occasion</w:t>
            </w:r>
          </w:p>
          <w:p w14:paraId="334D9B49" w14:textId="77777777" w:rsidR="000D32D5" w:rsidRPr="000D32D5" w:rsidRDefault="000D32D5" w:rsidP="000D32D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>The following PUSCH occasion validation rule is applied for CG-SDT</w:t>
            </w:r>
          </w:p>
          <w:p w14:paraId="434B117E" w14:textId="77777777" w:rsidR="000D32D5" w:rsidRPr="000D32D5" w:rsidRDefault="000D32D5" w:rsidP="000D32D5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>for unpaired spectrum and for SS/PBCH blocks with indexes provided by</w:t>
            </w:r>
            <w:r w:rsidRPr="000D32D5">
              <w:t xml:space="preserve"> </w:t>
            </w:r>
            <w:proofErr w:type="spellStart"/>
            <w:r w:rsidRPr="000D32D5">
              <w:rPr>
                <w:i/>
              </w:rPr>
              <w:t>ssb-PositionsInBurst</w:t>
            </w:r>
            <w:proofErr w:type="spellEnd"/>
            <w:r w:rsidRPr="000D32D5">
              <w:t xml:space="preserve"> in </w:t>
            </w:r>
            <w:r w:rsidRPr="000D32D5">
              <w:rPr>
                <w:i/>
              </w:rPr>
              <w:t>S</w:t>
            </w:r>
            <w:r w:rsidRPr="000D32D5">
              <w:rPr>
                <w:i/>
                <w:lang w:eastAsia="zh-CN"/>
              </w:rPr>
              <w:t>IB</w:t>
            </w:r>
            <w:r w:rsidRPr="000D32D5">
              <w:rPr>
                <w:i/>
              </w:rPr>
              <w:t>1</w:t>
            </w:r>
            <w:r w:rsidRPr="000D32D5">
              <w:t xml:space="preserve"> or by </w:t>
            </w:r>
            <w:proofErr w:type="spellStart"/>
            <w:r w:rsidRPr="000D32D5">
              <w:rPr>
                <w:i/>
              </w:rPr>
              <w:t>ServingCellConfigCommon</w:t>
            </w:r>
            <w:proofErr w:type="spellEnd"/>
            <w:r w:rsidRPr="000D32D5">
              <w:rPr>
                <w:lang w:eastAsia="zh-CN"/>
              </w:rPr>
              <w:t xml:space="preserve"> </w:t>
            </w:r>
          </w:p>
          <w:p w14:paraId="31EADDAD" w14:textId="77777777" w:rsidR="000D32D5" w:rsidRPr="000D32D5" w:rsidRDefault="000D32D5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if a UE is provided </w:t>
            </w:r>
            <w:proofErr w:type="spellStart"/>
            <w:r w:rsidRPr="000D32D5">
              <w:rPr>
                <w:i/>
              </w:rPr>
              <w:t>tdd</w:t>
            </w:r>
            <w:proofErr w:type="spellEnd"/>
            <w:r w:rsidRPr="000D32D5">
              <w:rPr>
                <w:i/>
              </w:rPr>
              <w:t>-UL-DL-</w:t>
            </w:r>
            <w:proofErr w:type="spellStart"/>
            <w:r w:rsidRPr="000D32D5">
              <w:rPr>
                <w:i/>
              </w:rPr>
              <w:t>ConfigurationCommon</w:t>
            </w:r>
            <w:proofErr w:type="spellEnd"/>
            <w:r w:rsidRPr="000D32D5">
              <w:rPr>
                <w:lang w:eastAsia="zh-CN"/>
              </w:rPr>
              <w:t xml:space="preserve">, the valid PO is the PO in UL part in a slot, or at least </w:t>
            </w:r>
            <w:proofErr w:type="spellStart"/>
            <w:r w:rsidRPr="000D32D5">
              <w:rPr>
                <w:i/>
                <w:lang w:eastAsia="zh-CN"/>
              </w:rPr>
              <w:t>Ngap</w:t>
            </w:r>
            <w:proofErr w:type="spellEnd"/>
            <w:r w:rsidRPr="000D32D5">
              <w:rPr>
                <w:lang w:eastAsia="zh-CN"/>
              </w:rPr>
              <w:t xml:space="preserve"> symbols after the end of the DL part in a slot or after the end of the SSB in a slot</w:t>
            </w:r>
          </w:p>
          <w:p w14:paraId="1A46F397" w14:textId="52990821" w:rsidR="000D32D5" w:rsidRPr="000D32D5" w:rsidRDefault="000D32D5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if a UE is not provided </w:t>
            </w:r>
            <w:proofErr w:type="spellStart"/>
            <w:r w:rsidRPr="000D32D5">
              <w:rPr>
                <w:i/>
              </w:rPr>
              <w:t>tdd</w:t>
            </w:r>
            <w:proofErr w:type="spellEnd"/>
            <w:r w:rsidRPr="000D32D5">
              <w:rPr>
                <w:i/>
              </w:rPr>
              <w:t>-UL-DL-</w:t>
            </w:r>
            <w:proofErr w:type="spellStart"/>
            <w:r w:rsidRPr="000D32D5">
              <w:rPr>
                <w:i/>
              </w:rPr>
              <w:t>ConfigurationCommon</w:t>
            </w:r>
            <w:proofErr w:type="spellEnd"/>
            <w:r w:rsidRPr="000D32D5">
              <w:rPr>
                <w:iCs/>
              </w:rPr>
              <w:t xml:space="preserve">, the valid PO does not precede a SS/PBCH block in the PUSCH slot, starts at least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gap</m:t>
                  </m:r>
                </m:sub>
              </m:sSub>
            </m:oMath>
            <w:r w:rsidRPr="000D32D5">
              <w:rPr>
                <w:iCs/>
              </w:rPr>
              <w:t xml:space="preserve"> symbols after a last SS/PBCH block symb</w:t>
            </w:r>
            <w:r w:rsidR="00AA6C8C">
              <w:rPr>
                <w:iCs/>
              </w:rPr>
              <w:t>ol</w:t>
            </w:r>
          </w:p>
          <w:p w14:paraId="2EFBB51C" w14:textId="325D219A" w:rsidR="000D32D5" w:rsidRPr="000D32D5" w:rsidRDefault="00802360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gap</m:t>
                  </m:r>
                </m:sub>
              </m:sSub>
            </m:oMath>
            <w:r w:rsidR="000D32D5" w:rsidRPr="000D32D5">
              <w:rPr>
                <w:iCs/>
              </w:rPr>
              <w:t xml:space="preserve">  is provided in Table 8.1-2</w:t>
            </w:r>
            <w:r w:rsidR="00220BDE">
              <w:rPr>
                <w:iCs/>
              </w:rPr>
              <w:t xml:space="preserve"> in TS 38.213</w:t>
            </w:r>
          </w:p>
          <w:p w14:paraId="37188E00" w14:textId="77777777" w:rsidR="000D32D5" w:rsidRPr="000D32D5" w:rsidRDefault="000D32D5" w:rsidP="000D32D5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FFS if any validation rule following the CG-PUSCH in RRC connected state is applicable, and whether and how to handle the overlapping between CG-PUSCH occasions for CG-SDT and any valid PRACH occasion or </w:t>
            </w:r>
            <w:proofErr w:type="spellStart"/>
            <w:r w:rsidRPr="000D32D5">
              <w:rPr>
                <w:lang w:eastAsia="zh-CN"/>
              </w:rPr>
              <w:t>MsgA</w:t>
            </w:r>
            <w:proofErr w:type="spellEnd"/>
            <w:r w:rsidRPr="000D32D5">
              <w:rPr>
                <w:lang w:eastAsia="zh-CN"/>
              </w:rPr>
              <w:t xml:space="preserve"> PUSCH occasion.</w:t>
            </w:r>
          </w:p>
          <w:p w14:paraId="19D7DF82" w14:textId="67A8D1C1" w:rsidR="001E3886" w:rsidRPr="001E3886" w:rsidRDefault="001E3886" w:rsidP="001E388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jc w:val="both"/>
              <w:rPr>
                <w:lang w:eastAsia="zh-CN"/>
              </w:rPr>
            </w:pPr>
            <w:r w:rsidRPr="001E3886">
              <w:rPr>
                <w:lang w:eastAsia="zh-CN"/>
              </w:rPr>
              <w:t>FFS the rule for paired spectrum, and whether or not to consider the impact for UEs operates in Type-A HD-FDD and CG-SDT if supported</w:t>
            </w:r>
          </w:p>
          <w:p w14:paraId="3B799196" w14:textId="376E4567" w:rsidR="000D32D5" w:rsidRPr="001E3886" w:rsidRDefault="000D32D5" w:rsidP="000D32D5"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lang w:eastAsia="zh-CN"/>
              </w:rPr>
            </w:pPr>
          </w:p>
        </w:tc>
      </w:tr>
    </w:tbl>
    <w:p w14:paraId="532F765B" w14:textId="77777777" w:rsidR="00517484" w:rsidRDefault="00517484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 w:eastAsia="zh-CN"/>
        </w:rPr>
      </w:pPr>
    </w:p>
    <w:p w14:paraId="5EDC6FCD" w14:textId="77777777" w:rsidR="00517484" w:rsidRDefault="00517484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49B9F725" w14:textId="77777777" w:rsidR="00517484" w:rsidRDefault="00D3344C"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E4B20F4" w14:textId="77777777" w:rsidR="00517484" w:rsidRDefault="00D3344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 w14:paraId="233C1AAB" w14:textId="55BB96D2" w:rsidR="00517484" w:rsidRDefault="00D3344C"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ascii="Arial" w:hAnsi="Arial" w:cs="Arial" w:hint="eastAsia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ascii="Arial" w:hAnsi="Arial" w:cs="Arial" w:hint="eastAsia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ascii="Arial" w:hAnsi="Arial" w:cs="Arial" w:hint="eastAsia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</w:t>
      </w:r>
      <w:r w:rsidR="004E7C21">
        <w:rPr>
          <w:rFonts w:ascii="Arial" w:hAnsi="Arial" w:cs="Arial"/>
          <w:color w:val="000000"/>
        </w:rPr>
        <w:t xml:space="preserve"> and select one option for </w:t>
      </w:r>
      <w:r w:rsidR="004E7C21" w:rsidRPr="004E7C21">
        <w:rPr>
          <w:rFonts w:ascii="Arial" w:hAnsi="Arial" w:cs="Arial"/>
          <w:color w:val="000000"/>
        </w:rPr>
        <w:t>the SSB subset determination for RSRP based TA validation</w:t>
      </w:r>
      <w:r>
        <w:rPr>
          <w:rFonts w:ascii="Arial" w:hAnsi="Arial" w:cs="Arial"/>
          <w:color w:val="000000"/>
        </w:rPr>
        <w:t>.</w:t>
      </w:r>
    </w:p>
    <w:p w14:paraId="53D7C67F" w14:textId="77777777" w:rsidR="00517484" w:rsidRDefault="00517484">
      <w:pPr>
        <w:spacing w:after="120"/>
        <w:rPr>
          <w:rFonts w:ascii="Arial" w:hAnsi="Arial" w:cs="Arial"/>
          <w:b/>
          <w:highlight w:val="yellow"/>
        </w:rPr>
      </w:pPr>
    </w:p>
    <w:p w14:paraId="17E6CEB4" w14:textId="77777777" w:rsidR="00517484" w:rsidRDefault="00D3344C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 w14:paraId="0C949DB2" w14:textId="77777777" w:rsidR="00517484" w:rsidRDefault="00D3344C">
      <w:pPr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#106b-e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</w:t>
      </w:r>
      <w:r>
        <w:rPr>
          <w:rFonts w:ascii="Arial" w:eastAsia="MS Mincho" w:hAnsi="Arial" w:cs="Arial"/>
          <w:bCs/>
          <w:lang w:eastAsia="ja-JP"/>
        </w:rPr>
        <w:t>11</w:t>
      </w:r>
      <w:r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Oct – 19</w:t>
      </w:r>
      <w:r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Oct 2021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 xml:space="preserve">                        </w:t>
      </w:r>
      <w:r>
        <w:rPr>
          <w:rFonts w:ascii="Arial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  <w:lang w:eastAsia="zh-CN"/>
        </w:rPr>
        <w:t>e-meeting</w:t>
      </w:r>
    </w:p>
    <w:p w14:paraId="3C726206" w14:textId="77777777" w:rsidR="00517484" w:rsidRDefault="00D3344C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e-meeting</w:t>
      </w:r>
    </w:p>
    <w:p w14:paraId="0B27480A" w14:textId="77777777" w:rsidR="00517484" w:rsidRDefault="0051748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17484">
      <w:pgSz w:w="11907" w:h="16840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TE" w:date="2021-08-25T21:49:00Z" w:initials="TL">
    <w:p w14:paraId="1505C718" w14:textId="77777777" w:rsidR="00A67952" w:rsidRDefault="00A67952">
      <w:pPr>
        <w:pStyle w:val="a3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>To be updated according to the final agreement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5C7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5EA"/>
    <w:multiLevelType w:val="multilevel"/>
    <w:tmpl w:val="024B25E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F53328"/>
    <w:multiLevelType w:val="multilevel"/>
    <w:tmpl w:val="10F533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202E80"/>
    <w:multiLevelType w:val="multilevel"/>
    <w:tmpl w:val="15202E8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C0295C"/>
    <w:multiLevelType w:val="multilevel"/>
    <w:tmpl w:val="18C0295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337213"/>
    <w:multiLevelType w:val="multilevel"/>
    <w:tmpl w:val="19337213"/>
    <w:lvl w:ilvl="0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6">
    <w:nsid w:val="1E6183B9"/>
    <w:multiLevelType w:val="multilevel"/>
    <w:tmpl w:val="1E6183B9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E78C38"/>
    <w:multiLevelType w:val="multilevel"/>
    <w:tmpl w:val="3FE78C3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>
    <w:nsid w:val="500FAFDD"/>
    <w:multiLevelType w:val="multilevel"/>
    <w:tmpl w:val="500FAF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332E1"/>
    <w:multiLevelType w:val="multilevel"/>
    <w:tmpl w:val="515332E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2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8362A71"/>
    <w:multiLevelType w:val="multilevel"/>
    <w:tmpl w:val="68362A7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D84113A"/>
    <w:multiLevelType w:val="multilevel"/>
    <w:tmpl w:val="6D84113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2010B"/>
    <w:rsid w:val="00621616"/>
    <w:rsid w:val="00624E7D"/>
    <w:rsid w:val="00627B5A"/>
    <w:rsid w:val="00630A53"/>
    <w:rsid w:val="00634891"/>
    <w:rsid w:val="00635344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0D4A3"/>
  <w15:docId w15:val="{7C06AF1F-D2DA-4CFC-A392-C62C0941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1"/>
    <w:uiPriority w:val="99"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semiHidden/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semiHidden/>
    <w:rPr>
      <w:sz w:val="16"/>
    </w:rPr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0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0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styleId="af1">
    <w:name w:val="List Paragraph"/>
    <w:basedOn w:val="a"/>
    <w:uiPriority w:val="34"/>
    <w:qFormat/>
    <w:pPr>
      <w:ind w:left="720"/>
    </w:pPr>
  </w:style>
  <w:style w:type="character" w:customStyle="1" w:styleId="Char">
    <w:name w:val="批注文字 Char"/>
    <w:link w:val="a3"/>
    <w:uiPriority w:val="99"/>
    <w:qFormat/>
    <w:rPr>
      <w:rFonts w:ascii="Arial" w:hAnsi="Arial"/>
      <w:lang w:val="en-GB"/>
    </w:rPr>
  </w:style>
  <w:style w:type="character" w:customStyle="1" w:styleId="Char1">
    <w:name w:val="页眉 Char"/>
    <w:link w:val="a7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5"/>
      </w:numPr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24</cp:revision>
  <dcterms:created xsi:type="dcterms:W3CDTF">2021-05-27T23:57:00Z</dcterms:created>
  <dcterms:modified xsi:type="dcterms:W3CDTF">2021-08-25T15:44:00Z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