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xml:space="preserve">. </w:t>
      </w:r>
      <w:r w:rsidR="0061625D">
        <w:t xml:space="preserve">RAN1 made the following </w:t>
      </w:r>
      <w:commentRangeStart w:id="2"/>
      <w:r w:rsidR="0061625D">
        <w:t>agreements</w:t>
      </w:r>
      <w:commentRangeEnd w:id="2"/>
      <w:r w:rsidR="0061625D">
        <w:rPr>
          <w:rStyle w:val="af7"/>
          <w:lang w:val="x-none"/>
        </w:rPr>
        <w:commentReference w:id="2"/>
      </w:r>
      <w:r w:rsidR="0061625D">
        <w:t xml:space="preserve">/conclusion for </w:t>
      </w:r>
      <w:r w:rsidR="0061625D">
        <w:t>RA-SDT</w:t>
      </w:r>
      <w:r w:rsidR="0061625D">
        <w:t>.</w:t>
      </w:r>
    </w:p>
    <w:tbl>
      <w:tblPr>
        <w:tblStyle w:val="ae"/>
        <w:tblW w:w="0" w:type="auto"/>
        <w:tblLook w:val="04A0" w:firstRow="1" w:lastRow="0" w:firstColumn="1" w:lastColumn="0" w:noHBand="0" w:noVBand="1"/>
      </w:tblPr>
      <w:tblGrid>
        <w:gridCol w:w="9855"/>
      </w:tblGrid>
      <w:tr w:rsidR="00806725" w14:paraId="1894793E" w14:textId="77777777" w:rsidTr="00A902BF">
        <w:tc>
          <w:tcPr>
            <w:tcW w:w="9855" w:type="dxa"/>
          </w:tcPr>
          <w:p w14:paraId="2471E52D" w14:textId="5B1C9982" w:rsidR="0061625D" w:rsidRPr="00A902BF" w:rsidRDefault="0061625D" w:rsidP="0061625D">
            <w:pPr>
              <w:rPr>
                <w:rStyle w:val="aff"/>
              </w:rPr>
            </w:pPr>
            <w:r>
              <w:rPr>
                <w:rStyle w:val="aff"/>
              </w:rPr>
              <w:t xml:space="preserve">Proposal 1: </w:t>
            </w:r>
            <w:r w:rsidRPr="0061625D">
              <w:rPr>
                <w:rStyle w:val="aff"/>
                <w:b w:val="0"/>
              </w:rPr>
              <w:t>For RA-SDT, when PRACH occasions are separate between SDT and non-SDT, the existing PRACH resource configurations can be separately configured, including 4-step RACH and/or 2-step RACH based SDT.</w:t>
            </w:r>
          </w:p>
          <w:p w14:paraId="4071B542"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r w:rsidRPr="00A902BF">
              <w:rPr>
                <w:strike/>
                <w:color w:val="FF0000"/>
              </w:rPr>
              <w:t xml:space="preserve">E.g. following parameters can be configured </w:t>
            </w:r>
          </w:p>
          <w:p w14:paraId="654378E5"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r w:rsidRPr="00A902BF">
              <w:rPr>
                <w:strike/>
                <w:color w:val="FF0000"/>
              </w:rPr>
              <w:t>PRACH Configuration Index</w:t>
            </w:r>
          </w:p>
          <w:p w14:paraId="6881D3D0"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r w:rsidRPr="00A902BF">
              <w:rPr>
                <w:strike/>
                <w:color w:val="FF0000"/>
              </w:rPr>
              <w:t xml:space="preserve">Time resources and frequency resources of PRACH resources, </w:t>
            </w:r>
          </w:p>
          <w:p w14:paraId="57A7BE9C"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r w:rsidRPr="00A902BF">
              <w:rPr>
                <w:strike/>
                <w:color w:val="FF0000"/>
              </w:rPr>
              <w:t xml:space="preserve">Number of SSBs associated with a valid RO, </w:t>
            </w:r>
          </w:p>
          <w:p w14:paraId="59483DAA"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r w:rsidRPr="00A902BF">
              <w:rPr>
                <w:strike/>
                <w:color w:val="FF0000"/>
              </w:rPr>
              <w:t xml:space="preserve">Number of </w:t>
            </w:r>
            <w:proofErr w:type="gramStart"/>
            <w:r w:rsidRPr="00A902BF">
              <w:rPr>
                <w:strike/>
                <w:color w:val="FF0000"/>
              </w:rPr>
              <w:t>contention based</w:t>
            </w:r>
            <w:proofErr w:type="gramEnd"/>
            <w:r w:rsidRPr="00A902BF">
              <w:rPr>
                <w:strike/>
                <w:color w:val="FF0000"/>
              </w:rPr>
              <w:t xml:space="preserve"> preambles per SSB per valid RO, </w:t>
            </w:r>
          </w:p>
          <w:p w14:paraId="4372782D"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proofErr w:type="spellStart"/>
            <w:r w:rsidRPr="00A902BF">
              <w:rPr>
                <w:strike/>
                <w:color w:val="FF0000"/>
              </w:rPr>
              <w:t>totalNumberofRA</w:t>
            </w:r>
            <w:proofErr w:type="spellEnd"/>
            <w:r w:rsidRPr="00A902BF">
              <w:rPr>
                <w:strike/>
                <w:color w:val="FF0000"/>
              </w:rPr>
              <w:t>-Preambles</w:t>
            </w:r>
          </w:p>
          <w:p w14:paraId="197932E3"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proofErr w:type="spellStart"/>
            <w:r w:rsidRPr="00A902BF">
              <w:rPr>
                <w:strike/>
                <w:color w:val="FF0000"/>
              </w:rPr>
              <w:t>prach-RootSequenceIndex</w:t>
            </w:r>
            <w:proofErr w:type="spellEnd"/>
            <w:r w:rsidRPr="00A902BF">
              <w:rPr>
                <w:strike/>
                <w:color w:val="FF0000"/>
              </w:rPr>
              <w:t xml:space="preserve">, </w:t>
            </w:r>
          </w:p>
          <w:p w14:paraId="59A1EE74"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proofErr w:type="spellStart"/>
            <w:r w:rsidRPr="00A902BF">
              <w:rPr>
                <w:strike/>
                <w:color w:val="FF0000"/>
              </w:rPr>
              <w:t>zeroCorrelationZoneConfig</w:t>
            </w:r>
            <w:proofErr w:type="spellEnd"/>
            <w:r w:rsidRPr="00A902BF">
              <w:rPr>
                <w:strike/>
                <w:color w:val="FF0000"/>
              </w:rPr>
              <w:t xml:space="preserve">, </w:t>
            </w:r>
          </w:p>
          <w:p w14:paraId="3445B6A0"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rPr>
                <w:strike/>
                <w:color w:val="FF0000"/>
              </w:rPr>
            </w:pPr>
            <w:proofErr w:type="spellStart"/>
            <w:r w:rsidRPr="00A902BF">
              <w:rPr>
                <w:strike/>
                <w:color w:val="FF0000"/>
              </w:rPr>
              <w:t>restrictedSetConfig</w:t>
            </w:r>
            <w:proofErr w:type="spellEnd"/>
          </w:p>
          <w:p w14:paraId="717BF3D6" w14:textId="77777777" w:rsidR="0061625D" w:rsidRPr="00A902BF" w:rsidRDefault="0061625D" w:rsidP="0061625D">
            <w:pPr>
              <w:pStyle w:val="af5"/>
              <w:numPr>
                <w:ilvl w:val="0"/>
                <w:numId w:val="7"/>
              </w:numPr>
              <w:overflowPunct/>
              <w:autoSpaceDE/>
              <w:autoSpaceDN/>
              <w:adjustRightInd/>
              <w:spacing w:line="259" w:lineRule="auto"/>
              <w:contextualSpacing w:val="0"/>
              <w:jc w:val="both"/>
              <w:textAlignment w:val="auto"/>
            </w:pPr>
            <w:r w:rsidRPr="00A902BF">
              <w:rPr>
                <w:strike/>
                <w:color w:val="FF0000"/>
              </w:rPr>
              <w:t>FFS if separate ROs need to be configured for RA-SDT of both 4-step RACH and 2-step RACH</w:t>
            </w:r>
          </w:p>
          <w:p w14:paraId="3B463F2B" w14:textId="77777777" w:rsidR="0061625D" w:rsidRDefault="0061625D" w:rsidP="0061625D"/>
          <w:p w14:paraId="37ADA25D" w14:textId="17E52597" w:rsidR="0061625D" w:rsidRPr="00A902BF" w:rsidRDefault="0061625D" w:rsidP="0061625D">
            <w:pPr>
              <w:rPr>
                <w:rFonts w:eastAsiaTheme="minorEastAsia"/>
                <w:lang w:eastAsia="zh-CN"/>
              </w:rPr>
            </w:pPr>
            <w:r>
              <w:rPr>
                <w:rFonts w:eastAsiaTheme="minorEastAsia"/>
                <w:b/>
                <w:lang w:eastAsia="zh-CN"/>
              </w:rPr>
              <w:t>P</w:t>
            </w:r>
            <w:r w:rsidRPr="00A902BF">
              <w:rPr>
                <w:rFonts w:eastAsiaTheme="minorEastAsia"/>
                <w:b/>
                <w:lang w:eastAsia="zh-CN"/>
              </w:rPr>
              <w:t xml:space="preserve">roposal 2: </w:t>
            </w:r>
            <w:r w:rsidRPr="00A902BF">
              <w:rPr>
                <w:rFonts w:eastAsiaTheme="minorEastAsia"/>
                <w:lang w:eastAsia="zh-CN"/>
              </w:rPr>
              <w:t>For RA-SDT, when PRACH occasions are shared between SDT and non-SDT, at least following parameters can be configured, including 4-step RACH and/or 2-step RACH based SDT operation.</w:t>
            </w:r>
          </w:p>
          <w:p w14:paraId="1B3AAC78"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lang w:val="en-US" w:eastAsia="zh-CN"/>
              </w:rPr>
            </w:pPr>
            <w:r w:rsidRPr="00A902BF">
              <w:rPr>
                <w:rFonts w:eastAsiaTheme="minorEastAsia"/>
                <w:lang w:val="en-US" w:eastAsia="zh-CN"/>
              </w:rPr>
              <w:t>Number of contention-based preambles for SDT per SSB per valid RO</w:t>
            </w:r>
          </w:p>
          <w:p w14:paraId="34F7338A"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strike/>
                <w:color w:val="FF0000"/>
                <w:lang w:val="en-US" w:eastAsia="zh-CN"/>
              </w:rPr>
            </w:pPr>
            <w:r w:rsidRPr="00A902BF">
              <w:rPr>
                <w:rFonts w:eastAsiaTheme="minorEastAsia"/>
                <w:strike/>
                <w:color w:val="FF0000"/>
                <w:lang w:val="en-US" w:eastAsia="zh-CN"/>
              </w:rPr>
              <w:t>Starting position of the preambles for SDT per SSB per valid RO</w:t>
            </w:r>
          </w:p>
          <w:p w14:paraId="0A80F49A"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hint="eastAsia"/>
                <w:strike/>
                <w:color w:val="FF0000"/>
                <w:lang w:val="en-US" w:eastAsia="zh-CN"/>
              </w:rPr>
            </w:pPr>
            <w:r w:rsidRPr="00A902BF">
              <w:rPr>
                <w:rFonts w:eastAsiaTheme="minorEastAsia"/>
                <w:strike/>
                <w:color w:val="FF0000"/>
                <w:lang w:val="en-US" w:eastAsia="zh-CN"/>
              </w:rPr>
              <w:t>FFS explicit indication, or implicit determination for preamble for SDT in shared ROs</w:t>
            </w:r>
          </w:p>
          <w:p w14:paraId="103465A8" w14:textId="4114EEDE" w:rsidR="0061625D" w:rsidRPr="00A902BF" w:rsidRDefault="0061625D" w:rsidP="0061625D">
            <w:pPr>
              <w:rPr>
                <w:rFonts w:eastAsiaTheme="minorEastAsia" w:hint="eastAsia"/>
                <w:lang w:val="en-GB" w:eastAsia="zh-CN"/>
              </w:rPr>
            </w:pPr>
            <w:r>
              <w:rPr>
                <w:rFonts w:eastAsiaTheme="minorEastAsia"/>
                <w:lang w:eastAsia="zh-CN"/>
              </w:rPr>
              <w:t>N</w:t>
            </w:r>
            <w:r>
              <w:rPr>
                <w:rFonts w:eastAsiaTheme="minorEastAsia"/>
                <w:lang w:eastAsia="zh-CN"/>
              </w:rPr>
              <w:t>ote: whether s</w:t>
            </w:r>
            <w:r w:rsidRPr="00B607F6">
              <w:rPr>
                <w:rFonts w:eastAsiaTheme="minorEastAsia"/>
                <w:lang w:eastAsia="zh-CN"/>
              </w:rPr>
              <w:t>tarting position of the preambles for SDT per SSB per valid RO</w:t>
            </w:r>
            <w:r>
              <w:rPr>
                <w:rFonts w:eastAsiaTheme="minorEastAsia"/>
                <w:lang w:eastAsia="zh-CN"/>
              </w:rPr>
              <w:t xml:space="preserve"> needs to be configured for </w:t>
            </w:r>
            <w:r>
              <w:rPr>
                <w:rFonts w:eastAsiaTheme="minorEastAsia"/>
                <w:lang w:eastAsia="zh-CN"/>
              </w:rPr>
              <w:lastRenderedPageBreak/>
              <w:t>RA-SDT in shared ROs is up to RAN2 discussion.</w:t>
            </w:r>
          </w:p>
          <w:p w14:paraId="452C89DD" w14:textId="77777777" w:rsidR="0061625D" w:rsidRDefault="0061625D" w:rsidP="0061625D"/>
          <w:p w14:paraId="58B1C717" w14:textId="77777777" w:rsidR="0061625D" w:rsidRPr="00A902BF" w:rsidRDefault="0061625D" w:rsidP="0061625D">
            <w:pPr>
              <w:rPr>
                <w:color w:val="FF0000"/>
              </w:rPr>
            </w:pPr>
            <w:r w:rsidRPr="0065266D">
              <w:rPr>
                <w:b/>
              </w:rPr>
              <w:t>Conclusion:</w:t>
            </w:r>
            <w:r w:rsidRPr="00A902BF">
              <w:rPr>
                <w:b/>
              </w:rPr>
              <w:t xml:space="preserve"> </w:t>
            </w:r>
            <w:r w:rsidRPr="00A902BF">
              <w:t>Further discuss on the case when ROs are shared between SDT and non-SDT, but different RACH types have separate ROs</w:t>
            </w:r>
            <w:r>
              <w:t xml:space="preserve"> </w:t>
            </w:r>
            <w:r w:rsidRPr="00A902BF">
              <w:rPr>
                <w:color w:val="FF0000"/>
              </w:rPr>
              <w:t>after RAN2’s decision</w:t>
            </w:r>
          </w:p>
          <w:p w14:paraId="372F9519" w14:textId="77777777" w:rsidR="0061625D" w:rsidRPr="00A902BF" w:rsidRDefault="0061625D" w:rsidP="0061625D">
            <w:pPr>
              <w:pStyle w:val="af5"/>
              <w:numPr>
                <w:ilvl w:val="0"/>
                <w:numId w:val="9"/>
              </w:numPr>
              <w:overflowPunct/>
              <w:autoSpaceDE/>
              <w:autoSpaceDN/>
              <w:adjustRightInd/>
              <w:spacing w:line="259" w:lineRule="auto"/>
              <w:contextualSpacing w:val="0"/>
              <w:jc w:val="both"/>
              <w:textAlignment w:val="auto"/>
              <w:rPr>
                <w:rFonts w:hint="eastAsia"/>
                <w:strike/>
                <w:color w:val="FF0000"/>
              </w:rPr>
            </w:pPr>
            <w:r w:rsidRPr="00A902BF">
              <w:rPr>
                <w:strike/>
                <w:color w:val="FF0000"/>
              </w:rPr>
              <w:t>Ask RAN2 about the possible combinations of RACH type for SDT and non−SDT</w:t>
            </w:r>
          </w:p>
          <w:p w14:paraId="3777AE75" w14:textId="77777777" w:rsidR="0061625D" w:rsidRDefault="0061625D" w:rsidP="0061625D">
            <w:pPr>
              <w:rPr>
                <w:b/>
                <w:color w:val="FF0000"/>
                <w:highlight w:val="yellow"/>
                <w:u w:val="single"/>
                <w:lang w:eastAsia="ko-KR"/>
              </w:rPr>
            </w:pPr>
          </w:p>
          <w:p w14:paraId="056C9832" w14:textId="77777777" w:rsidR="0061625D" w:rsidRDefault="0061625D" w:rsidP="0061625D">
            <w:pPr>
              <w:rPr>
                <w:b/>
                <w:color w:val="FF0000"/>
                <w:highlight w:val="yellow"/>
                <w:u w:val="single"/>
                <w:lang w:eastAsia="ko-KR"/>
              </w:rPr>
            </w:pPr>
            <w:r w:rsidRPr="0065266D">
              <w:rPr>
                <w:rStyle w:val="aff"/>
              </w:rPr>
              <w:t xml:space="preserve">Proposal 3: </w:t>
            </w:r>
            <w:r w:rsidRPr="0065266D">
              <w:rPr>
                <w:rStyle w:val="aff"/>
                <w:b w:val="0"/>
              </w:rPr>
              <w:t>For RA-SDT, when PRACH occasions are shared between SDT and non-SDT, a PRACH mask can be conf</w:t>
            </w:r>
            <w:r w:rsidRPr="00A902BF">
              <w:rPr>
                <w:rStyle w:val="aff"/>
                <w:b w:val="0"/>
              </w:rPr>
              <w:t>igured to indicate a subset of ROs for RA-SDT.</w:t>
            </w:r>
          </w:p>
          <w:p w14:paraId="321779E7" w14:textId="77777777" w:rsidR="0061625D" w:rsidRPr="00A902BF" w:rsidRDefault="0061625D" w:rsidP="0061625D">
            <w:pPr>
              <w:pStyle w:val="af5"/>
              <w:numPr>
                <w:ilvl w:val="1"/>
                <w:numId w:val="11"/>
              </w:numPr>
              <w:overflowPunct/>
              <w:autoSpaceDE/>
              <w:autoSpaceDN/>
              <w:adjustRightInd/>
              <w:spacing w:line="259" w:lineRule="auto"/>
              <w:contextualSpacing w:val="0"/>
              <w:jc w:val="both"/>
              <w:textAlignment w:val="auto"/>
            </w:pPr>
            <w:r w:rsidRPr="00A902BF">
              <w:t>The PRACH mask is used to indicate a subset of ROs associated with same SSB index for RA-SDT</w:t>
            </w:r>
          </w:p>
          <w:p w14:paraId="49AC4E30" w14:textId="77777777" w:rsidR="0061625D" w:rsidRPr="00A902BF" w:rsidRDefault="0061625D" w:rsidP="0061625D">
            <w:pPr>
              <w:pStyle w:val="af5"/>
              <w:numPr>
                <w:ilvl w:val="1"/>
                <w:numId w:val="11"/>
              </w:numPr>
              <w:overflowPunct/>
              <w:autoSpaceDE/>
              <w:autoSpaceDN/>
              <w:adjustRightInd/>
              <w:spacing w:line="259" w:lineRule="auto"/>
              <w:contextualSpacing w:val="0"/>
              <w:jc w:val="both"/>
              <w:textAlignment w:val="auto"/>
              <w:rPr>
                <w:strike/>
                <w:color w:val="FF0000"/>
              </w:rPr>
            </w:pPr>
            <w:r w:rsidRPr="00A902BF">
              <w:rPr>
                <w:strike/>
                <w:color w:val="FF0000"/>
              </w:rPr>
              <w:t>The PRACH Mask indexes for 4-step SDT and 2-step SDT should be separately configured.</w:t>
            </w:r>
          </w:p>
          <w:p w14:paraId="724054E9" w14:textId="77777777" w:rsidR="0061625D" w:rsidRDefault="0061625D" w:rsidP="0061625D">
            <w:pPr>
              <w:rPr>
                <w:b/>
                <w:color w:val="FF0000"/>
                <w:highlight w:val="yellow"/>
                <w:u w:val="single"/>
                <w:lang w:eastAsia="ko-KR"/>
              </w:rPr>
            </w:pPr>
          </w:p>
          <w:p w14:paraId="290667CE" w14:textId="77777777" w:rsidR="0061625D" w:rsidRPr="00A902BF" w:rsidRDefault="0061625D" w:rsidP="0061625D">
            <w:r w:rsidRPr="00A902BF">
              <w:rPr>
                <w:b/>
              </w:rPr>
              <w:t xml:space="preserve">Proposal 4: </w:t>
            </w:r>
            <w:r w:rsidRPr="00A902BF">
              <w:t xml:space="preserve">For RA-SDT in shared ROs and separate ROs with non-SDT, the power control parameters follow those for non-SDT, </w:t>
            </w:r>
          </w:p>
          <w:p w14:paraId="75C918BC" w14:textId="77777777" w:rsidR="0061625D" w:rsidRPr="00A902BF" w:rsidRDefault="0061625D" w:rsidP="0061625D">
            <w:pPr>
              <w:pStyle w:val="af5"/>
              <w:numPr>
                <w:ilvl w:val="0"/>
                <w:numId w:val="10"/>
              </w:numPr>
              <w:overflowPunct/>
              <w:autoSpaceDE/>
              <w:autoSpaceDN/>
              <w:adjustRightInd/>
              <w:spacing w:line="259" w:lineRule="auto"/>
              <w:contextualSpacing w:val="0"/>
              <w:jc w:val="both"/>
              <w:textAlignment w:val="auto"/>
            </w:pPr>
            <w:r w:rsidRPr="00A902BF">
              <w:t xml:space="preserve">i.e. </w:t>
            </w:r>
            <w:proofErr w:type="spellStart"/>
            <w:r w:rsidRPr="00A902BF">
              <w:t>preambleReceivedTargetPower</w:t>
            </w:r>
            <w:proofErr w:type="spellEnd"/>
            <w:r w:rsidRPr="00A902BF">
              <w:t xml:space="preserve"> and power ramping setting follow those for non-SDT.</w:t>
            </w:r>
          </w:p>
          <w:p w14:paraId="5222B55C" w14:textId="0332ACF2" w:rsidR="00806725" w:rsidRPr="0061625D" w:rsidRDefault="00806725" w:rsidP="0061625D">
            <w:pPr>
              <w:pStyle w:val="a3"/>
              <w:autoSpaceDE/>
              <w:autoSpaceDN/>
              <w:adjustRightInd/>
              <w:snapToGrid/>
              <w:rPr>
                <w:rFonts w:hint="eastAsia"/>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38636AC1" w:rsidR="0061625D" w:rsidRDefault="0061625D" w:rsidP="0094502B">
      <w:pPr>
        <w:overflowPunct w:val="0"/>
        <w:spacing w:before="100" w:beforeAutospacing="1" w:after="100" w:afterAutospacing="1"/>
        <w:rPr>
          <w:lang w:eastAsia="zh-CN"/>
        </w:rPr>
      </w:pPr>
      <w:r>
        <w:rPr>
          <w:rFonts w:hint="eastAsia"/>
          <w:lang w:eastAsia="zh-CN"/>
        </w:rPr>
        <w:t>R</w:t>
      </w:r>
      <w:r>
        <w:rPr>
          <w:lang w:eastAsia="zh-CN"/>
        </w:rPr>
        <w:t xml:space="preserve">egarding the questions for CG-SDT on the working assumption and agreements, RAN1 made the following </w:t>
      </w:r>
      <w:commentRangeStart w:id="3"/>
      <w:r>
        <w:rPr>
          <w:lang w:eastAsia="zh-CN"/>
        </w:rPr>
        <w:t>agreements</w:t>
      </w:r>
      <w:commentRangeEnd w:id="3"/>
      <w:r>
        <w:rPr>
          <w:rStyle w:val="af7"/>
          <w:lang w:val="x-none"/>
        </w:rPr>
        <w:commentReference w:id="3"/>
      </w:r>
      <w:r>
        <w:rPr>
          <w:lang w:eastAsia="zh-CN"/>
        </w:rPr>
        <w:t>.</w:t>
      </w:r>
    </w:p>
    <w:tbl>
      <w:tblPr>
        <w:tblStyle w:val="ae"/>
        <w:tblW w:w="0" w:type="auto"/>
        <w:tblLook w:val="04A0" w:firstRow="1" w:lastRow="0" w:firstColumn="1" w:lastColumn="0" w:noHBand="0" w:noVBand="1"/>
      </w:tblPr>
      <w:tblGrid>
        <w:gridCol w:w="9855"/>
      </w:tblGrid>
      <w:tr w:rsidR="0061625D" w14:paraId="74D893F6" w14:textId="77777777" w:rsidTr="0061625D">
        <w:tc>
          <w:tcPr>
            <w:tcW w:w="9855" w:type="dxa"/>
          </w:tcPr>
          <w:p w14:paraId="54C3C7A6" w14:textId="35CDF1BE" w:rsidR="0061625D" w:rsidRPr="0061625D" w:rsidRDefault="0061625D" w:rsidP="0061625D">
            <w:pPr>
              <w:rPr>
                <w:rFonts w:eastAsiaTheme="minorEastAsia" w:hint="eastAsia"/>
                <w:u w:val="single"/>
                <w:lang w:eastAsia="zh-CN"/>
              </w:rPr>
            </w:pPr>
            <w:r>
              <w:rPr>
                <w:rFonts w:eastAsiaTheme="minorEastAsia"/>
                <w:u w:val="single"/>
                <w:lang w:eastAsia="zh-CN"/>
              </w:rPr>
              <w:t>S</w:t>
            </w:r>
            <w:r w:rsidRPr="0061625D">
              <w:rPr>
                <w:rFonts w:eastAsiaTheme="minorEastAsia"/>
                <w:u w:val="single"/>
                <w:lang w:eastAsia="zh-CN"/>
              </w:rPr>
              <w:t>earch space is configured for UEs performing CG-SDT</w:t>
            </w:r>
          </w:p>
          <w:p w14:paraId="75CF0391" w14:textId="77777777" w:rsidR="0061625D" w:rsidRPr="0061625D" w:rsidRDefault="0061625D" w:rsidP="0061625D">
            <w:r w:rsidRPr="0061625D">
              <w:rPr>
                <w:b/>
              </w:rPr>
              <w:t xml:space="preserve">Proposal 5: </w:t>
            </w:r>
            <w:r w:rsidRPr="0061625D">
              <w:t>RAN1 confirms the working assumption on search space for CG-SDT.</w:t>
            </w:r>
          </w:p>
          <w:p w14:paraId="21C8D0D5" w14:textId="77777777" w:rsidR="0061625D" w:rsidRPr="0061625D" w:rsidRDefault="0061625D" w:rsidP="0061625D">
            <w:pPr>
              <w:pStyle w:val="af5"/>
              <w:numPr>
                <w:ilvl w:val="0"/>
                <w:numId w:val="10"/>
              </w:numPr>
              <w:overflowPunct/>
              <w:autoSpaceDE/>
              <w:autoSpaceDN/>
              <w:adjustRightInd/>
              <w:spacing w:line="259" w:lineRule="auto"/>
              <w:contextualSpacing w:val="0"/>
              <w:jc w:val="both"/>
              <w:textAlignment w:val="auto"/>
            </w:pPr>
            <w:r w:rsidRPr="0061625D">
              <w:t>UE-specific search space is configured for UEs performing CG-SDT.</w:t>
            </w:r>
          </w:p>
          <w:p w14:paraId="3000384C" w14:textId="77777777" w:rsidR="0061625D" w:rsidRPr="0061625D" w:rsidRDefault="0061625D" w:rsidP="0061625D">
            <w:pPr>
              <w:rPr>
                <w:b/>
                <w:color w:val="FF0000"/>
                <w:u w:val="single"/>
                <w:lang w:eastAsia="ko-KR"/>
              </w:rPr>
            </w:pPr>
          </w:p>
          <w:p w14:paraId="137C88F0" w14:textId="65779F4E" w:rsidR="0061625D" w:rsidRPr="0061625D" w:rsidRDefault="0061625D" w:rsidP="0061625D">
            <w:pPr>
              <w:rPr>
                <w:rFonts w:eastAsiaTheme="minorEastAsia" w:hint="eastAsia"/>
                <w:u w:val="single"/>
                <w:lang w:eastAsia="zh-CN"/>
              </w:rPr>
            </w:pPr>
            <w:r w:rsidRPr="0061625D">
              <w:rPr>
                <w:rFonts w:eastAsiaTheme="minorEastAsia"/>
                <w:u w:val="single"/>
                <w:lang w:eastAsia="zh-CN"/>
              </w:rPr>
              <w:t>BWP for CG-SDT resource</w:t>
            </w:r>
          </w:p>
          <w:p w14:paraId="2B9E240C" w14:textId="77777777" w:rsidR="0061625D" w:rsidRPr="0061625D" w:rsidRDefault="0061625D" w:rsidP="0061625D">
            <w:r w:rsidRPr="0061625D">
              <w:rPr>
                <w:b/>
              </w:rPr>
              <w:t xml:space="preserve">Proposal 6: </w:t>
            </w:r>
            <w:r w:rsidRPr="0061625D">
              <w:t>RAN1 confirms the RAN2 agreement that CG-SDT resource can be configured on either initial BWP or separate SDT BWP.</w:t>
            </w:r>
          </w:p>
          <w:p w14:paraId="6CD9B76C" w14:textId="77777777" w:rsidR="0061625D" w:rsidRPr="0061625D" w:rsidRDefault="0061625D" w:rsidP="0061625D">
            <w:pPr>
              <w:pStyle w:val="af5"/>
              <w:numPr>
                <w:ilvl w:val="0"/>
                <w:numId w:val="10"/>
              </w:numPr>
              <w:overflowPunct/>
              <w:autoSpaceDE/>
              <w:autoSpaceDN/>
              <w:adjustRightInd/>
              <w:spacing w:line="259" w:lineRule="auto"/>
              <w:contextualSpacing w:val="0"/>
              <w:jc w:val="both"/>
              <w:textAlignment w:val="auto"/>
              <w:rPr>
                <w:strike/>
                <w:color w:val="FF0000"/>
              </w:rPr>
            </w:pPr>
            <w:r w:rsidRPr="0061625D">
              <w:rPr>
                <w:strike/>
                <w:color w:val="FF0000"/>
              </w:rPr>
              <w:t xml:space="preserve">For TDD if SDT is configured in a separate BWP, the BWP should </w:t>
            </w:r>
            <w:proofErr w:type="spellStart"/>
            <w:proofErr w:type="gramStart"/>
            <w:r w:rsidRPr="0061625D">
              <w:rPr>
                <w:strike/>
                <w:color w:val="FF0000"/>
              </w:rPr>
              <w:t>includes</w:t>
            </w:r>
            <w:proofErr w:type="spellEnd"/>
            <w:proofErr w:type="gramEnd"/>
            <w:r w:rsidRPr="0061625D">
              <w:rPr>
                <w:strike/>
                <w:color w:val="FF0000"/>
              </w:rPr>
              <w:t xml:space="preserve"> the initial BWP to avoid BWP switching for receiving the SSBs</w:t>
            </w:r>
          </w:p>
          <w:p w14:paraId="775EACFB" w14:textId="77777777" w:rsidR="0061625D" w:rsidRPr="0061625D" w:rsidRDefault="0061625D" w:rsidP="0061625D">
            <w:pPr>
              <w:rPr>
                <w:u w:val="single"/>
                <w:lang w:eastAsia="ko-KR"/>
              </w:rPr>
            </w:pPr>
          </w:p>
          <w:p w14:paraId="061F180B" w14:textId="7342D1CD" w:rsidR="0061625D" w:rsidRPr="0061625D" w:rsidRDefault="0061625D" w:rsidP="0061625D">
            <w:pPr>
              <w:rPr>
                <w:rFonts w:eastAsiaTheme="minorEastAsia" w:hint="eastAsia"/>
                <w:u w:val="single"/>
                <w:lang w:eastAsia="zh-CN"/>
              </w:rPr>
            </w:pPr>
            <w:r w:rsidRPr="0061625D">
              <w:rPr>
                <w:rFonts w:eastAsiaTheme="minorEastAsia"/>
                <w:u w:val="single"/>
                <w:lang w:eastAsia="zh-CN"/>
              </w:rPr>
              <w:t>L1 feedback for CG-SDT</w:t>
            </w:r>
          </w:p>
          <w:p w14:paraId="38EA0072" w14:textId="1E8537CF" w:rsidR="0061625D" w:rsidRPr="00A902BF" w:rsidRDefault="0061625D" w:rsidP="0061625D">
            <w:pPr>
              <w:rPr>
                <w:rFonts w:eastAsiaTheme="minorEastAsia" w:hint="eastAsia"/>
                <w:lang w:eastAsia="zh-CN"/>
              </w:rPr>
            </w:pPr>
            <w:r>
              <w:rPr>
                <w:rFonts w:eastAsiaTheme="minorEastAsia"/>
                <w:b/>
                <w:lang w:eastAsia="zh-CN"/>
              </w:rPr>
              <w:t>P</w:t>
            </w:r>
            <w:r w:rsidRPr="00A902BF">
              <w:rPr>
                <w:rFonts w:eastAsiaTheme="minorEastAsia"/>
                <w:b/>
                <w:lang w:eastAsia="zh-CN"/>
              </w:rPr>
              <w:t>roposal</w:t>
            </w:r>
            <w:r>
              <w:rPr>
                <w:rFonts w:eastAsiaTheme="minorEastAsia"/>
                <w:b/>
                <w:lang w:eastAsia="zh-CN"/>
              </w:rPr>
              <w:t xml:space="preserve"> 7</w:t>
            </w:r>
            <w:r w:rsidRPr="00A902BF">
              <w:rPr>
                <w:rFonts w:eastAsiaTheme="minorEastAsia"/>
                <w:b/>
                <w:lang w:eastAsia="zh-CN"/>
              </w:rPr>
              <w:t xml:space="preserve">: </w:t>
            </w:r>
            <w:r>
              <w:rPr>
                <w:rFonts w:eastAsiaTheme="minorEastAsia"/>
                <w:lang w:eastAsia="zh-CN"/>
              </w:rPr>
              <w:t>RAN1 to further discuss the followings for L1 feedback for CG-SDT</w:t>
            </w:r>
          </w:p>
          <w:p w14:paraId="041FD8C7" w14:textId="77777777" w:rsidR="0061625D" w:rsidRDefault="0061625D" w:rsidP="0061625D">
            <w:pPr>
              <w:pStyle w:val="af5"/>
              <w:numPr>
                <w:ilvl w:val="0"/>
                <w:numId w:val="10"/>
              </w:numPr>
              <w:overflowPunct/>
              <w:autoSpaceDE/>
              <w:autoSpaceDN/>
              <w:adjustRightInd/>
              <w:spacing w:line="259" w:lineRule="auto"/>
              <w:contextualSpacing w:val="0"/>
              <w:jc w:val="both"/>
              <w:textAlignment w:val="auto"/>
            </w:pPr>
            <w:r>
              <w:t xml:space="preserve">Option 1: Support explicit L1 feedback for CG-SDT. </w:t>
            </w:r>
          </w:p>
          <w:p w14:paraId="54CC0915" w14:textId="77777777" w:rsidR="0061625D" w:rsidRDefault="0061625D" w:rsidP="0061625D">
            <w:pPr>
              <w:pStyle w:val="af5"/>
              <w:numPr>
                <w:ilvl w:val="1"/>
                <w:numId w:val="10"/>
              </w:numPr>
              <w:overflowPunct/>
              <w:autoSpaceDE/>
              <w:autoSpaceDN/>
              <w:adjustRightInd/>
              <w:spacing w:line="259" w:lineRule="auto"/>
              <w:contextualSpacing w:val="0"/>
              <w:jc w:val="both"/>
              <w:textAlignment w:val="auto"/>
            </w:pPr>
            <w:r>
              <w:t>Option 1A: Reuse DFI based mechanism as introduced in Rel-16 NR-U</w:t>
            </w:r>
          </w:p>
          <w:p w14:paraId="32854CB6" w14:textId="77777777" w:rsidR="0061625D" w:rsidRDefault="0061625D" w:rsidP="0061625D">
            <w:pPr>
              <w:pStyle w:val="af5"/>
              <w:numPr>
                <w:ilvl w:val="1"/>
                <w:numId w:val="10"/>
              </w:numPr>
              <w:overflowPunct/>
              <w:autoSpaceDE/>
              <w:autoSpaceDN/>
              <w:adjustRightInd/>
              <w:spacing w:line="259" w:lineRule="auto"/>
              <w:contextualSpacing w:val="0"/>
              <w:jc w:val="both"/>
              <w:textAlignment w:val="auto"/>
            </w:pPr>
            <w:r>
              <w:t>Option 1B: Use UL grant scheduling DG-PUSCH with same HARQ process ID as CG-SDT PUSCH</w:t>
            </w:r>
          </w:p>
          <w:p w14:paraId="3EDCB30A" w14:textId="77777777" w:rsidR="0061625D" w:rsidRPr="00A902BF" w:rsidRDefault="0061625D" w:rsidP="0061625D">
            <w:pPr>
              <w:pStyle w:val="af5"/>
              <w:numPr>
                <w:ilvl w:val="0"/>
                <w:numId w:val="10"/>
              </w:numPr>
              <w:overflowPunct/>
              <w:autoSpaceDE/>
              <w:autoSpaceDN/>
              <w:adjustRightInd/>
              <w:spacing w:line="259" w:lineRule="auto"/>
              <w:contextualSpacing w:val="0"/>
              <w:jc w:val="both"/>
              <w:textAlignment w:val="auto"/>
              <w:rPr>
                <w:rFonts w:hint="eastAsia"/>
              </w:rPr>
            </w:pPr>
            <w:r>
              <w:t>Option 2: Explicit ACK is not supported for CG-SDT. Reuse Rel-15 CG re-transmission for CG-SDT</w:t>
            </w:r>
          </w:p>
          <w:p w14:paraId="6FCF0AA7" w14:textId="77777777" w:rsidR="0061625D" w:rsidRPr="0061625D" w:rsidRDefault="0061625D" w:rsidP="0094502B">
            <w:pPr>
              <w:overflowPunct w:val="0"/>
              <w:spacing w:before="100" w:beforeAutospacing="1" w:after="100" w:afterAutospacing="1"/>
              <w:rPr>
                <w:rFonts w:hint="eastAsia"/>
                <w:lang w:val="en-GB" w:eastAsia="zh-CN"/>
              </w:rPr>
            </w:pPr>
          </w:p>
        </w:tc>
      </w:tr>
    </w:tbl>
    <w:p w14:paraId="59033DE9" w14:textId="77777777" w:rsidR="0061625D" w:rsidRPr="0061625D" w:rsidRDefault="0061625D" w:rsidP="0094502B">
      <w:pPr>
        <w:overflowPunct w:val="0"/>
        <w:spacing w:before="100" w:beforeAutospacing="1" w:after="100" w:afterAutospacing="1"/>
        <w:rPr>
          <w:rFonts w:hint="eastAsia"/>
          <w:lang w:eastAsia="zh-CN"/>
        </w:rPr>
      </w:pPr>
    </w:p>
    <w:p w14:paraId="2C2DA12A" w14:textId="77777777" w:rsidR="00EA3922" w:rsidRDefault="00EA3922" w:rsidP="0094502B">
      <w:pPr>
        <w:overflowPunct w:val="0"/>
        <w:spacing w:before="100" w:beforeAutospacing="1" w:after="100" w:afterAutospacing="1"/>
        <w:rPr>
          <w:lang w:eastAsia="zh-CN"/>
        </w:rPr>
      </w:pPr>
      <w:bookmarkStart w:id="4" w:name="_GoBack"/>
      <w:bookmarkEnd w:id="4"/>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lastRenderedPageBreak/>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EN Xiaohang V2" w:date="2021-08-20T07:30:00Z" w:initials="CXH">
    <w:p w14:paraId="0DBDC7A1" w14:textId="5215D7C8" w:rsidR="0061625D" w:rsidRDefault="0061625D">
      <w:pPr>
        <w:pStyle w:val="af8"/>
        <w:rPr>
          <w:rFonts w:hint="eastAsia"/>
          <w:lang w:eastAsia="zh-CN"/>
        </w:rPr>
      </w:pPr>
      <w:r>
        <w:rPr>
          <w:rStyle w:val="af7"/>
        </w:rPr>
        <w:annotationRef/>
      </w:r>
      <w:r>
        <w:rPr>
          <w:rFonts w:hint="eastAsia"/>
          <w:lang w:eastAsia="zh-CN"/>
        </w:rPr>
        <w:t>T</w:t>
      </w:r>
      <w:r>
        <w:rPr>
          <w:lang w:eastAsia="zh-CN"/>
        </w:rPr>
        <w:t xml:space="preserve">o be updated after </w:t>
      </w:r>
      <w:r>
        <w:rPr>
          <w:lang w:eastAsia="zh-CN"/>
        </w:rPr>
        <w:t xml:space="preserve">email </w:t>
      </w:r>
      <w:r>
        <w:rPr>
          <w:lang w:eastAsia="zh-CN"/>
        </w:rPr>
        <w:t>approval</w:t>
      </w:r>
    </w:p>
  </w:comment>
  <w:comment w:id="3" w:author="CHEN Xiaohang V2" w:date="2021-08-20T07:35:00Z" w:initials="CXH">
    <w:p w14:paraId="2E563D72" w14:textId="79DE55D2" w:rsidR="0061625D" w:rsidRDefault="0061625D">
      <w:pPr>
        <w:pStyle w:val="af8"/>
        <w:rPr>
          <w:rFonts w:hint="eastAsia"/>
          <w:lang w:eastAsia="zh-CN"/>
        </w:rPr>
      </w:pPr>
      <w:r>
        <w:rPr>
          <w:rStyle w:val="af7"/>
        </w:rPr>
        <w:annotationRef/>
      </w:r>
      <w:r>
        <w:rPr>
          <w:rFonts w:hint="eastAsia"/>
          <w:lang w:eastAsia="zh-CN"/>
        </w:rPr>
        <w:t>T</w:t>
      </w:r>
      <w:r>
        <w:rPr>
          <w:lang w:eastAsia="zh-CN"/>
        </w:rPr>
        <w:t>o be updated after email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C7A1" w15:done="0"/>
  <w15:commentEx w15:paraId="2E563D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C7A1" w16cid:durableId="24C9D888"/>
  <w16cid:commentId w16cid:paraId="2E563D72" w16cid:durableId="24C9D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4690D" w14:textId="77777777" w:rsidR="006A7CA3" w:rsidRDefault="006A7CA3">
      <w:r>
        <w:separator/>
      </w:r>
    </w:p>
  </w:endnote>
  <w:endnote w:type="continuationSeparator" w:id="0">
    <w:p w14:paraId="26A36E63" w14:textId="77777777" w:rsidR="006A7CA3" w:rsidRDefault="006A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A45C" w14:textId="77777777" w:rsidR="006A7CA3" w:rsidRDefault="006A7CA3">
      <w:r>
        <w:separator/>
      </w:r>
    </w:p>
  </w:footnote>
  <w:footnote w:type="continuationSeparator" w:id="0">
    <w:p w14:paraId="7DC9B4DE" w14:textId="77777777" w:rsidR="006A7CA3" w:rsidRDefault="006A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9"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
  </w:num>
  <w:num w:numId="2">
    <w:abstractNumId w:val="2"/>
  </w:num>
  <w:num w:numId="3">
    <w:abstractNumId w:val="7"/>
  </w:num>
  <w:num w:numId="4">
    <w:abstractNumId w:val="10"/>
  </w:num>
  <w:num w:numId="5">
    <w:abstractNumId w:val="6"/>
  </w:num>
  <w:num w:numId="6">
    <w:abstractNumId w:val="5"/>
  </w:num>
  <w:num w:numId="7">
    <w:abstractNumId w:val="1"/>
  </w:num>
  <w:num w:numId="8">
    <w:abstractNumId w:val="8"/>
  </w:num>
  <w:num w:numId="9">
    <w:abstractNumId w:val="0"/>
  </w:num>
  <w:num w:numId="10">
    <w:abstractNumId w:val="3"/>
  </w:num>
  <w:num w:numId="11">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4C3952-12E3-4499-BA24-BA431EB4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624</Words>
  <Characters>3557</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5</cp:revision>
  <cp:lastPrinted>2007-06-18T21:08:00Z</cp:lastPrinted>
  <dcterms:created xsi:type="dcterms:W3CDTF">2021-08-19T23:27:00Z</dcterms:created>
  <dcterms:modified xsi:type="dcterms:W3CDTF">2021-08-19T23:48:00Z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