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Regarding RA-SD</w:t>
      </w:r>
      <w:bookmarkStart w:id="2" w:name="_GoBack"/>
      <w:bookmarkEnd w:id="2"/>
      <w:r>
        <w:rPr>
          <w:lang w:eastAsia="zh-CN"/>
        </w:rPr>
        <w:t xml:space="preserve">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RAN1 made the following agreements/conclusion for RA-SDT.</w:t>
      </w:r>
    </w:p>
    <w:tbl>
      <w:tblPr>
        <w:tblStyle w:val="ae"/>
        <w:tblW w:w="0" w:type="auto"/>
        <w:tblLook w:val="04A0" w:firstRow="1" w:lastRow="0" w:firstColumn="1" w:lastColumn="0" w:noHBand="0" w:noVBand="1"/>
      </w:tblPr>
      <w:tblGrid>
        <w:gridCol w:w="9855"/>
      </w:tblGrid>
      <w:tr w:rsidR="00806725" w:rsidRPr="00AE233E" w14:paraId="1894793E" w14:textId="77777777" w:rsidTr="00A902BF">
        <w:tc>
          <w:tcPr>
            <w:tcW w:w="9855" w:type="dxa"/>
          </w:tcPr>
          <w:p w14:paraId="258BC210" w14:textId="0B9170CD" w:rsidR="00511EF1" w:rsidRPr="00AE233E" w:rsidRDefault="00544F5B" w:rsidP="00F258AD">
            <w:pPr>
              <w:wordWrap w:val="0"/>
              <w:rPr>
                <w:rFonts w:hint="eastAsia"/>
                <w:b/>
                <w:bCs/>
                <w:lang w:eastAsia="zh-CN"/>
              </w:rPr>
            </w:pPr>
            <w:r>
              <w:rPr>
                <w:b/>
                <w:bCs/>
                <w:lang w:eastAsia="zh-CN"/>
              </w:rPr>
              <w:t>A</w:t>
            </w:r>
            <w:r w:rsidR="00511EF1" w:rsidRPr="00AE233E">
              <w:rPr>
                <w:b/>
                <w:bCs/>
                <w:lang w:eastAsia="zh-CN"/>
              </w:rPr>
              <w:t>greement:</w:t>
            </w:r>
          </w:p>
          <w:p w14:paraId="5D96B2CE" w14:textId="6641B44E" w:rsidR="00F258AD" w:rsidRPr="00AE233E" w:rsidRDefault="00F258AD" w:rsidP="00AE233E">
            <w:pPr>
              <w:pStyle w:val="af5"/>
              <w:numPr>
                <w:ilvl w:val="0"/>
                <w:numId w:val="13"/>
              </w:numPr>
              <w:wordWrap w:val="0"/>
              <w:rPr>
                <w:color w:val="000000" w:themeColor="text1"/>
                <w:sz w:val="22"/>
                <w:szCs w:val="22"/>
              </w:rPr>
            </w:pPr>
            <w:r w:rsidRPr="00AE233E">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795660F3" w14:textId="670C50FA" w:rsidR="00F258AD" w:rsidRPr="00AE233E" w:rsidRDefault="00F258AD" w:rsidP="00AE233E">
            <w:pPr>
              <w:pStyle w:val="af5"/>
              <w:numPr>
                <w:ilvl w:val="1"/>
                <w:numId w:val="13"/>
              </w:numPr>
              <w:rPr>
                <w:color w:val="000000" w:themeColor="text1"/>
                <w:sz w:val="22"/>
                <w:szCs w:val="22"/>
                <w:lang w:eastAsia="zh-CN"/>
              </w:rPr>
            </w:pPr>
            <w:r w:rsidRPr="00AE233E">
              <w:rPr>
                <w:color w:val="000000" w:themeColor="text1"/>
                <w:sz w:val="22"/>
                <w:szCs w:val="22"/>
              </w:rPr>
              <w:t>Note: It is up to RAN2 discussion on the RO configuration for RA-SDT in separate ROs.</w:t>
            </w:r>
          </w:p>
          <w:p w14:paraId="3B463F2B" w14:textId="77777777" w:rsidR="0061625D" w:rsidRPr="00511EF1" w:rsidRDefault="0061625D" w:rsidP="0061625D"/>
          <w:p w14:paraId="37ADA25D" w14:textId="68E5EF1A" w:rsidR="0061625D" w:rsidRPr="00AE233E" w:rsidRDefault="0061625D" w:rsidP="00AE233E">
            <w:pPr>
              <w:pStyle w:val="af5"/>
              <w:numPr>
                <w:ilvl w:val="0"/>
                <w:numId w:val="13"/>
              </w:numPr>
              <w:rPr>
                <w:rFonts w:eastAsiaTheme="minorEastAsia"/>
                <w:sz w:val="22"/>
                <w:szCs w:val="22"/>
                <w:lang w:eastAsia="zh-CN"/>
              </w:rPr>
            </w:pPr>
            <w:r w:rsidRPr="00AE233E">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1B3AAC78" w14:textId="77777777" w:rsidR="0061625D" w:rsidRPr="00AE233E" w:rsidRDefault="0061625D" w:rsidP="00AE233E">
            <w:pPr>
              <w:pStyle w:val="af5"/>
              <w:numPr>
                <w:ilvl w:val="1"/>
                <w:numId w:val="13"/>
              </w:numPr>
              <w:overflowPunct/>
              <w:autoSpaceDE/>
              <w:autoSpaceDN/>
              <w:adjustRightInd/>
              <w:spacing w:line="259" w:lineRule="auto"/>
              <w:contextualSpacing w:val="0"/>
              <w:jc w:val="both"/>
              <w:textAlignment w:val="auto"/>
              <w:rPr>
                <w:rFonts w:eastAsiaTheme="minorEastAsia"/>
                <w:sz w:val="22"/>
                <w:szCs w:val="22"/>
                <w:lang w:val="en-US" w:eastAsia="zh-CN"/>
              </w:rPr>
            </w:pPr>
            <w:r w:rsidRPr="00AE233E">
              <w:rPr>
                <w:rFonts w:eastAsiaTheme="minorEastAsia"/>
                <w:sz w:val="22"/>
                <w:szCs w:val="22"/>
                <w:lang w:val="en-US" w:eastAsia="zh-CN"/>
              </w:rPr>
              <w:t>Number of contention-based preambles for SDT per SSB per valid RO</w:t>
            </w:r>
          </w:p>
          <w:p w14:paraId="103465A8" w14:textId="4114EEDE" w:rsidR="0061625D" w:rsidRPr="00AE233E" w:rsidRDefault="0061625D" w:rsidP="00AE233E">
            <w:pPr>
              <w:pStyle w:val="af5"/>
              <w:numPr>
                <w:ilvl w:val="1"/>
                <w:numId w:val="13"/>
              </w:numPr>
              <w:rPr>
                <w:rFonts w:eastAsiaTheme="minorEastAsia"/>
                <w:sz w:val="22"/>
                <w:szCs w:val="22"/>
                <w:lang w:eastAsia="zh-CN"/>
              </w:rPr>
            </w:pPr>
            <w:r w:rsidRPr="00AE233E">
              <w:rPr>
                <w:rFonts w:eastAsiaTheme="minorEastAsia"/>
                <w:sz w:val="22"/>
                <w:szCs w:val="22"/>
                <w:lang w:eastAsia="zh-CN"/>
              </w:rPr>
              <w:t>Note: whether starting position of the preambles for SDT per SSB per valid RO needs to be configured for RA-SDT in shared ROs is up to RAN2 discussion.</w:t>
            </w:r>
          </w:p>
          <w:p w14:paraId="58E00956" w14:textId="77777777" w:rsidR="00511EF1" w:rsidRPr="00511EF1" w:rsidRDefault="00511EF1" w:rsidP="00511EF1">
            <w:pPr>
              <w:rPr>
                <w:rStyle w:val="aff"/>
                <w:b w:val="0"/>
              </w:rPr>
            </w:pPr>
          </w:p>
          <w:p w14:paraId="19DE5236" w14:textId="3A1F2BCC" w:rsidR="00511EF1" w:rsidRPr="00AE233E" w:rsidRDefault="00511EF1" w:rsidP="00AE233E">
            <w:pPr>
              <w:pStyle w:val="af5"/>
              <w:numPr>
                <w:ilvl w:val="0"/>
                <w:numId w:val="13"/>
              </w:numPr>
              <w:rPr>
                <w:b/>
                <w:color w:val="000000" w:themeColor="text1"/>
                <w:sz w:val="22"/>
                <w:szCs w:val="22"/>
                <w:u w:val="single"/>
                <w:lang w:eastAsia="ko-KR"/>
              </w:rPr>
            </w:pPr>
            <w:r w:rsidRPr="00AE233E">
              <w:rPr>
                <w:rStyle w:val="aff"/>
                <w:b w:val="0"/>
                <w:color w:val="000000" w:themeColor="text1"/>
                <w:sz w:val="22"/>
                <w:szCs w:val="22"/>
              </w:rPr>
              <w:t>For RA-SDT, when PRACH occasions are shared between SDT and non-SDT, a PRACH mask can be configured to indicate a subset of ROs for RA-SDT.</w:t>
            </w:r>
          </w:p>
          <w:p w14:paraId="0104B0E5" w14:textId="77777777" w:rsidR="00511EF1" w:rsidRPr="00511EF1" w:rsidRDefault="00511EF1" w:rsidP="00511EF1">
            <w:pPr>
              <w:rPr>
                <w:b/>
                <w:color w:val="FF0000"/>
                <w:highlight w:val="yellow"/>
                <w:u w:val="single"/>
                <w:lang w:eastAsia="ko-KR"/>
              </w:rPr>
            </w:pPr>
          </w:p>
          <w:p w14:paraId="2C02FB6A" w14:textId="77777777" w:rsidR="00511EF1" w:rsidRPr="00AE233E" w:rsidRDefault="00511EF1" w:rsidP="00AE233E">
            <w:pPr>
              <w:pStyle w:val="af5"/>
              <w:numPr>
                <w:ilvl w:val="0"/>
                <w:numId w:val="13"/>
              </w:numPr>
              <w:rPr>
                <w:sz w:val="22"/>
                <w:szCs w:val="22"/>
              </w:rPr>
            </w:pPr>
            <w:r w:rsidRPr="00AE233E">
              <w:rPr>
                <w:sz w:val="22"/>
                <w:szCs w:val="22"/>
              </w:rPr>
              <w:t xml:space="preserve">For RA-SDT in shared ROs and separate ROs with non-SDT, the power control parameters follow those for non-SDT, </w:t>
            </w:r>
          </w:p>
          <w:p w14:paraId="0973CA29" w14:textId="77777777" w:rsidR="00511EF1" w:rsidRPr="00AE233E" w:rsidRDefault="00511EF1" w:rsidP="00AE233E">
            <w:pPr>
              <w:pStyle w:val="af5"/>
              <w:numPr>
                <w:ilvl w:val="1"/>
                <w:numId w:val="13"/>
              </w:numPr>
              <w:overflowPunct/>
              <w:autoSpaceDE/>
              <w:autoSpaceDN/>
              <w:adjustRightInd/>
              <w:spacing w:line="259" w:lineRule="auto"/>
              <w:contextualSpacing w:val="0"/>
              <w:jc w:val="both"/>
              <w:textAlignment w:val="auto"/>
              <w:rPr>
                <w:sz w:val="22"/>
                <w:szCs w:val="22"/>
              </w:rPr>
            </w:pPr>
            <w:r w:rsidRPr="00AE233E">
              <w:rPr>
                <w:sz w:val="22"/>
                <w:szCs w:val="22"/>
              </w:rPr>
              <w:t xml:space="preserve">i.e. </w:t>
            </w:r>
            <w:proofErr w:type="spellStart"/>
            <w:r w:rsidRPr="00AE233E">
              <w:rPr>
                <w:sz w:val="22"/>
                <w:szCs w:val="22"/>
              </w:rPr>
              <w:t>preambleReceivedTargetPower</w:t>
            </w:r>
            <w:proofErr w:type="spellEnd"/>
            <w:r w:rsidRPr="00AE233E">
              <w:rPr>
                <w:sz w:val="22"/>
                <w:szCs w:val="22"/>
              </w:rPr>
              <w:t xml:space="preserve"> and power ramping setting follow those for non-SDT.</w:t>
            </w:r>
          </w:p>
          <w:p w14:paraId="452C89DD" w14:textId="77777777" w:rsidR="0061625D" w:rsidRPr="00AE233E" w:rsidRDefault="0061625D" w:rsidP="0061625D">
            <w:pPr>
              <w:rPr>
                <w:lang w:val="en-GB"/>
              </w:rPr>
            </w:pPr>
          </w:p>
          <w:p w14:paraId="4ED867C4" w14:textId="77777777" w:rsidR="00511EF1" w:rsidRPr="00AE233E" w:rsidRDefault="0061625D" w:rsidP="0061625D">
            <w:pPr>
              <w:rPr>
                <w:b/>
              </w:rPr>
            </w:pPr>
            <w:r w:rsidRPr="00511EF1">
              <w:rPr>
                <w:b/>
              </w:rPr>
              <w:t>Conclusion:</w:t>
            </w:r>
            <w:r w:rsidRPr="00AE233E">
              <w:rPr>
                <w:b/>
              </w:rPr>
              <w:t xml:space="preserve"> </w:t>
            </w:r>
          </w:p>
          <w:p w14:paraId="58B1C717" w14:textId="5E2F1228" w:rsidR="0061625D" w:rsidRPr="00AE233E" w:rsidRDefault="0061625D" w:rsidP="00AE233E">
            <w:pPr>
              <w:pStyle w:val="af5"/>
              <w:numPr>
                <w:ilvl w:val="0"/>
                <w:numId w:val="14"/>
              </w:numPr>
              <w:rPr>
                <w:color w:val="000000" w:themeColor="text1"/>
                <w:sz w:val="22"/>
                <w:szCs w:val="22"/>
              </w:rPr>
            </w:pPr>
            <w:r w:rsidRPr="00AE233E">
              <w:rPr>
                <w:color w:val="000000" w:themeColor="text1"/>
                <w:sz w:val="22"/>
                <w:szCs w:val="22"/>
              </w:rPr>
              <w:t>Further discuss on the case when ROs are shared between SDT and non-SDT, but different RACH types have separate ROs after RAN2’s decision</w:t>
            </w:r>
          </w:p>
          <w:p w14:paraId="5222B55C" w14:textId="0332ACF2" w:rsidR="00806725" w:rsidRPr="00AE233E" w:rsidRDefault="00806725" w:rsidP="00AE233E">
            <w:pPr>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76425B26" w:rsidR="0061625D" w:rsidRDefault="0061625D" w:rsidP="0094502B">
      <w:pPr>
        <w:overflowPunct w:val="0"/>
        <w:spacing w:before="100" w:beforeAutospacing="1" w:after="100" w:afterAutospacing="1"/>
        <w:rPr>
          <w:lang w:eastAsia="zh-CN"/>
        </w:rPr>
      </w:pPr>
      <w:r>
        <w:rPr>
          <w:rFonts w:hint="eastAsia"/>
          <w:lang w:eastAsia="zh-CN"/>
        </w:rPr>
        <w:t>R</w:t>
      </w:r>
      <w:r>
        <w:rPr>
          <w:lang w:eastAsia="zh-CN"/>
        </w:rPr>
        <w:t>egarding the questions for CG-SDT on the working assumption and agreements, RAN1 made the following agreements</w:t>
      </w:r>
      <w:r w:rsidR="005A6725" w:rsidRPr="005A6725">
        <w:rPr>
          <w:lang w:eastAsia="zh-CN"/>
        </w:rPr>
        <w:t xml:space="preserve"> </w:t>
      </w:r>
      <w:r w:rsidR="005A6725">
        <w:rPr>
          <w:lang w:eastAsia="zh-CN"/>
        </w:rPr>
        <w:t xml:space="preserve">on BWP for CG-SDT resource. RAN1 </w:t>
      </w:r>
      <w:r w:rsidR="005A6725" w:rsidRPr="005A6725">
        <w:rPr>
          <w:lang w:eastAsia="zh-CN"/>
        </w:rPr>
        <w:t xml:space="preserve">kindly </w:t>
      </w:r>
      <w:r w:rsidR="003E4EC1">
        <w:rPr>
          <w:lang w:eastAsia="zh-CN"/>
        </w:rPr>
        <w:t>requests</w:t>
      </w:r>
      <w:r w:rsidR="005A6725" w:rsidRPr="005A6725">
        <w:rPr>
          <w:lang w:eastAsia="zh-CN"/>
        </w:rPr>
        <w:t xml:space="preserve"> RAN2 to provide more information on the necessity </w:t>
      </w:r>
      <w:r w:rsidR="003E4EC1">
        <w:rPr>
          <w:lang w:eastAsia="zh-CN"/>
        </w:rPr>
        <w:t>of</w:t>
      </w:r>
      <w:r w:rsidR="00A7417B">
        <w:rPr>
          <w:lang w:eastAsia="zh-CN"/>
        </w:rPr>
        <w:t xml:space="preserve"> the CG-SDT resource configured on a</w:t>
      </w:r>
      <w:r w:rsidR="005A6725" w:rsidRPr="005A6725">
        <w:rPr>
          <w:lang w:eastAsia="zh-CN"/>
        </w:rPr>
        <w:t xml:space="preserve"> separate SDT BWP</w:t>
      </w:r>
      <w:r w:rsidR="005A6725">
        <w:rPr>
          <w:lang w:eastAsia="zh-CN"/>
        </w:rPr>
        <w:t xml:space="preserve">. Regarding the </w:t>
      </w:r>
      <w:r w:rsidR="005A6725" w:rsidRPr="005A6725">
        <w:rPr>
          <w:lang w:eastAsia="zh-CN"/>
        </w:rPr>
        <w:t xml:space="preserve">search space </w:t>
      </w:r>
      <w:r w:rsidR="005A6725">
        <w:rPr>
          <w:lang w:eastAsia="zh-CN"/>
        </w:rPr>
        <w:t>and L1 feedback for CG-SDT, RAN1</w:t>
      </w:r>
      <w:r w:rsidR="005A6725" w:rsidRPr="005A6725">
        <w:rPr>
          <w:lang w:eastAsia="zh-CN"/>
        </w:rPr>
        <w:t xml:space="preserve"> </w:t>
      </w:r>
      <w:r w:rsidR="005A6725">
        <w:rPr>
          <w:lang w:eastAsia="zh-CN"/>
        </w:rPr>
        <w:t xml:space="preserve">will continue </w:t>
      </w:r>
      <w:r w:rsidR="00F258AD">
        <w:rPr>
          <w:lang w:eastAsia="zh-CN"/>
        </w:rPr>
        <w:t xml:space="preserve">the </w:t>
      </w:r>
      <w:r w:rsidR="005A6725">
        <w:rPr>
          <w:lang w:eastAsia="zh-CN"/>
        </w:rPr>
        <w:t>discuss</w:t>
      </w:r>
      <w:r w:rsidR="00235F41">
        <w:rPr>
          <w:lang w:eastAsia="zh-CN"/>
        </w:rPr>
        <w:t>ion</w:t>
      </w:r>
      <w:r w:rsidR="005A6725">
        <w:rPr>
          <w:lang w:eastAsia="zh-CN"/>
        </w:rPr>
        <w:t>.</w:t>
      </w:r>
    </w:p>
    <w:tbl>
      <w:tblPr>
        <w:tblStyle w:val="ae"/>
        <w:tblW w:w="0" w:type="auto"/>
        <w:tblLook w:val="04A0" w:firstRow="1" w:lastRow="0" w:firstColumn="1" w:lastColumn="0" w:noHBand="0" w:noVBand="1"/>
      </w:tblPr>
      <w:tblGrid>
        <w:gridCol w:w="9855"/>
      </w:tblGrid>
      <w:tr w:rsidR="0061625D" w:rsidRPr="00AE233E" w14:paraId="74D893F6" w14:textId="77777777" w:rsidTr="0061625D">
        <w:tc>
          <w:tcPr>
            <w:tcW w:w="9855" w:type="dxa"/>
          </w:tcPr>
          <w:p w14:paraId="70980423" w14:textId="6EFF5EDD" w:rsidR="00511EF1" w:rsidRPr="00A902BF" w:rsidRDefault="00544F5B" w:rsidP="00511EF1">
            <w:pPr>
              <w:wordWrap w:val="0"/>
              <w:rPr>
                <w:rFonts w:hint="eastAsia"/>
                <w:b/>
                <w:bCs/>
                <w:lang w:eastAsia="zh-CN"/>
              </w:rPr>
            </w:pPr>
            <w:r>
              <w:rPr>
                <w:b/>
                <w:bCs/>
                <w:lang w:eastAsia="zh-CN"/>
              </w:rPr>
              <w:t>A</w:t>
            </w:r>
            <w:r w:rsidR="00511EF1" w:rsidRPr="00A902BF">
              <w:rPr>
                <w:b/>
                <w:bCs/>
                <w:lang w:eastAsia="zh-CN"/>
              </w:rPr>
              <w:t>greement:</w:t>
            </w:r>
          </w:p>
          <w:p w14:paraId="6C7786F6" w14:textId="58339A2D" w:rsidR="00F258AD" w:rsidRPr="00AE233E" w:rsidRDefault="00F258AD" w:rsidP="00AE233E">
            <w:pPr>
              <w:pStyle w:val="af5"/>
              <w:numPr>
                <w:ilvl w:val="0"/>
                <w:numId w:val="14"/>
              </w:numPr>
              <w:rPr>
                <w:color w:val="000000" w:themeColor="text1"/>
                <w:sz w:val="22"/>
                <w:szCs w:val="22"/>
              </w:rPr>
            </w:pPr>
            <w:r w:rsidRPr="00AE233E">
              <w:rPr>
                <w:color w:val="000000" w:themeColor="text1"/>
                <w:sz w:val="22"/>
                <w:szCs w:val="22"/>
              </w:rPr>
              <w:t>RAN1 confirms the RAN2 agreement that CG-SDT resource can be configured on initial BWP</w:t>
            </w:r>
          </w:p>
          <w:p w14:paraId="4081710C" w14:textId="2D11CBF1" w:rsidR="00F258AD" w:rsidRPr="00AE233E" w:rsidRDefault="00F258AD" w:rsidP="00AE233E">
            <w:pPr>
              <w:pStyle w:val="af5"/>
              <w:numPr>
                <w:ilvl w:val="1"/>
                <w:numId w:val="13"/>
              </w:numPr>
              <w:spacing w:after="150"/>
              <w:ind w:right="150"/>
              <w:rPr>
                <w:color w:val="000000" w:themeColor="text1"/>
                <w:sz w:val="22"/>
                <w:szCs w:val="22"/>
                <w:lang w:eastAsia="en-US"/>
              </w:rPr>
            </w:pPr>
            <w:r w:rsidRPr="00AE233E">
              <w:rPr>
                <w:color w:val="000000" w:themeColor="text1"/>
                <w:sz w:val="22"/>
                <w:szCs w:val="22"/>
                <w:lang w:eastAsia="en-US"/>
              </w:rPr>
              <w:t>FFS whether CG-SDT resource can be configured on a separate BWP.</w:t>
            </w:r>
          </w:p>
          <w:p w14:paraId="6FCF0AA7" w14:textId="77777777" w:rsidR="0061625D" w:rsidRPr="00AE233E" w:rsidRDefault="0061625D" w:rsidP="005A6725">
            <w:pPr>
              <w:autoSpaceDE/>
              <w:autoSpaceDN/>
              <w:adjustRightInd/>
              <w:spacing w:line="259" w:lineRule="auto"/>
              <w:rPr>
                <w:rFonts w:hint="eastAsia"/>
                <w:lang w:eastAsia="zh-CN"/>
              </w:rPr>
            </w:pPr>
          </w:p>
        </w:tc>
      </w:tr>
    </w:tbl>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16430" w14:textId="77777777" w:rsidR="00532B79" w:rsidRDefault="00532B79">
      <w:r>
        <w:separator/>
      </w:r>
    </w:p>
  </w:endnote>
  <w:endnote w:type="continuationSeparator" w:id="0">
    <w:p w14:paraId="0E59EEFD" w14:textId="77777777" w:rsidR="00532B79" w:rsidRDefault="0053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1664B" w14:textId="77777777" w:rsidR="00532B79" w:rsidRDefault="00532B79">
      <w:r>
        <w:separator/>
      </w:r>
    </w:p>
  </w:footnote>
  <w:footnote w:type="continuationSeparator" w:id="0">
    <w:p w14:paraId="7CB38C7A" w14:textId="77777777" w:rsidR="00532B79" w:rsidRDefault="0053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9"/>
  </w:num>
  <w:num w:numId="4">
    <w:abstractNumId w:val="13"/>
  </w:num>
  <w:num w:numId="5">
    <w:abstractNumId w:val="8"/>
  </w:num>
  <w:num w:numId="6">
    <w:abstractNumId w:val="6"/>
  </w:num>
  <w:num w:numId="7">
    <w:abstractNumId w:val="2"/>
  </w:num>
  <w:num w:numId="8">
    <w:abstractNumId w:val="10"/>
  </w:num>
  <w:num w:numId="9">
    <w:abstractNumId w:val="0"/>
  </w:num>
  <w:num w:numId="10">
    <w:abstractNumId w:val="4"/>
  </w:num>
  <w:num w:numId="11">
    <w:abstractNumId w:val="11"/>
  </w:num>
  <w:num w:numId="12">
    <w:abstractNumId w:val="1"/>
    <w:lvlOverride w:ilvl="0"/>
    <w:lvlOverride w:ilvl="1"/>
    <w:lvlOverride w:ilvl="2"/>
    <w:lvlOverride w:ilvl="3"/>
    <w:lvlOverride w:ilvl="4"/>
    <w:lvlOverride w:ilvl="5"/>
    <w:lvlOverride w:ilvl="6"/>
    <w:lvlOverride w:ilvl="7"/>
    <w:lvlOverride w:ilvl="8"/>
  </w:num>
  <w:num w:numId="13">
    <w:abstractNumId w:val="7"/>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5F41"/>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4EC1"/>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EF1"/>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B79"/>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4F5B"/>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773"/>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5CF"/>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9C9"/>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17B"/>
    <w:rsid w:val="00A741AF"/>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33E"/>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58AD"/>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61335870">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7052500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5497D-7C88-4900-BDE1-FF6B7335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2</cp:revision>
  <cp:lastPrinted>2007-06-18T21:08:00Z</cp:lastPrinted>
  <dcterms:created xsi:type="dcterms:W3CDTF">2021-08-25T06:12:00Z</dcterms:created>
  <dcterms:modified xsi:type="dcterms:W3CDTF">2021-08-25T06:12:00Z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