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 xml:space="preserve">l </w:t>
            </w:r>
            <w:proofErr w:type="gramStart"/>
            <w:r>
              <w:rPr>
                <w:rFonts w:ascii="Arial" w:eastAsia="Times New Roman" w:hAnsi="Arial" w:cs="Arial"/>
                <w:snapToGrid/>
                <w:color w:val="000000"/>
                <w:kern w:val="0"/>
                <w:sz w:val="16"/>
                <w:szCs w:val="16"/>
                <w:lang w:val="en-US" w:eastAsia="en-US"/>
              </w:rPr>
              <w:t>The</w:t>
            </w:r>
            <w:proofErr w:type="gramEnd"/>
            <w:r>
              <w:rPr>
                <w:rFonts w:ascii="Arial" w:eastAsia="Times New Roman" w:hAnsi="Arial" w:cs="Arial"/>
                <w:snapToGrid/>
                <w:color w:val="000000"/>
                <w:kern w:val="0"/>
                <w:sz w:val="16"/>
                <w:szCs w:val="16"/>
                <w:lang w:val="en-US" w:eastAsia="en-US"/>
              </w:rPr>
              <w:t xml:space="preserv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The energy detection threshold adaptation for </w:t>
            </w:r>
            <w:proofErr w:type="gramStart"/>
            <w:r>
              <w:rPr>
                <w:rFonts w:ascii="Arial" w:eastAsia="Times New Roman" w:hAnsi="Arial" w:cs="Arial"/>
                <w:snapToGrid/>
                <w:color w:val="000000"/>
                <w:kern w:val="0"/>
                <w:sz w:val="16"/>
                <w:szCs w:val="16"/>
                <w:lang w:val="en-US" w:eastAsia="en-US"/>
              </w:rPr>
              <w:t>beam based</w:t>
            </w:r>
            <w:proofErr w:type="gramEnd"/>
            <w:r>
              <w:rPr>
                <w:rFonts w:ascii="Arial" w:eastAsia="Times New Roman" w:hAnsi="Arial" w:cs="Arial"/>
                <w:snapToGrid/>
                <w:color w:val="000000"/>
                <w:kern w:val="0"/>
                <w:sz w:val="16"/>
                <w:szCs w:val="16"/>
                <w:lang w:val="en-US" w:eastAsia="en-US"/>
              </w:rPr>
              <w:t xml:space="preserve">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8: The ED threshold for CCA check should </w:t>
            </w:r>
            <w:proofErr w:type="gramStart"/>
            <w:r>
              <w:rPr>
                <w:rFonts w:ascii="Calibri" w:eastAsia="Times New Roman" w:hAnsi="Calibri" w:cs="Calibri"/>
                <w:snapToGrid/>
                <w:color w:val="000000"/>
                <w:kern w:val="0"/>
                <w:szCs w:val="20"/>
                <w:lang w:val="en-US" w:eastAsia="en-US"/>
              </w:rPr>
              <w:t>take into account</w:t>
            </w:r>
            <w:proofErr w:type="gramEnd"/>
            <w:r>
              <w:rPr>
                <w:rFonts w:ascii="Calibri" w:eastAsia="Times New Roman" w:hAnsi="Calibri" w:cs="Calibri"/>
                <w:snapToGrid/>
                <w:color w:val="000000"/>
                <w:kern w:val="0"/>
                <w:szCs w:val="20"/>
                <w:lang w:val="en-US" w:eastAsia="en-US"/>
              </w:rPr>
              <w:t xml:space="preserve">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For NR-U and NR-U coexistence scenarios, its ED threshold can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Pout in EDT determination, define Pout as at least the maximum of </w:t>
            </w:r>
            <w:proofErr w:type="gramStart"/>
            <w:r>
              <w:rPr>
                <w:rFonts w:ascii="Calibri" w:eastAsia="Times New Roman" w:hAnsi="Calibri" w:cs="Calibri"/>
                <w:snapToGrid/>
                <w:color w:val="000000"/>
                <w:kern w:val="0"/>
                <w:szCs w:val="20"/>
                <w:lang w:val="en-US" w:eastAsia="en-US"/>
              </w:rPr>
              <w:t>beam-specific</w:t>
            </w:r>
            <w:proofErr w:type="gramEnd"/>
            <w:r>
              <w:rPr>
                <w:rFonts w:ascii="Calibri" w:eastAsia="Times New Roman" w:hAnsi="Calibri" w:cs="Calibri"/>
                <w:snapToGrid/>
                <w:color w:val="000000"/>
                <w:kern w:val="0"/>
                <w:szCs w:val="20"/>
                <w:lang w:val="en-US" w:eastAsia="en-US"/>
              </w:rPr>
              <w:t xml:space="preserve">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CG PUSCH configuration and operation is investigated </w:t>
            </w:r>
            <w:proofErr w:type="gramStart"/>
            <w:r>
              <w:rPr>
                <w:rFonts w:ascii="Calibri" w:eastAsia="Times New Roman" w:hAnsi="Calibri" w:cs="Calibri"/>
                <w:snapToGrid/>
                <w:color w:val="000000"/>
                <w:kern w:val="0"/>
                <w:szCs w:val="20"/>
                <w:lang w:val="en-US" w:eastAsia="en-US"/>
              </w:rPr>
              <w:t>in light of</w:t>
            </w:r>
            <w:proofErr w:type="gramEnd"/>
            <w:r>
              <w:rPr>
                <w:rFonts w:ascii="Calibri" w:eastAsia="Times New Roman" w:hAnsi="Calibri" w:cs="Calibri"/>
                <w:snapToGrid/>
                <w:color w:val="000000"/>
                <w:kern w:val="0"/>
                <w:szCs w:val="20"/>
                <w:lang w:val="en-US" w:eastAsia="en-US"/>
              </w:rPr>
              <w:t xml:space="preserve">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ListParagraph"/>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ListParagraph"/>
        <w:numPr>
          <w:ilvl w:val="1"/>
          <w:numId w:val="15"/>
        </w:numPr>
        <w:rPr>
          <w:lang w:eastAsia="en-US"/>
        </w:rPr>
      </w:pPr>
      <w:r>
        <w:rPr>
          <w:lang w:eastAsia="en-US"/>
        </w:rPr>
        <w:t>FFS how to adjust</w:t>
      </w:r>
    </w:p>
    <w:p w14:paraId="6F3DC2B0" w14:textId="022CF86A" w:rsidR="00586217" w:rsidRDefault="00586217">
      <w:pPr>
        <w:pStyle w:val="ListParagraph"/>
        <w:numPr>
          <w:ilvl w:val="1"/>
          <w:numId w:val="15"/>
        </w:numPr>
        <w:rPr>
          <w:lang w:eastAsia="en-US"/>
        </w:rPr>
      </w:pPr>
      <w:r>
        <w:rPr>
          <w:lang w:eastAsia="en-US"/>
        </w:rPr>
        <w:t xml:space="preserve">Support: ZTE, Intel, vivo, Apple, </w:t>
      </w:r>
      <w:proofErr w:type="spellStart"/>
      <w:r>
        <w:rPr>
          <w:lang w:eastAsia="en-US"/>
        </w:rPr>
        <w:t>Futurewei</w:t>
      </w:r>
      <w:proofErr w:type="spellEnd"/>
      <w:r>
        <w:rPr>
          <w:lang w:eastAsia="en-US"/>
        </w:rPr>
        <w:t xml:space="preserve">, NEC, </w:t>
      </w:r>
      <w:proofErr w:type="spellStart"/>
      <w:r>
        <w:rPr>
          <w:lang w:eastAsia="en-US"/>
        </w:rPr>
        <w:t>InterDigital</w:t>
      </w:r>
      <w:proofErr w:type="spellEnd"/>
      <w:r>
        <w:rPr>
          <w:lang w:eastAsia="en-US"/>
        </w:rPr>
        <w:t>, Huawei, Samsung</w:t>
      </w:r>
      <w:r w:rsidR="00114F09">
        <w:rPr>
          <w:lang w:eastAsia="en-US"/>
        </w:rPr>
        <w:t>, AT&amp;T, Oppo</w:t>
      </w:r>
    </w:p>
    <w:p w14:paraId="37D8E621" w14:textId="4A3ED7D6"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7EB0754" w14:textId="7D3A06E0" w:rsidR="00586217" w:rsidRDefault="00586217" w:rsidP="00586217">
      <w:pPr>
        <w:pStyle w:val="ListParagraph"/>
        <w:numPr>
          <w:ilvl w:val="1"/>
          <w:numId w:val="15"/>
        </w:numPr>
        <w:rPr>
          <w:lang w:eastAsia="en-US"/>
        </w:rPr>
      </w:pPr>
      <w:r>
        <w:rPr>
          <w:lang w:eastAsia="en-US"/>
        </w:rPr>
        <w:t xml:space="preserve">Support: Nokia, Charter, Ericsson, </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 xml:space="preserve">We support Alt A, especially for the case that the sensing beam is inconsistent with the transmission beam. </w:t>
            </w:r>
            <w:proofErr w:type="gramStart"/>
            <w:r>
              <w:rPr>
                <w:rFonts w:hint="eastAsia"/>
                <w:lang w:val="en-US" w:eastAsia="zh-CN"/>
              </w:rPr>
              <w:t>In order to</w:t>
            </w:r>
            <w:proofErr w:type="gramEnd"/>
            <w:r>
              <w:rPr>
                <w:rFonts w:hint="eastAsia"/>
                <w:lang w:val="en-US" w:eastAsia="zh-CN"/>
              </w:rPr>
              <w:t xml:space="preserve">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w:t>
            </w:r>
            <w:proofErr w:type="gramStart"/>
            <w:r>
              <w:rPr>
                <w:lang w:eastAsia="en-US"/>
              </w:rPr>
              <w:t>relation</w:t>
            </w:r>
            <w:proofErr w:type="gramEnd"/>
            <w:r>
              <w:rPr>
                <w:lang w:eastAsia="en-US"/>
              </w:rPr>
              <w:t xml:space="preserve">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proofErr w:type="spellStart"/>
            <w:r w:rsidRPr="004245E3">
              <w:rPr>
                <w:lang w:eastAsia="en-US"/>
              </w:rPr>
              <w:t>InterDigital</w:t>
            </w:r>
            <w:proofErr w:type="spellEnd"/>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 xml:space="preserve">Huawei, </w:t>
            </w:r>
            <w:proofErr w:type="spellStart"/>
            <w:r>
              <w:rPr>
                <w:lang w:eastAsia="en-US"/>
              </w:rPr>
              <w:t>HiSilicon</w:t>
            </w:r>
            <w:proofErr w:type="spellEnd"/>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w:t>
            </w:r>
            <w:proofErr w:type="gramStart"/>
            <w:r>
              <w:rPr>
                <w:lang w:val="en-US" w:eastAsia="en-US"/>
              </w:rPr>
              <w:t>due to the fact that</w:t>
            </w:r>
            <w:proofErr w:type="gramEnd"/>
            <w:r>
              <w:rPr>
                <w:lang w:val="en-US" w:eastAsia="en-US"/>
              </w:rPr>
              <w:t xml:space="preserve">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lastRenderedPageBreak/>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ListParagraph"/>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w:t>
            </w:r>
            <w:proofErr w:type="gramStart"/>
            <w:r>
              <w:rPr>
                <w:lang w:eastAsia="en-US"/>
              </w:rPr>
              <w:t>So</w:t>
            </w:r>
            <w:proofErr w:type="gramEnd"/>
            <w:r>
              <w:rPr>
                <w:lang w:eastAsia="en-US"/>
              </w:rPr>
              <w:t xml:space="preserve">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0F7B3D9C" w14:textId="77777777" w:rsidR="00586217" w:rsidRDefault="00A01006">
      <w:r>
        <w:t xml:space="preserve">Confirm the working assumption </w:t>
      </w:r>
    </w:p>
    <w:p w14:paraId="37D8E638" w14:textId="7F084901" w:rsidR="006C7ECB" w:rsidRDefault="00586217" w:rsidP="00586217">
      <w:pPr>
        <w:pStyle w:val="ListParagraph"/>
        <w:numPr>
          <w:ilvl w:val="0"/>
          <w:numId w:val="15"/>
        </w:numPr>
      </w:pPr>
      <w:r>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ListParagraph"/>
        <w:numPr>
          <w:ilvl w:val="1"/>
          <w:numId w:val="15"/>
        </w:numPr>
        <w:rPr>
          <w:lang w:eastAsia="en-US"/>
        </w:rPr>
      </w:pPr>
      <w:r>
        <w:rPr>
          <w:lang w:eastAsia="en-US"/>
        </w:rPr>
        <w:t>FFS: For COT sharing case, if the maximum EIRP of the responding device needs to be considered for EDT determination</w:t>
      </w:r>
    </w:p>
    <w:p w14:paraId="197E7231" w14:textId="0E6B513D" w:rsidR="00586217" w:rsidRDefault="00586217" w:rsidP="00586217">
      <w:pPr>
        <w:pStyle w:val="ListParagraph"/>
        <w:numPr>
          <w:ilvl w:val="1"/>
          <w:numId w:val="15"/>
        </w:numPr>
        <w:rPr>
          <w:lang w:eastAsia="en-US"/>
        </w:rPr>
      </w:pPr>
      <w:r>
        <w:rPr>
          <w:lang w:eastAsia="en-US"/>
        </w:rPr>
        <w:t xml:space="preserve">Support: Lenovo, Intel (no need for FFS), vivo (no need for FFS), Apple, NEC, Ericsson, </w:t>
      </w:r>
      <w:proofErr w:type="spellStart"/>
      <w:r>
        <w:rPr>
          <w:lang w:eastAsia="en-US"/>
        </w:rPr>
        <w:t>Convida</w:t>
      </w:r>
      <w:proofErr w:type="spellEnd"/>
      <w:r>
        <w:rPr>
          <w:lang w:eastAsia="en-US"/>
        </w:rPr>
        <w:t>, Huawei (no need for FFS), Samsung</w:t>
      </w:r>
      <w:r w:rsidR="00114F09">
        <w:rPr>
          <w:lang w:eastAsia="en-US"/>
        </w:rPr>
        <w:t>, Oppo</w:t>
      </w:r>
      <w:r w:rsidR="00DB4980">
        <w:rPr>
          <w:lang w:eastAsia="en-US"/>
        </w:rPr>
        <w:t>, WILUS</w:t>
      </w:r>
    </w:p>
    <w:p w14:paraId="614B6A9B" w14:textId="31E0A2EC" w:rsidR="00586217" w:rsidRPr="00586217" w:rsidRDefault="00586217" w:rsidP="00586217">
      <w:pPr>
        <w:pStyle w:val="ListParagraph"/>
        <w:numPr>
          <w:ilvl w:val="0"/>
          <w:numId w:val="15"/>
        </w:numPr>
        <w:rPr>
          <w:lang w:eastAsia="en-US"/>
        </w:rPr>
      </w:pPr>
      <w:r w:rsidRPr="00586217">
        <w:rPr>
          <w:lang w:eastAsia="en-US"/>
        </w:rPr>
        <w:t xml:space="preserve">Nokia </w:t>
      </w:r>
      <w:r>
        <w:rPr>
          <w:lang w:eastAsia="en-US"/>
        </w:rPr>
        <w:t xml:space="preserve">version: </w:t>
      </w:r>
      <w:r w:rsidRPr="00586217">
        <w:rPr>
          <w:lang w:eastAsia="en-US"/>
        </w:rPr>
        <w:t xml:space="preserve">For Pout in EDT determination, define Pout as at least the maximum of </w:t>
      </w:r>
      <w:proofErr w:type="gramStart"/>
      <w:r w:rsidRPr="00586217">
        <w:rPr>
          <w:lang w:eastAsia="en-US"/>
        </w:rPr>
        <w:t>beam-specific</w:t>
      </w:r>
      <w:proofErr w:type="gramEnd"/>
      <w:r w:rsidRPr="00586217">
        <w:rPr>
          <w:lang w:eastAsia="en-US"/>
        </w:rPr>
        <w:t xml:space="preserve"> mean EIRPs of the node determining EDT during a COT.</w:t>
      </w:r>
    </w:p>
    <w:p w14:paraId="0A890810" w14:textId="42AC49E2" w:rsidR="00586217" w:rsidRDefault="00586217" w:rsidP="00586217">
      <w:pPr>
        <w:pStyle w:val="ListParagraph"/>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ListParagraph"/>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ListParagraph"/>
        <w:numPr>
          <w:ilvl w:val="1"/>
          <w:numId w:val="15"/>
        </w:numPr>
        <w:rPr>
          <w:lang w:eastAsia="en-US"/>
        </w:rPr>
      </w:pPr>
      <w:r>
        <w:rPr>
          <w:lang w:eastAsia="en-US"/>
        </w:rPr>
        <w:t>Support: ZTE</w:t>
      </w:r>
    </w:p>
    <w:p w14:paraId="0311F95D" w14:textId="1B08894A" w:rsidR="00586217" w:rsidRDefault="00586217" w:rsidP="00586217">
      <w:pPr>
        <w:pStyle w:val="ListParagraph"/>
        <w:numPr>
          <w:ilvl w:val="0"/>
          <w:numId w:val="15"/>
        </w:numPr>
        <w:rPr>
          <w:lang w:eastAsia="en-US"/>
        </w:rPr>
      </w:pPr>
      <w:proofErr w:type="spellStart"/>
      <w:r>
        <w:rPr>
          <w:lang w:eastAsia="en-US"/>
        </w:rPr>
        <w:t>Futurewei</w:t>
      </w:r>
      <w:proofErr w:type="spellEnd"/>
      <w:r>
        <w:rPr>
          <w:lang w:eastAsia="en-US"/>
        </w:rPr>
        <w:t xml:space="preserve"> version: For Pout in EDT determination, define Pout as the maximum EIRP among intended set of transmit beams of the node determining EDT during a COT.</w:t>
      </w:r>
    </w:p>
    <w:p w14:paraId="6726430E" w14:textId="1B690DA5" w:rsidR="00586217" w:rsidRDefault="00586217" w:rsidP="00586217">
      <w:pPr>
        <w:pStyle w:val="ListParagraph"/>
        <w:numPr>
          <w:ilvl w:val="1"/>
          <w:numId w:val="15"/>
        </w:numPr>
        <w:rPr>
          <w:lang w:eastAsia="en-US"/>
        </w:rPr>
      </w:pPr>
      <w:r>
        <w:rPr>
          <w:lang w:eastAsia="en-US"/>
        </w:rPr>
        <w:t xml:space="preserve">Support: </w:t>
      </w:r>
      <w:proofErr w:type="spellStart"/>
      <w:r>
        <w:rPr>
          <w:lang w:eastAsia="en-US"/>
        </w:rPr>
        <w:t>Futurewei</w:t>
      </w:r>
      <w:proofErr w:type="spellEnd"/>
    </w:p>
    <w:p w14:paraId="53467DFA" w14:textId="6398042E" w:rsidR="00586217" w:rsidRPr="00586217" w:rsidRDefault="00586217" w:rsidP="00586217">
      <w:pPr>
        <w:rPr>
          <w:lang w:eastAsia="en-US"/>
        </w:rPr>
      </w:pP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lastRenderedPageBreak/>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 xml:space="preserve">For Pout in EDT determination, define Pout as at least the maximum of </w:t>
            </w:r>
            <w:proofErr w:type="gramStart"/>
            <w:r w:rsidRPr="005B4B1B">
              <w:rPr>
                <w:rFonts w:eastAsia="Batang"/>
                <w:kern w:val="2"/>
                <w:lang w:eastAsia="en-US"/>
              </w:rPr>
              <w:t>beam-specific</w:t>
            </w:r>
            <w:proofErr w:type="gramEnd"/>
            <w:r w:rsidRPr="005B4B1B">
              <w:rPr>
                <w:rFonts w:eastAsia="Batang"/>
                <w:kern w:val="2"/>
                <w:lang w:eastAsia="en-US"/>
              </w:rPr>
              <w:t xml:space="preserve">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w:t>
            </w:r>
            <w:proofErr w:type="gramStart"/>
            <w:r>
              <w:rPr>
                <w:lang w:eastAsia="en-US"/>
              </w:rPr>
              <w:t>), but</w:t>
            </w:r>
            <w:proofErr w:type="gramEnd"/>
            <w:r>
              <w:rPr>
                <w:lang w:eastAsia="en-US"/>
              </w:rPr>
              <w:t xml:space="preserve">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xml:space="preserve">.  </w:t>
            </w:r>
            <w:proofErr w:type="gramStart"/>
            <w:r w:rsidRPr="005B4B1B">
              <w:rPr>
                <w:rFonts w:hint="eastAsia"/>
                <w:lang w:eastAsia="en-US"/>
              </w:rPr>
              <w:t>In order to</w:t>
            </w:r>
            <w:proofErr w:type="gramEnd"/>
            <w:r w:rsidRPr="005B4B1B">
              <w:rPr>
                <w:rFonts w:hint="eastAsia"/>
                <w:lang w:eastAsia="en-US"/>
              </w:rPr>
              <w:t xml:space="preserve">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 xml:space="preserve">We support to confirm the WA. For COT sharing case, it is not necessary to </w:t>
            </w:r>
            <w:proofErr w:type="gramStart"/>
            <w:r>
              <w:rPr>
                <w:lang w:eastAsia="en-US"/>
              </w:rPr>
              <w:t>take into account</w:t>
            </w:r>
            <w:proofErr w:type="gramEnd"/>
            <w:r>
              <w:rPr>
                <w:lang w:eastAsia="en-US"/>
              </w:rPr>
              <w:t xml:space="preserve">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proofErr w:type="spellStart"/>
            <w:r>
              <w:rPr>
                <w:lang w:eastAsia="en-US"/>
              </w:rPr>
              <w:t>Convida</w:t>
            </w:r>
            <w:proofErr w:type="spellEnd"/>
            <w:r>
              <w:rPr>
                <w:lang w:eastAsia="en-US"/>
              </w:rPr>
              <w:t xml:space="preserve">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 xml:space="preserve">Huawei, </w:t>
            </w:r>
            <w:proofErr w:type="spellStart"/>
            <w:r>
              <w:rPr>
                <w:lang w:eastAsia="en-US"/>
              </w:rPr>
              <w:t>HiSilicon</w:t>
            </w:r>
            <w:proofErr w:type="spellEnd"/>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Moreover, subclause 4.2.2.1 of the HS EN 302 567 only considers the EIRP of the equipment during a transmission burst before which the equipment is required to perf</w:t>
            </w:r>
            <w:r>
              <w:rPr>
                <w:lang w:eastAsia="en-US"/>
              </w:rPr>
              <w:lastRenderedPageBreak/>
              <w:t xml:space="preserve">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lastRenderedPageBreak/>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bl>
    <w:p w14:paraId="37D8E652" w14:textId="77777777" w:rsidR="006C7ECB" w:rsidRDefault="006C7ECB">
      <w:pPr>
        <w:rPr>
          <w:lang w:eastAsia="en-US"/>
        </w:rPr>
      </w:pPr>
    </w:p>
    <w:p w14:paraId="37D8E653" w14:textId="77777777" w:rsidR="006C7ECB" w:rsidRDefault="00A01006">
      <w:pPr>
        <w:pStyle w:val="Heading2"/>
      </w:pPr>
      <w:r>
        <w:rPr>
          <w:noProof/>
          <w:lang w:val="en-US" w:eastAsia="zh-CN"/>
        </w:rPr>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gNB/UE performs multiple LBT, one for each CC over the transmission bandwidth (from the lowest RB </w:t>
                            </w:r>
                            <w:proofErr w:type="gramStart"/>
                            <w:r>
                              <w:rPr>
                                <w:rFonts w:cs="Times"/>
                                <w:szCs w:val="20"/>
                              </w:rPr>
                              <w:t>in to</w:t>
                            </w:r>
                            <w:proofErr w:type="gramEnd"/>
                            <w:r>
                              <w:rPr>
                                <w:rFonts w:cs="Times"/>
                                <w:szCs w:val="20"/>
                              </w:rPr>
                              <w:t xml:space="preserve"> the highest RB used for the transmission in the CC)</w:t>
                            </w:r>
                          </w:p>
                          <w:p w14:paraId="37D8ED67"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gNB/UE performs multiple LBT, one for each CC over the transmission bandwidth (from the lowest RB </w:t>
                      </w:r>
                      <w:proofErr w:type="gramStart"/>
                      <w:r>
                        <w:rPr>
                          <w:rFonts w:cs="Times"/>
                          <w:szCs w:val="20"/>
                        </w:rPr>
                        <w:t>in to</w:t>
                      </w:r>
                      <w:proofErr w:type="gramEnd"/>
                      <w:r>
                        <w:rPr>
                          <w:rFonts w:cs="Times"/>
                          <w:szCs w:val="20"/>
                        </w:rPr>
                        <w:t xml:space="preserve"> the highest RB used for the transmission in the CC)</w:t>
                      </w:r>
                    </w:p>
                    <w:p w14:paraId="37D8ED67"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To </w:t>
            </w:r>
            <w:proofErr w:type="gramStart"/>
            <w:r>
              <w:rPr>
                <w:rFonts w:ascii="Arial" w:eastAsia="Times New Roman" w:hAnsi="Arial" w:cs="Arial"/>
                <w:snapToGrid/>
                <w:color w:val="000000"/>
                <w:kern w:val="0"/>
                <w:sz w:val="16"/>
                <w:szCs w:val="16"/>
                <w:lang w:val="en-US" w:eastAsia="en-US"/>
              </w:rPr>
              <w:t>down-select</w:t>
            </w:r>
            <w:proofErr w:type="gramEnd"/>
            <w:r>
              <w:rPr>
                <w:rFonts w:ascii="Arial" w:eastAsia="Times New Roman" w:hAnsi="Arial" w:cs="Arial"/>
                <w:snapToGrid/>
                <w:color w:val="000000"/>
                <w:kern w:val="0"/>
                <w:sz w:val="16"/>
                <w:szCs w:val="16"/>
                <w:lang w:val="en-US" w:eastAsia="en-US"/>
              </w:rPr>
              <w:t xml:space="preserve">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12: How to perform LBT is left to implementation </w:t>
            </w:r>
            <w:proofErr w:type="gramStart"/>
            <w:r>
              <w:rPr>
                <w:rFonts w:ascii="Calibri" w:eastAsia="Times New Roman" w:hAnsi="Calibri" w:cs="Calibri"/>
                <w:snapToGrid/>
                <w:color w:val="000000"/>
                <w:kern w:val="0"/>
                <w:szCs w:val="20"/>
                <w:lang w:val="en-US" w:eastAsia="en-US"/>
              </w:rPr>
              <w:t>as long as</w:t>
            </w:r>
            <w:proofErr w:type="gramEnd"/>
            <w:r>
              <w:rPr>
                <w:rFonts w:ascii="Calibri" w:eastAsia="Times New Roman" w:hAnsi="Calibri" w:cs="Calibri"/>
                <w:snapToGrid/>
                <w:color w:val="000000"/>
                <w:kern w:val="0"/>
                <w:szCs w:val="20"/>
                <w:lang w:val="en-US" w:eastAsia="en-US"/>
              </w:rPr>
              <w:t xml:space="preserve">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For single carrier LBT, support both Alt SC.1 and Alt SC.3 as implementation choices, </w:t>
            </w:r>
            <w:proofErr w:type="gramStart"/>
            <w:r>
              <w:rPr>
                <w:rFonts w:ascii="Arial" w:eastAsia="Times New Roman" w:hAnsi="Arial" w:cs="Arial"/>
                <w:snapToGrid/>
                <w:color w:val="000000"/>
                <w:kern w:val="0"/>
                <w:sz w:val="16"/>
                <w:szCs w:val="16"/>
                <w:lang w:val="en-US" w:eastAsia="en-US"/>
              </w:rPr>
              <w:t>as long as</w:t>
            </w:r>
            <w:proofErr w:type="gramEnd"/>
            <w:r>
              <w:rPr>
                <w:rFonts w:ascii="Arial" w:eastAsia="Times New Roman" w:hAnsi="Arial" w:cs="Arial"/>
                <w:snapToGrid/>
                <w:color w:val="000000"/>
                <w:kern w:val="0"/>
                <w:sz w:val="16"/>
                <w:szCs w:val="16"/>
                <w:lang w:val="en-US" w:eastAsia="en-US"/>
              </w:rPr>
              <w:t xml:space="preserve">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Pr>
                <w:rFonts w:ascii="Arial" w:eastAsia="Times New Roman" w:hAnsi="Arial" w:cs="Arial"/>
                <w:snapToGrid/>
                <w:color w:val="000000"/>
                <w:kern w:val="0"/>
                <w:sz w:val="16"/>
                <w:szCs w:val="16"/>
                <w:lang w:val="en-US" w:eastAsia="en-US"/>
              </w:rPr>
              <w:t>1,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w:t>
            </w:r>
            <w:proofErr w:type="gramStart"/>
            <w:r>
              <w:rPr>
                <w:rFonts w:ascii="Arial" w:eastAsia="Times New Roman" w:hAnsi="Arial" w:cs="Arial"/>
                <w:snapToGrid/>
                <w:color w:val="000000"/>
                <w:kern w:val="0"/>
                <w:sz w:val="16"/>
                <w:szCs w:val="16"/>
                <w:lang w:val="en-US" w:eastAsia="en-US"/>
              </w:rPr>
              <w:t>In order to</w:t>
            </w:r>
            <w:proofErr w:type="gramEnd"/>
            <w:r>
              <w:rPr>
                <w:rFonts w:ascii="Arial" w:eastAsia="Times New Roman" w:hAnsi="Arial" w:cs="Arial"/>
                <w:snapToGrid/>
                <w:color w:val="000000"/>
                <w:kern w:val="0"/>
                <w:sz w:val="16"/>
                <w:szCs w:val="16"/>
                <w:lang w:val="en-US" w:eastAsia="en-US"/>
              </w:rPr>
              <w:t xml:space="preserve">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Apple, </w:t>
      </w:r>
      <w:proofErr w:type="gramStart"/>
      <w:r>
        <w:rPr>
          <w:rFonts w:cs="Times"/>
          <w:szCs w:val="20"/>
        </w:rPr>
        <w:t>CAICT ,</w:t>
      </w:r>
      <w:proofErr w:type="gramEnd"/>
      <w:r>
        <w:rPr>
          <w:rFonts w:cs="Times"/>
          <w:szCs w:val="20"/>
        </w:rPr>
        <w:t xml:space="preserve">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xml:space="preserve">, Lenovo, DOCOMO, </w:t>
      </w:r>
      <w:proofErr w:type="gramStart"/>
      <w:r>
        <w:rPr>
          <w:rFonts w:cs="Times"/>
          <w:szCs w:val="20"/>
        </w:rPr>
        <w:t>OPPO ,</w:t>
      </w:r>
      <w:proofErr w:type="gramEnd"/>
      <w:r>
        <w:rPr>
          <w:rFonts w:cs="Times"/>
          <w:szCs w:val="20"/>
        </w:rPr>
        <w:t xml:space="preserve">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D2"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 xml:space="preserve">For the choice of LBT bandwidth, we are not yet sure if leaving the choice of the LBT BW for UE is a reasonable approach. As the baseline, the network should have </w:t>
            </w:r>
            <w:r>
              <w:rPr>
                <w:lang w:eastAsia="en-US"/>
              </w:rPr>
              <w:lastRenderedPageBreak/>
              <w:t>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lastRenderedPageBreak/>
              <w:t>Charter Communications</w:t>
            </w:r>
          </w:p>
        </w:tc>
        <w:tc>
          <w:tcPr>
            <w:tcW w:w="6937" w:type="dxa"/>
          </w:tcPr>
          <w:p w14:paraId="37D8E6DC" w14:textId="77777777" w:rsidR="006C7ECB" w:rsidRDefault="00A01006">
            <w:pPr>
              <w:rPr>
                <w:lang w:eastAsia="en-US"/>
              </w:rPr>
            </w:pPr>
            <w:r>
              <w:rPr>
                <w:lang w:eastAsia="en-US"/>
              </w:rPr>
              <w:t xml:space="preserve">OK with the compromise proposal, but hesitant to leave the LBT bandwidth open to implementation. </w:t>
            </w:r>
            <w:proofErr w:type="gramStart"/>
            <w:r>
              <w:rPr>
                <w:lang w:eastAsia="en-US"/>
              </w:rPr>
              <w:t>Also</w:t>
            </w:r>
            <w:proofErr w:type="gramEnd"/>
            <w:r>
              <w:rPr>
                <w:lang w:eastAsia="en-US"/>
              </w:rPr>
              <w:t xml:space="preserve">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 xml:space="preserve">We are not OK to leave up to gNB/UE’s implementation to decide which definition of the LBT BW to use, and we would rather prefer to </w:t>
            </w:r>
            <w:proofErr w:type="gramStart"/>
            <w:r>
              <w:rPr>
                <w:lang w:eastAsia="en-US"/>
              </w:rPr>
              <w:t>down-select</w:t>
            </w:r>
            <w:proofErr w:type="gramEnd"/>
            <w:r>
              <w:rPr>
                <w:lang w:eastAsia="en-US"/>
              </w:rPr>
              <w:t xml:space="preserve">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w:t>
            </w:r>
            <w:r>
              <w:rPr>
                <w:lang w:val="en-US"/>
              </w:rPr>
              <w:lastRenderedPageBreak/>
              <w:t xml:space="preserve">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proofErr w:type="spellStart"/>
            <w:r w:rsidRPr="004245E3">
              <w:rPr>
                <w:lang w:eastAsia="en-US"/>
              </w:rPr>
              <w:lastRenderedPageBreak/>
              <w:t>InterDigital</w:t>
            </w:r>
            <w:proofErr w:type="spellEnd"/>
          </w:p>
        </w:tc>
        <w:tc>
          <w:tcPr>
            <w:tcW w:w="6937" w:type="dxa"/>
          </w:tcPr>
          <w:p w14:paraId="1C071BFF" w14:textId="77777777" w:rsidR="00150474" w:rsidRPr="004245E3" w:rsidRDefault="00150474" w:rsidP="00586217">
            <w:pPr>
              <w:rPr>
                <w:lang w:eastAsia="en-US"/>
              </w:rPr>
            </w:pPr>
            <w:r w:rsidRPr="004245E3">
              <w:rPr>
                <w:lang w:eastAsia="en-US"/>
              </w:rPr>
              <w:t xml:space="preserve">We are ok with the compromise solution, </w:t>
            </w:r>
            <w:proofErr w:type="gramStart"/>
            <w:r w:rsidRPr="004245E3">
              <w:rPr>
                <w:lang w:eastAsia="en-US"/>
              </w:rPr>
              <w:t>as long as</w:t>
            </w:r>
            <w:proofErr w:type="gramEnd"/>
            <w:r w:rsidRPr="004245E3">
              <w:rPr>
                <w:lang w:eastAsia="en-US"/>
              </w:rPr>
              <w:t xml:space="preserve">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2FF68AE4" w14:textId="77777777" w:rsidR="00CE0EF6" w:rsidRDefault="00CE0EF6" w:rsidP="00CE0EF6">
            <w:pPr>
              <w:rPr>
                <w:lang w:eastAsia="en-US"/>
              </w:rPr>
            </w:pPr>
            <w:r>
              <w:rPr>
                <w:lang w:eastAsia="en-US"/>
              </w:rPr>
              <w:t xml:space="preserve">First, please note that the agreement </w:t>
            </w:r>
            <w:proofErr w:type="gramStart"/>
            <w:r>
              <w:rPr>
                <w:lang w:eastAsia="en-US"/>
              </w:rPr>
              <w:t>mentioned  at</w:t>
            </w:r>
            <w:proofErr w:type="gramEnd"/>
            <w:r>
              <w:rPr>
                <w:lang w:eastAsia="en-US"/>
              </w:rPr>
              <w:t xml:space="preserve">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gNB/UE’s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For both Alt SC1 and SC3, one key point is to choose the LBT bandwidth cover the transmission bandwidth. Based on this understanding, one clarification question, is there any further discussion on the details of Alt SC.3, e.g. the size of the unit? If everything is up to implementation, then it’s like the choice of LBT BW itself is up to implementation (as long as transmission bandwidth is covered</w:t>
            </w:r>
            <w:proofErr w:type="gramStart"/>
            <w:r>
              <w:rPr>
                <w:lang w:eastAsia="en-US"/>
              </w:rPr>
              <w:t>), and</w:t>
            </w:r>
            <w:proofErr w:type="gramEnd"/>
            <w:r>
              <w:rPr>
                <w:lang w:eastAsia="en-US"/>
              </w:rPr>
              <w:t xml:space="preserve">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hint="eastAsia"/>
                <w:lang w:eastAsia="zh-CN"/>
              </w:rPr>
            </w:pPr>
            <w:r>
              <w:rPr>
                <w:rFonts w:eastAsia="Malgun Gothic" w:hint="eastAsia"/>
              </w:rPr>
              <w:t>W</w:t>
            </w:r>
            <w:r>
              <w:rPr>
                <w:rFonts w:eastAsia="Malgun Gothic"/>
              </w:rPr>
              <w:t>ILUS</w:t>
            </w:r>
          </w:p>
        </w:tc>
        <w:tc>
          <w:tcPr>
            <w:tcW w:w="6937" w:type="dxa"/>
          </w:tcPr>
          <w:p w14:paraId="58EAEA31" w14:textId="25AB8A40" w:rsidR="00DB4980" w:rsidRDefault="00DB4980" w:rsidP="00DB4980">
            <w:pPr>
              <w:rPr>
                <w:rFonts w:eastAsiaTheme="minorEastAsia" w:hint="eastAsia"/>
                <w:lang w:eastAsia="zh-CN"/>
              </w:rPr>
            </w:pPr>
            <w:r>
              <w:rPr>
                <w:lang w:eastAsia="en-US"/>
              </w:rPr>
              <w:t>Although we support Alt SC. 3 but are ok with proposal to support both.</w:t>
            </w:r>
          </w:p>
        </w:tc>
      </w:tr>
    </w:tbl>
    <w:p w14:paraId="37D8E6E4" w14:textId="77777777" w:rsidR="006C7ECB" w:rsidRPr="00150474"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E8"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proofErr w:type="gramStart"/>
            <w:r>
              <w:rPr>
                <w:lang w:eastAsia="en-US"/>
              </w:rPr>
              <w:t>Similarly</w:t>
            </w:r>
            <w:proofErr w:type="gramEnd"/>
            <w:r>
              <w:rPr>
                <w:lang w:eastAsia="en-US"/>
              </w:rPr>
              <w:t xml:space="preserve">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w:t>
            </w:r>
            <w:r>
              <w:rPr>
                <w:lang w:eastAsia="en-US"/>
              </w:rPr>
              <w:lastRenderedPageBreak/>
              <w:t>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lastRenderedPageBreak/>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w:t>
            </w:r>
            <w:proofErr w:type="gramStart"/>
            <w:r>
              <w:rPr>
                <w:lang w:eastAsia="en-US"/>
              </w:rPr>
              <w:t>similar to</w:t>
            </w:r>
            <w:proofErr w:type="gramEnd"/>
            <w:r>
              <w:rPr>
                <w:lang w:eastAsia="en-US"/>
              </w:rPr>
              <w:t xml:space="preserve">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514B6511" w14:textId="77777777" w:rsidR="00CE0EF6" w:rsidRDefault="00CE0EF6" w:rsidP="00CE0EF6">
            <w:pPr>
              <w:rPr>
                <w:lang w:eastAsia="en-US"/>
              </w:rPr>
            </w:pPr>
            <w:r>
              <w:rPr>
                <w:lang w:eastAsia="en-US"/>
              </w:rPr>
              <w:t>We support Alt CA.1 and Alt CA.</w:t>
            </w:r>
            <w:proofErr w:type="gramStart"/>
            <w:r>
              <w:rPr>
                <w:lang w:eastAsia="en-US"/>
              </w:rPr>
              <w:t>2 .</w:t>
            </w:r>
            <w:proofErr w:type="gramEnd"/>
          </w:p>
          <w:p w14:paraId="5471160A" w14:textId="77777777" w:rsidR="00CE0EF6" w:rsidRDefault="00CE0EF6" w:rsidP="00CE0EF6">
            <w:pPr>
              <w:rPr>
                <w:lang w:eastAsia="en-US"/>
              </w:rPr>
            </w:pPr>
            <w:proofErr w:type="gramStart"/>
            <w:r>
              <w:rPr>
                <w:lang w:eastAsia="en-US"/>
              </w:rPr>
              <w:t>Similar to</w:t>
            </w:r>
            <w:proofErr w:type="gramEnd"/>
            <w:r>
              <w:rPr>
                <w:lang w:eastAsia="en-US"/>
              </w:rPr>
              <w:t xml:space="preserve"> our comments for the SC case, we are not supportive of leaving it to gNB/UE’s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hint="eastAsia"/>
                <w:lang w:eastAsia="zh-CN"/>
              </w:rPr>
            </w:pPr>
            <w:r>
              <w:rPr>
                <w:rFonts w:eastAsia="Malgun Gothic" w:hint="eastAsia"/>
              </w:rPr>
              <w:t>W</w:t>
            </w:r>
            <w:r>
              <w:rPr>
                <w:rFonts w:eastAsia="Malgun Gothic"/>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bl>
    <w:p w14:paraId="37D8E6FA" w14:textId="412F2A0F" w:rsidR="006C7ECB" w:rsidRDefault="006C7ECB">
      <w:pPr>
        <w:rPr>
          <w:lang w:eastAsia="en-US"/>
        </w:rPr>
      </w:pPr>
    </w:p>
    <w:p w14:paraId="05568069" w14:textId="5CA0223A" w:rsidR="00CE49D6" w:rsidRDefault="00CE49D6" w:rsidP="00CE49D6">
      <w:pPr>
        <w:pStyle w:val="Heading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For LBT for single carrier transmissions, support both Alt SC.1 and Alt SC.3, and leave the choice to gNB/UE implementation.</w:t>
      </w:r>
    </w:p>
    <w:p w14:paraId="676CC805" w14:textId="47FA9A3F" w:rsidR="00CE49D6" w:rsidRPr="00CE49D6" w:rsidRDefault="00CE49D6" w:rsidP="00CE49D6">
      <w:pPr>
        <w:pStyle w:val="ListParagraph"/>
        <w:numPr>
          <w:ilvl w:val="0"/>
          <w:numId w:val="17"/>
        </w:numPr>
        <w:rPr>
          <w:color w:val="FF0000"/>
          <w:lang w:eastAsia="en-US"/>
        </w:rPr>
      </w:pPr>
      <w:r w:rsidRPr="00CE49D6">
        <w:rPr>
          <w:color w:val="FF0000"/>
          <w:lang w:eastAsia="en-US"/>
        </w:rPr>
        <w:t>For Alt SC.3, the implementation choice of LBT bandwidth is from a set of bandwidth values (FFS the set of values)</w:t>
      </w:r>
    </w:p>
    <w:p w14:paraId="43A90A9E" w14:textId="77777777" w:rsidR="00CE49D6" w:rsidRDefault="00CE49D6" w:rsidP="00CE49D6">
      <w:pPr>
        <w:pStyle w:val="ListParagraph"/>
        <w:numPr>
          <w:ilvl w:val="0"/>
          <w:numId w:val="17"/>
        </w:numPr>
        <w:rPr>
          <w:lang w:eastAsia="en-US"/>
        </w:rPr>
      </w:pPr>
      <w:r>
        <w:rPr>
          <w:lang w:eastAsia="en-US"/>
        </w:rPr>
        <w:t>FFS if and how gNB indicates the LBT bandwidth adopted to UE</w:t>
      </w:r>
    </w:p>
    <w:p w14:paraId="47091F32" w14:textId="77777777" w:rsidR="00CE49D6" w:rsidRDefault="00CE49D6" w:rsidP="00CE49D6">
      <w:pPr>
        <w:pStyle w:val="ListParagraph"/>
        <w:numPr>
          <w:ilvl w:val="0"/>
          <w:numId w:val="17"/>
        </w:numPr>
        <w:rPr>
          <w:lang w:eastAsia="en-US"/>
        </w:rPr>
      </w:pPr>
      <w:r>
        <w:rPr>
          <w:lang w:eastAsia="en-US"/>
        </w:rPr>
        <w:t>FFS if and how UE indicates the LBT bandwidth adopted to gNB</w:t>
      </w:r>
    </w:p>
    <w:tbl>
      <w:tblPr>
        <w:tblStyle w:val="TableGrid"/>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CE49D6" w14:paraId="70844424" w14:textId="77777777" w:rsidTr="00114F09">
        <w:tc>
          <w:tcPr>
            <w:tcW w:w="2425" w:type="dxa"/>
          </w:tcPr>
          <w:p w14:paraId="392B0BE6" w14:textId="66A94747" w:rsidR="00CE49D6" w:rsidRDefault="00CE49D6" w:rsidP="00114F09">
            <w:pPr>
              <w:rPr>
                <w:lang w:eastAsia="en-US"/>
              </w:rPr>
            </w:pPr>
          </w:p>
        </w:tc>
        <w:tc>
          <w:tcPr>
            <w:tcW w:w="6937" w:type="dxa"/>
          </w:tcPr>
          <w:p w14:paraId="60C13E6A" w14:textId="1D371EE7" w:rsidR="00CE49D6" w:rsidRDefault="00CE49D6" w:rsidP="00114F09">
            <w:pPr>
              <w:rPr>
                <w:lang w:eastAsia="en-US"/>
              </w:rPr>
            </w:pPr>
          </w:p>
        </w:tc>
      </w:tr>
    </w:tbl>
    <w:p w14:paraId="496D68B3" w14:textId="1D3BA7D8" w:rsidR="00CE49D6" w:rsidRPr="00CE49D6"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For LBT for multi-carrier transmissions in intra-band CA, support Alt CA.1, Alt CA.2, and Alt CA.5, and leave the choice to gNB/UE implementation.</w:t>
      </w:r>
    </w:p>
    <w:p w14:paraId="52EBCDBE" w14:textId="4062D82B"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the implementation choice of LBT bandwidth is from a set of bandwidth values (FFS the set of values)</w:t>
      </w:r>
    </w:p>
    <w:p w14:paraId="25BB76B5" w14:textId="77777777" w:rsidR="00CE49D6" w:rsidRDefault="00CE49D6" w:rsidP="00CE49D6">
      <w:pPr>
        <w:pStyle w:val="ListParagraph"/>
        <w:numPr>
          <w:ilvl w:val="0"/>
          <w:numId w:val="17"/>
        </w:numPr>
        <w:rPr>
          <w:lang w:eastAsia="en-US"/>
        </w:rPr>
      </w:pPr>
      <w:r>
        <w:rPr>
          <w:lang w:eastAsia="en-US"/>
        </w:rPr>
        <w:t>FFS if and how gNB indicates the LBT bandwidth adopted to UE</w:t>
      </w:r>
    </w:p>
    <w:p w14:paraId="23C5C264" w14:textId="77777777" w:rsidR="00CE49D6" w:rsidRDefault="00CE49D6" w:rsidP="00CE49D6">
      <w:pPr>
        <w:pStyle w:val="ListParagraph"/>
        <w:numPr>
          <w:ilvl w:val="0"/>
          <w:numId w:val="17"/>
        </w:numPr>
        <w:rPr>
          <w:lang w:eastAsia="en-US"/>
        </w:rPr>
      </w:pPr>
      <w:r>
        <w:rPr>
          <w:lang w:eastAsia="en-US"/>
        </w:rPr>
        <w:t>FFS if and how UE indicates the LBT bandwidth adopted to gNB</w:t>
      </w:r>
    </w:p>
    <w:tbl>
      <w:tblPr>
        <w:tblStyle w:val="TableGrid"/>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CE49D6" w14:paraId="72009C77" w14:textId="77777777" w:rsidTr="00114F09">
        <w:tc>
          <w:tcPr>
            <w:tcW w:w="2425" w:type="dxa"/>
          </w:tcPr>
          <w:p w14:paraId="2869E7D8" w14:textId="77777777" w:rsidR="00CE49D6" w:rsidRDefault="00CE49D6" w:rsidP="00114F09">
            <w:pPr>
              <w:rPr>
                <w:lang w:eastAsia="en-US"/>
              </w:rPr>
            </w:pPr>
          </w:p>
        </w:tc>
        <w:tc>
          <w:tcPr>
            <w:tcW w:w="6937" w:type="dxa"/>
          </w:tcPr>
          <w:p w14:paraId="01F01274" w14:textId="77777777" w:rsidR="00CE49D6" w:rsidRDefault="00CE49D6" w:rsidP="00114F09">
            <w:pPr>
              <w:rPr>
                <w:lang w:eastAsia="en-US"/>
              </w:rPr>
            </w:pPr>
          </w:p>
        </w:tc>
      </w:tr>
    </w:tbl>
    <w:p w14:paraId="14A2CC9C" w14:textId="77777777" w:rsidR="00CE49D6" w:rsidRDefault="00CE49D6">
      <w:pPr>
        <w:rPr>
          <w:lang w:eastAsia="en-US"/>
        </w:rPr>
      </w:pPr>
    </w:p>
    <w:p w14:paraId="37D8E6FB" w14:textId="77777777" w:rsidR="006C7ECB" w:rsidRDefault="00A01006">
      <w:pPr>
        <w:pStyle w:val="Heading2"/>
      </w:pPr>
      <w:r>
        <w:lastRenderedPageBreak/>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 xml:space="preserve">For energy measurement in 8us deferral period, </w:t>
                            </w:r>
                            <w:proofErr w:type="gramStart"/>
                            <w:r>
                              <w:rPr>
                                <w:rFonts w:cs="Times"/>
                                <w:sz w:val="18"/>
                                <w:szCs w:val="20"/>
                              </w:rPr>
                              <w:t>down-select</w:t>
                            </w:r>
                            <w:proofErr w:type="gramEnd"/>
                            <w:r>
                              <w:rPr>
                                <w:rFonts w:cs="Times"/>
                                <w:sz w:val="18"/>
                                <w:szCs w:val="20"/>
                              </w:rPr>
                              <w:t xml:space="preserve"> from the following:</w:t>
                            </w:r>
                          </w:p>
                          <w:p w14:paraId="37D8ED6E"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0" w:name="OLE_LINK71"/>
                            <w:bookmarkStart w:id="1"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114F09" w:rsidRDefault="00114F09"/>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 xml:space="preserve">For energy measurement in 8us deferral period, </w:t>
                      </w:r>
                      <w:proofErr w:type="gramStart"/>
                      <w:r>
                        <w:rPr>
                          <w:rFonts w:cs="Times"/>
                          <w:sz w:val="18"/>
                          <w:szCs w:val="20"/>
                        </w:rPr>
                        <w:t>down-select</w:t>
                      </w:r>
                      <w:proofErr w:type="gramEnd"/>
                      <w:r>
                        <w:rPr>
                          <w:rFonts w:cs="Times"/>
                          <w:sz w:val="18"/>
                          <w:szCs w:val="20"/>
                        </w:rPr>
                        <w:t xml:space="preserve"> from the following:</w:t>
                      </w:r>
                    </w:p>
                    <w:p w14:paraId="37D8ED6E"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2" w:name="OLE_LINK71"/>
                      <w:bookmarkStart w:id="3"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114F09" w:rsidRDefault="00114F09"/>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w:t>
            </w:r>
            <w:proofErr w:type="gramStart"/>
            <w:r>
              <w:rPr>
                <w:rFonts w:ascii="Calibri" w:eastAsia="Times New Roman" w:hAnsi="Calibri" w:cs="Calibri"/>
                <w:snapToGrid/>
                <w:color w:val="000000"/>
                <w:kern w:val="0"/>
                <w:szCs w:val="20"/>
                <w:lang w:val="en-US" w:eastAsia="en-US"/>
              </w:rPr>
              <w:t>us,it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Alt-1 is </w:t>
            </w:r>
            <w:proofErr w:type="gramStart"/>
            <w:r>
              <w:rPr>
                <w:rFonts w:ascii="Arial" w:eastAsia="Times New Roman" w:hAnsi="Arial" w:cs="Arial"/>
                <w:snapToGrid/>
                <w:color w:val="000000"/>
                <w:kern w:val="0"/>
                <w:sz w:val="16"/>
                <w:szCs w:val="16"/>
                <w:lang w:val="en-US" w:eastAsia="en-US"/>
              </w:rPr>
              <w:t>supported</w:t>
            </w:r>
            <w:proofErr w:type="gramEnd"/>
            <w:r>
              <w:rPr>
                <w:rFonts w:ascii="Arial" w:eastAsia="Times New Roman" w:hAnsi="Arial" w:cs="Arial"/>
                <w:snapToGrid/>
                <w:color w:val="000000"/>
                <w:kern w:val="0"/>
                <w:sz w:val="16"/>
                <w:szCs w:val="16"/>
                <w:lang w:val="en-US" w:eastAsia="en-US"/>
              </w:rPr>
              <w:t xml:space="preserve">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5A42AA2F" w:rsidR="00CE49D6" w:rsidRDefault="00CE49D6" w:rsidP="00CE49D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r w:rsidR="00114F09">
        <w:rPr>
          <w:rFonts w:cs="Times"/>
          <w:szCs w:val="20"/>
        </w:rPr>
        <w:t>Oppo</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1BF0B6D8" w:rsidR="00CE49D6" w:rsidRDefault="00CE49D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Nokia, Charter, Apple, </w:t>
      </w:r>
      <w:proofErr w:type="spellStart"/>
      <w:r>
        <w:rPr>
          <w:rFonts w:cs="Times"/>
          <w:szCs w:val="20"/>
        </w:rPr>
        <w:t>Futurewei</w:t>
      </w:r>
      <w:proofErr w:type="spellEnd"/>
      <w:r>
        <w:rPr>
          <w:rFonts w:cs="Times"/>
          <w:szCs w:val="20"/>
        </w:rPr>
        <w:t>, Ericsson, Huawei, Samsung</w:t>
      </w:r>
      <w:r w:rsidR="00DB4980">
        <w:rPr>
          <w:rFonts w:cs="Times"/>
          <w:szCs w:val="20"/>
        </w:rPr>
        <w:t>, WILUS</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w:t>
            </w:r>
            <w:proofErr w:type="gramStart"/>
            <w:r>
              <w:rPr>
                <w:lang w:eastAsia="en-US"/>
              </w:rPr>
              <w:t>Also</w:t>
            </w:r>
            <w:proofErr w:type="gramEnd"/>
            <w:r>
              <w:rPr>
                <w:lang w:eastAsia="en-US"/>
              </w:rPr>
              <w:t xml:space="preserve">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w:t>
            </w:r>
            <w:proofErr w:type="gramStart"/>
            <w:r w:rsidRPr="008D52CC">
              <w:rPr>
                <w:color w:val="00B0F0"/>
                <w:lang w:eastAsia="en-US"/>
              </w:rPr>
              <w:t>,  WA</w:t>
            </w:r>
            <w:proofErr w:type="gramEnd"/>
            <w:r w:rsidRPr="008D52CC">
              <w:rPr>
                <w:color w:val="00B0F0"/>
                <w:lang w:eastAsia="en-US"/>
              </w:rPr>
              <w:t xml:space="preserve">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w:t>
            </w:r>
            <w:proofErr w:type="gramStart"/>
            <w:r>
              <w:rPr>
                <w:lang w:eastAsia="en-US"/>
              </w:rPr>
              <w:t>implementation, if</w:t>
            </w:r>
            <w:proofErr w:type="gramEnd"/>
            <w:r>
              <w:rPr>
                <w:lang w:eastAsia="en-US"/>
              </w:rPr>
              <w:t xml:space="preserve">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hint="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hint="eastAsia"/>
                <w:lang w:eastAsia="zh-CN"/>
              </w:rPr>
            </w:pPr>
            <w:r>
              <w:rPr>
                <w:rFonts w:hint="eastAsia"/>
              </w:rPr>
              <w:t>W</w:t>
            </w:r>
            <w:r>
              <w:t>e support Alt 2.</w:t>
            </w:r>
          </w:p>
        </w:tc>
      </w:tr>
    </w:tbl>
    <w:p w14:paraId="37D8E755" w14:textId="77777777" w:rsidR="006C7ECB" w:rsidRDefault="006C7ECB">
      <w:pPr>
        <w:rPr>
          <w:lang w:eastAsia="en-US"/>
        </w:rPr>
      </w:pPr>
    </w:p>
    <w:p w14:paraId="37D8E756" w14:textId="77777777" w:rsidR="006C7ECB" w:rsidRDefault="00A01006">
      <w:pPr>
        <w:pStyle w:val="Heading2"/>
      </w:pPr>
      <w:r>
        <w:lastRenderedPageBreak/>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 xml:space="preserve">On maximum gap within a COT to allow COT sharing without LBT, </w:t>
            </w:r>
            <w:proofErr w:type="gramStart"/>
            <w:r>
              <w:rPr>
                <w:rFonts w:cs="Times"/>
                <w:szCs w:val="20"/>
              </w:rPr>
              <w:t>down-select</w:t>
            </w:r>
            <w:proofErr w:type="gramEnd"/>
            <w:r>
              <w:rPr>
                <w:rFonts w:cs="Times"/>
                <w:szCs w:val="20"/>
              </w:rPr>
              <w:t xml:space="preserve">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CAICT, FUTUREWEI, Lenovo, </w:t>
      </w:r>
      <w:proofErr w:type="gramStart"/>
      <w:r>
        <w:rPr>
          <w:rFonts w:cs="Times"/>
          <w:szCs w:val="20"/>
        </w:rPr>
        <w:t xml:space="preserve">OPPO,  </w:t>
      </w:r>
      <w:proofErr w:type="spellStart"/>
      <w:r>
        <w:rPr>
          <w:rFonts w:cs="Times"/>
          <w:szCs w:val="20"/>
        </w:rPr>
        <w:t>InterDigital</w:t>
      </w:r>
      <w:proofErr w:type="spellEnd"/>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543B7E9"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Apple, Ericsson, Huawei, Nokia, </w:t>
      </w:r>
      <w:proofErr w:type="spellStart"/>
      <w:r>
        <w:rPr>
          <w:rFonts w:cs="Times"/>
          <w:szCs w:val="20"/>
        </w:rPr>
        <w:t>Spreadtrum</w:t>
      </w:r>
      <w:proofErr w:type="spellEnd"/>
      <w:r>
        <w:rPr>
          <w:rFonts w:cs="Times"/>
          <w:szCs w:val="20"/>
        </w:rPr>
        <w:t>, vivo, WILUS</w:t>
      </w:r>
      <w:r w:rsidR="00173F66">
        <w:rPr>
          <w:rFonts w:cs="Times"/>
          <w:szCs w:val="20"/>
        </w:rPr>
        <w:t>, Charter, Intel, Ericsson</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7D8E7A0" w14:textId="4849E0EB"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w:t>
      </w:r>
      <w:proofErr w:type="gramStart"/>
      <w:r>
        <w:rPr>
          <w:rFonts w:cs="Times"/>
          <w:szCs w:val="20"/>
        </w:rPr>
        <w:t xml:space="preserve">OPPO,  </w:t>
      </w:r>
      <w:proofErr w:type="spellStart"/>
      <w:r>
        <w:rPr>
          <w:rFonts w:cs="Times"/>
          <w:szCs w:val="20"/>
        </w:rPr>
        <w:t>InterDigital</w:t>
      </w:r>
      <w:proofErr w:type="spellEnd"/>
      <w:proofErr w:type="gramEnd"/>
      <w:r w:rsidR="00173F66">
        <w:rPr>
          <w:rFonts w:cs="Times"/>
          <w:szCs w:val="20"/>
        </w:rPr>
        <w:t>, Nokia, ZTE, Intel, NEC, Samsung</w:t>
      </w:r>
      <w:r w:rsidR="00114F09">
        <w:rPr>
          <w:rFonts w:cs="Times"/>
          <w:szCs w:val="20"/>
        </w:rPr>
        <w:t>, Oppo</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w:t>
            </w:r>
            <w:r w:rsidRPr="00C11A96">
              <w:rPr>
                <w:lang w:val="en-US" w:eastAsia="en-US"/>
              </w:rPr>
              <w:lastRenderedPageBreak/>
              <w:t>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lastRenderedPageBreak/>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hint="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hint="eastAsia"/>
                <w:lang w:eastAsia="zh-CN"/>
              </w:rPr>
            </w:pPr>
            <w:r w:rsidRPr="003A5277">
              <w:rPr>
                <w:lang w:eastAsia="en-US"/>
              </w:rPr>
              <w:t>We support Alt 1. It is not necessary to define a maximum gap for COT sharing within the maximum COT duration per the ETSI regulation</w:t>
            </w:r>
          </w:p>
        </w:tc>
      </w:tr>
    </w:tbl>
    <w:p w14:paraId="37D8E7B1" w14:textId="77777777" w:rsidR="006C7ECB" w:rsidRPr="00E066FF" w:rsidRDefault="006C7ECB">
      <w:pPr>
        <w:rPr>
          <w:lang w:eastAsia="en-US"/>
        </w:rPr>
      </w:pPr>
    </w:p>
    <w:p w14:paraId="37D8E7B2" w14:textId="77777777" w:rsidR="006C7ECB" w:rsidRDefault="00A01006">
      <w:pPr>
        <w:pStyle w:val="Heading2"/>
      </w:pPr>
      <w:r>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 xml:space="preserve">For Cat 2 LBT, </w:t>
                            </w:r>
                            <w:proofErr w:type="gramStart"/>
                            <w:r>
                              <w:rPr>
                                <w:rFonts w:cs="Times"/>
                                <w:szCs w:val="20"/>
                              </w:rPr>
                              <w:t>down-select</w:t>
                            </w:r>
                            <w:proofErr w:type="gramEnd"/>
                            <w:r>
                              <w:rPr>
                                <w:rFonts w:cs="Times"/>
                                <w:szCs w:val="20"/>
                              </w:rPr>
                              <w:t xml:space="preserve"> from the following alternatives</w:t>
                            </w:r>
                          </w:p>
                          <w:p w14:paraId="37D8ED7A"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 xml:space="preserve">For Cat 2 LBT, </w:t>
                      </w:r>
                      <w:proofErr w:type="gramStart"/>
                      <w:r>
                        <w:rPr>
                          <w:rFonts w:cs="Times"/>
                          <w:szCs w:val="20"/>
                        </w:rPr>
                        <w:t>down-select</w:t>
                      </w:r>
                      <w:proofErr w:type="gramEnd"/>
                      <w:r>
                        <w:rPr>
                          <w:rFonts w:cs="Times"/>
                          <w:szCs w:val="20"/>
                        </w:rPr>
                        <w:t xml:space="preserve"> from the following alternatives</w:t>
                      </w:r>
                    </w:p>
                    <w:p w14:paraId="37D8ED7A"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Cat 2/one-shot LBT should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Heading3"/>
      </w:pPr>
      <w:r>
        <w:t>First Round Discussion</w:t>
      </w:r>
    </w:p>
    <w:p w14:paraId="2F5F188E" w14:textId="160ED811" w:rsidR="00114F09" w:rsidRDefault="00114F09" w:rsidP="00114F09">
      <w:pPr>
        <w:pStyle w:val="discussionpoint"/>
      </w:pPr>
      <w:r>
        <w:t>Discussion 2.5.1-0</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81ECE52"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r w:rsidR="00173F66">
        <w:rPr>
          <w:rFonts w:cs="Times"/>
          <w:szCs w:val="20"/>
        </w:rPr>
        <w:t xml:space="preserve">Lenovo, </w:t>
      </w:r>
      <w:proofErr w:type="spellStart"/>
      <w:r w:rsidR="00173F66">
        <w:rPr>
          <w:rFonts w:cs="Times"/>
          <w:szCs w:val="20"/>
        </w:rPr>
        <w:t>InterDigital</w:t>
      </w:r>
      <w:proofErr w:type="spellEnd"/>
      <w:r w:rsidR="00173F66">
        <w:rPr>
          <w:rFonts w:cs="Times"/>
          <w:szCs w:val="20"/>
        </w:rPr>
        <w:t xml:space="preserve">, </w:t>
      </w:r>
      <w:proofErr w:type="spellStart"/>
      <w:r w:rsidR="00173F66">
        <w:rPr>
          <w:rFonts w:cs="Times"/>
          <w:szCs w:val="20"/>
        </w:rPr>
        <w:t>Convida</w:t>
      </w:r>
      <w:proofErr w:type="spellEnd"/>
      <w:r w:rsidR="00114F09">
        <w:rPr>
          <w:rFonts w:cs="Times"/>
          <w:szCs w:val="20"/>
        </w:rPr>
        <w:t>, AT&amp;T, Oppo</w:t>
      </w:r>
      <w:r w:rsidR="00DB4980">
        <w:rPr>
          <w:rFonts w:cs="Times"/>
          <w:szCs w:val="20"/>
        </w:rPr>
        <w:t>, WILUS</w:t>
      </w:r>
    </w:p>
    <w:p w14:paraId="37D8E817" w14:textId="77777777" w:rsidR="006C7ECB" w:rsidRDefault="006C7ECB">
      <w:pPr>
        <w:rPr>
          <w:lang w:eastAsia="en-US"/>
        </w:rPr>
      </w:pPr>
    </w:p>
    <w:p w14:paraId="37D8E818" w14:textId="77777777" w:rsidR="006C7ECB" w:rsidRDefault="00A01006">
      <w:pPr>
        <w:rPr>
          <w:lang w:eastAsia="en-US"/>
        </w:rPr>
      </w:pPr>
      <w:r>
        <w:rPr>
          <w:lang w:eastAsia="en-US"/>
        </w:rPr>
        <w:t xml:space="preserve">Seems that there is relative majority on introducing Cat 2 LBT, though there </w:t>
      </w:r>
      <w:proofErr w:type="gramStart"/>
      <w:r>
        <w:rPr>
          <w:lang w:eastAsia="en-US"/>
        </w:rPr>
        <w:t>is</w:t>
      </w:r>
      <w:proofErr w:type="gramEnd"/>
      <w:r>
        <w:rPr>
          <w:lang w:eastAsia="en-US"/>
        </w:rPr>
        <w:t xml:space="preserve">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w:t>
            </w:r>
            <w:proofErr w:type="gramStart"/>
            <w:r>
              <w:rPr>
                <w:lang w:eastAsia="en-US"/>
              </w:rPr>
              <w: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lastRenderedPageBreak/>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 xml:space="preserve">Support Alt 2 and we agree Cat4 LBT can also achieve the function of Cat2 </w:t>
            </w:r>
            <w:proofErr w:type="gramStart"/>
            <w:r>
              <w:rPr>
                <w:rFonts w:eastAsia="SimSun" w:hint="eastAsia"/>
                <w:lang w:val="en-US" w:eastAsia="zh-CN"/>
              </w:rPr>
              <w:t>LBT</w:t>
            </w:r>
            <w:proofErr w:type="gramEnd"/>
            <w:r>
              <w:rPr>
                <w:rFonts w:eastAsia="SimSun" w:hint="eastAsia"/>
                <w:lang w:val="en-US" w:eastAsia="zh-CN"/>
              </w:rPr>
              <w:t xml:space="preserve"> but the effect may be different since Cat4 LBT may need to cost more times to complete LBT procedure, but Cat2 LBT does not need. </w:t>
            </w:r>
            <w:proofErr w:type="gramStart"/>
            <w:r>
              <w:rPr>
                <w:rFonts w:eastAsia="SimSun" w:hint="eastAsia"/>
                <w:lang w:val="en-US" w:eastAsia="zh-CN"/>
              </w:rPr>
              <w:t>So</w:t>
            </w:r>
            <w:proofErr w:type="gramEnd"/>
            <w:r>
              <w:rPr>
                <w:rFonts w:eastAsia="SimSun" w:hint="eastAsia"/>
                <w:lang w:val="en-US" w:eastAsia="zh-CN"/>
              </w:rPr>
              <w:t xml:space="preserve">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 xml:space="preserve">e support Alt </w:t>
            </w:r>
            <w:proofErr w:type="gramStart"/>
            <w:r w:rsidRPr="00A87A1E">
              <w:rPr>
                <w:lang w:eastAsia="en-US"/>
              </w:rPr>
              <w:t>2, and</w:t>
            </w:r>
            <w:proofErr w:type="gramEnd"/>
            <w:r w:rsidRPr="00A87A1E">
              <w:rPr>
                <w:lang w:eastAsia="en-US"/>
              </w:rPr>
              <w:t xml:space="preserve"> be open to discuss the use cases of Cat 2 LBT at least for COT sharing. Regarding d</w:t>
            </w:r>
            <w:r>
              <w:rPr>
                <w:lang w:eastAsia="en-US"/>
              </w:rPr>
              <w:t xml:space="preserve">iscussion 2.5.1-1, we think </w:t>
            </w:r>
            <w:proofErr w:type="gramStart"/>
            <w:r>
              <w:rPr>
                <w:lang w:eastAsia="en-US"/>
              </w:rPr>
              <w:t>long</w:t>
            </w:r>
            <w:proofErr w:type="gramEnd"/>
            <w:r>
              <w:rPr>
                <w:lang w:eastAsia="en-US"/>
              </w:rPr>
              <w:t xml:space="preserve">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proofErr w:type="spellStart"/>
            <w:r>
              <w:rPr>
                <w:lang w:eastAsia="en-US"/>
              </w:rPr>
              <w:t>Convida</w:t>
            </w:r>
            <w:proofErr w:type="spellEnd"/>
            <w:r>
              <w:rPr>
                <w:lang w:eastAsia="en-US"/>
              </w:rPr>
              <w:t xml:space="preserve">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w:t>
            </w:r>
            <w:r w:rsidRPr="00893954">
              <w:rPr>
                <w:lang w:eastAsia="en-US"/>
              </w:rPr>
              <w:lastRenderedPageBreak/>
              <w:t>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lastRenderedPageBreak/>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hint="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hint="eastAsia"/>
                <w:lang w:eastAsia="zh-CN"/>
              </w:rPr>
            </w:pPr>
            <w:r w:rsidRPr="003A5277">
              <w:rPr>
                <w:lang w:eastAsia="en-US"/>
              </w:rPr>
              <w:t xml:space="preserve">We support Alt 2. </w:t>
            </w:r>
            <w:proofErr w:type="gramStart"/>
            <w:r w:rsidRPr="003A5277">
              <w:rPr>
                <w:lang w:eastAsia="en-US"/>
              </w:rPr>
              <w:t>Also</w:t>
            </w:r>
            <w:proofErr w:type="gramEnd"/>
            <w:r w:rsidRPr="003A5277">
              <w:rPr>
                <w:lang w:eastAsia="en-US"/>
              </w:rPr>
              <w:t xml:space="preserve"> we are open to discuss 2.5.1-1 although the reason to have longer LBT time by using Cat-4 is not clear to us.</w:t>
            </w:r>
          </w:p>
        </w:tc>
      </w:tr>
    </w:tbl>
    <w:p w14:paraId="37D8E82E" w14:textId="77777777" w:rsidR="006C7ECB" w:rsidRPr="00E066FF"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proofErr w:type="gramStart"/>
            <w:r>
              <w:rPr>
                <w:lang w:eastAsia="en-US"/>
              </w:rPr>
              <w:t>As long as</w:t>
            </w:r>
            <w:proofErr w:type="gramEnd"/>
            <w:r>
              <w:rPr>
                <w:lang w:eastAsia="en-US"/>
              </w:rPr>
              <w:t xml:space="preserve">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CAT3 LBT = 8+ 5x(</w:t>
            </w:r>
            <w:proofErr w:type="gramStart"/>
            <w:r>
              <w:rPr>
                <w:lang w:eastAsia="en-US"/>
              </w:rPr>
              <w:t>rand(</w:t>
            </w:r>
            <w:proofErr w:type="gramEnd"/>
            <w:r>
              <w:rPr>
                <w:lang w:eastAsia="en-US"/>
              </w:rPr>
              <w:t xml:space="preserve">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41670839" w14:textId="0306E72F" w:rsidR="00CE0EF6" w:rsidRPr="004245E3" w:rsidRDefault="00CE0EF6" w:rsidP="00CE0EF6">
            <w:pPr>
              <w:rPr>
                <w:lang w:eastAsia="en-US"/>
              </w:rPr>
            </w:pPr>
            <w:r>
              <w:rPr>
                <w:lang w:eastAsia="en-US"/>
              </w:rPr>
              <w:t xml:space="preserve">We do not think that Cat 4 LBT, even with fixed (deterministic) counter value or 0 counter value, can be considered equivalent to Cat 2 LBT. This is </w:t>
            </w:r>
            <w:proofErr w:type="gramStart"/>
            <w:r>
              <w:rPr>
                <w:lang w:eastAsia="en-US"/>
              </w:rPr>
              <w:t>due to the fact that</w:t>
            </w:r>
            <w:proofErr w:type="gramEnd"/>
            <w:r>
              <w:rPr>
                <w:lang w:eastAsia="en-US"/>
              </w:rPr>
              <w:t xml:space="preserve"> Cat4 LBT procedure relies on persistent deferral (</w:t>
            </w:r>
            <w:proofErr w:type="spellStart"/>
            <w:r>
              <w:rPr>
                <w:lang w:eastAsia="en-US"/>
              </w:rPr>
              <w:t>iCCA</w:t>
            </w:r>
            <w:proofErr w:type="spellEnd"/>
            <w:r>
              <w:rPr>
                <w:lang w:eastAsia="en-US"/>
              </w:rPr>
              <w:t xml:space="preserve">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hint="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bl>
    <w:p w14:paraId="37D8E840" w14:textId="77777777" w:rsidR="006C7ECB" w:rsidRPr="00E066FF" w:rsidRDefault="006C7ECB">
      <w:pPr>
        <w:rPr>
          <w:lang w:eastAsia="en-US"/>
        </w:rPr>
      </w:pPr>
    </w:p>
    <w:p w14:paraId="37D8E841" w14:textId="77777777" w:rsidR="006C7ECB" w:rsidRDefault="00A01006">
      <w:pPr>
        <w:pStyle w:val="Heading2"/>
      </w:pPr>
      <w:r>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channel sensing and reporting need to be performed. The following set of tools can be considered for further discussion</w:t>
                            </w:r>
                          </w:p>
                          <w:p w14:paraId="37D8ED89"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114F09" w:rsidRDefault="00114F09">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channel sensing and reporting need to be performed. The following set of tools can be considered for further discussion</w:t>
                      </w:r>
                    </w:p>
                    <w:p w14:paraId="37D8ED89"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114F09" w:rsidRDefault="00114F09">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w:t>
            </w:r>
            <w:proofErr w:type="gramStart"/>
            <w:r>
              <w:rPr>
                <w:rFonts w:ascii="Arial" w:eastAsia="Times New Roman" w:hAnsi="Arial" w:cs="Arial"/>
                <w:snapToGrid/>
                <w:color w:val="000000"/>
                <w:kern w:val="0"/>
                <w:sz w:val="16"/>
                <w:szCs w:val="16"/>
                <w:lang w:val="en-US" w:eastAsia="en-US"/>
              </w:rPr>
              <w:t>provide assistance</w:t>
            </w:r>
            <w:proofErr w:type="gramEnd"/>
            <w:r>
              <w:rPr>
                <w:rFonts w:ascii="Arial" w:eastAsia="Times New Roman" w:hAnsi="Arial" w:cs="Arial"/>
                <w:snapToGrid/>
                <w:color w:val="000000"/>
                <w:kern w:val="0"/>
                <w:sz w:val="16"/>
                <w:szCs w:val="16"/>
                <w:lang w:val="en-US" w:eastAsia="en-US"/>
              </w:rPr>
              <w:t xml:space="preserv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Receiver-aided LBT </w:t>
            </w:r>
            <w:proofErr w:type="gramStart"/>
            <w:r>
              <w:rPr>
                <w:rFonts w:ascii="Arial" w:eastAsia="Times New Roman" w:hAnsi="Arial" w:cs="Arial"/>
                <w:snapToGrid/>
                <w:color w:val="000000"/>
                <w:kern w:val="0"/>
                <w:sz w:val="16"/>
                <w:szCs w:val="16"/>
                <w:lang w:val="en-US" w:eastAsia="en-US"/>
              </w:rPr>
              <w:t>is able to</w:t>
            </w:r>
            <w:proofErr w:type="gramEnd"/>
            <w:r>
              <w:rPr>
                <w:rFonts w:ascii="Arial" w:eastAsia="Times New Roman" w:hAnsi="Arial" w:cs="Arial"/>
                <w:snapToGrid/>
                <w:color w:val="000000"/>
                <w:kern w:val="0"/>
                <w:sz w:val="16"/>
                <w:szCs w:val="16"/>
                <w:lang w:val="en-US" w:eastAsia="en-US"/>
              </w:rPr>
              <w:t xml:space="preserve">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the receiver to </w:t>
            </w:r>
            <w:proofErr w:type="gramStart"/>
            <w:r>
              <w:rPr>
                <w:rFonts w:ascii="Arial" w:eastAsia="Times New Roman" w:hAnsi="Arial" w:cs="Arial"/>
                <w:snapToGrid/>
                <w:color w:val="000000"/>
                <w:kern w:val="0"/>
                <w:sz w:val="16"/>
                <w:szCs w:val="16"/>
                <w:lang w:val="en-US" w:eastAsia="en-US"/>
              </w:rPr>
              <w:t>provide assistance</w:t>
            </w:r>
            <w:proofErr w:type="gramEnd"/>
            <w:r>
              <w:rPr>
                <w:rFonts w:ascii="Arial" w:eastAsia="Times New Roman" w:hAnsi="Arial" w:cs="Arial"/>
                <w:snapToGrid/>
                <w:color w:val="000000"/>
                <w:kern w:val="0"/>
                <w:sz w:val="16"/>
                <w:szCs w:val="16"/>
                <w:lang w:val="en-US" w:eastAsia="en-US"/>
              </w:rPr>
              <w:t>,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Among candidate mechanisms to obtain assistant information from receiver in </w:t>
            </w:r>
            <w:proofErr w:type="gramStart"/>
            <w:r>
              <w:rPr>
                <w:rFonts w:ascii="Arial" w:eastAsia="Times New Roman" w:hAnsi="Arial" w:cs="Arial"/>
                <w:snapToGrid/>
                <w:color w:val="000000"/>
                <w:kern w:val="0"/>
                <w:sz w:val="16"/>
                <w:szCs w:val="16"/>
                <w:lang w:val="en-US" w:eastAsia="en-US"/>
              </w:rPr>
              <w:t>receiver-assisted</w:t>
            </w:r>
            <w:proofErr w:type="gramEnd"/>
            <w:r>
              <w:rPr>
                <w:rFonts w:ascii="Arial" w:eastAsia="Times New Roman" w:hAnsi="Arial" w:cs="Arial"/>
                <w:snapToGrid/>
                <w:color w:val="000000"/>
                <w:kern w:val="0"/>
                <w:sz w:val="16"/>
                <w:szCs w:val="16"/>
                <w:lang w:val="en-US" w:eastAsia="en-US"/>
              </w:rPr>
              <w:t xml:space="preserve">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32: For any new Rx assistance schemes, UE processing time </w:t>
            </w:r>
            <w:proofErr w:type="gramStart"/>
            <w:r>
              <w:rPr>
                <w:rFonts w:ascii="Calibri" w:eastAsia="Times New Roman" w:hAnsi="Calibri" w:cs="Calibri"/>
                <w:snapToGrid/>
                <w:color w:val="000000"/>
                <w:kern w:val="0"/>
                <w:szCs w:val="20"/>
                <w:lang w:val="en-US" w:eastAsia="en-US"/>
              </w:rPr>
              <w:t>similar to</w:t>
            </w:r>
            <w:proofErr w:type="gramEnd"/>
            <w:r>
              <w:rPr>
                <w:rFonts w:ascii="Calibri" w:eastAsia="Times New Roman" w:hAnsi="Calibri" w:cs="Calibri"/>
                <w:snapToGrid/>
                <w:color w:val="000000"/>
                <w:kern w:val="0"/>
                <w:szCs w:val="20"/>
                <w:lang w:val="en-US" w:eastAsia="en-US"/>
              </w:rPr>
              <w:t xml:space="preserve">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receiver to </w:t>
            </w:r>
            <w:proofErr w:type="gramStart"/>
            <w:r>
              <w:rPr>
                <w:rFonts w:ascii="Arial" w:eastAsia="Times New Roman" w:hAnsi="Arial" w:cs="Arial"/>
                <w:snapToGrid/>
                <w:color w:val="000000"/>
                <w:kern w:val="0"/>
                <w:sz w:val="16"/>
                <w:szCs w:val="16"/>
                <w:lang w:val="en-US" w:eastAsia="en-US"/>
              </w:rPr>
              <w:t>provide assistance</w:t>
            </w:r>
            <w:proofErr w:type="gramEnd"/>
            <w:r>
              <w:rPr>
                <w:rFonts w:ascii="Arial" w:eastAsia="Times New Roman" w:hAnsi="Arial" w:cs="Arial"/>
                <w:snapToGrid/>
                <w:color w:val="000000"/>
                <w:kern w:val="0"/>
                <w:sz w:val="16"/>
                <w:szCs w:val="16"/>
                <w:lang w:val="en-US" w:eastAsia="en-US"/>
              </w:rPr>
              <w:t>,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t>First Round Discussion</w:t>
      </w:r>
    </w:p>
    <w:p w14:paraId="37D8E8B7" w14:textId="77777777" w:rsidR="006C7ECB" w:rsidRDefault="00A01006">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w:t>
      </w:r>
      <w:r w:rsidRPr="006C4883">
        <w:rPr>
          <w:rFonts w:cs="Times"/>
          <w:strike/>
          <w:color w:val="FF0000"/>
          <w:szCs w:val="20"/>
        </w:rPr>
        <w:t>Samsung</w:t>
      </w:r>
      <w:r>
        <w:rPr>
          <w:rFonts w:cs="Times"/>
          <w:color w:val="000000"/>
          <w:szCs w:val="20"/>
        </w:rPr>
        <w:t xml:space="preserve">,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66744A14"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w:t>
      </w:r>
      <w:proofErr w:type="gramStart"/>
      <w:r>
        <w:rPr>
          <w:rFonts w:cs="Times"/>
          <w:color w:val="000000"/>
          <w:szCs w:val="20"/>
        </w:rPr>
        <w:t>receiver  (</w:t>
      </w:r>
      <w:proofErr w:type="spellStart"/>
      <w:proofErr w:type="gramEnd"/>
      <w:r>
        <w:rPr>
          <w:rFonts w:cs="Times"/>
          <w:color w:val="000000"/>
          <w:szCs w:val="20"/>
        </w:rPr>
        <w:t>Convida</w:t>
      </w:r>
      <w:proofErr w:type="spellEnd"/>
      <w:r>
        <w:rPr>
          <w:rFonts w:cs="Times"/>
          <w:color w:val="000000"/>
          <w:szCs w:val="20"/>
        </w:rPr>
        <w:t xml:space="preserve">, Fujitsu, Huawei, Intel, AT&amp;T, </w:t>
      </w:r>
      <w:proofErr w:type="spellStart"/>
      <w:r>
        <w:rPr>
          <w:rFonts w:cs="Times"/>
          <w:color w:val="000000"/>
          <w:szCs w:val="20"/>
        </w:rPr>
        <w:t>InterDigital</w:t>
      </w:r>
      <w:proofErr w:type="spellEnd"/>
      <w:r>
        <w:rPr>
          <w:rFonts w:cs="Times"/>
          <w:color w:val="000000"/>
          <w:szCs w:val="20"/>
        </w:rPr>
        <w:t xml:space="preserve">, OPPO, Sony, vivo, Xiaomi(study), </w:t>
      </w:r>
      <w:proofErr w:type="spellStart"/>
      <w:r>
        <w:rPr>
          <w:rFonts w:cs="Times"/>
          <w:color w:val="000000"/>
          <w:szCs w:val="20"/>
        </w:rPr>
        <w:t>ZTE</w:t>
      </w:r>
      <w:r w:rsidR="006C4883">
        <w:rPr>
          <w:rFonts w:cs="Times"/>
          <w:color w:val="000000"/>
          <w:szCs w:val="20"/>
        </w:rPr>
        <w:t>,</w:t>
      </w:r>
      <w:r w:rsidR="006C4883" w:rsidRPr="006C4883">
        <w:rPr>
          <w:rFonts w:cs="Times"/>
          <w:color w:val="FF0000"/>
          <w:szCs w:val="20"/>
        </w:rPr>
        <w:t>Samsung</w:t>
      </w:r>
      <w:proofErr w:type="spellEnd"/>
      <w:r w:rsidRPr="006C4883">
        <w:rPr>
          <w:rFonts w:cs="Times"/>
          <w:color w:val="FF0000"/>
          <w:szCs w:val="20"/>
        </w:rPr>
        <w:t xml:space="preserve"> </w:t>
      </w:r>
      <w:r>
        <w:rPr>
          <w:rFonts w:cs="Times"/>
          <w:color w:val="000000"/>
          <w:szCs w:val="20"/>
        </w:rPr>
        <w:t>)</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4CBB57B4"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4A207772" w14:textId="1ED33EEA" w:rsidR="00691119" w:rsidRPr="00691119" w:rsidRDefault="00691119">
      <w:pPr>
        <w:pStyle w:val="ListParagraph"/>
        <w:numPr>
          <w:ilvl w:val="0"/>
          <w:numId w:val="20"/>
        </w:numPr>
        <w:rPr>
          <w:color w:val="FF0000"/>
          <w:lang w:eastAsia="en-US"/>
        </w:rPr>
      </w:pPr>
      <w:r w:rsidRPr="00691119">
        <w:rPr>
          <w:color w:val="FF0000"/>
          <w:lang w:eastAsia="en-US"/>
        </w:rPr>
        <w:t>FFS: CCA/</w:t>
      </w:r>
      <w:proofErr w:type="spellStart"/>
      <w:r w:rsidRPr="00691119">
        <w:rPr>
          <w:color w:val="FF0000"/>
          <w:lang w:eastAsia="en-US"/>
        </w:rPr>
        <w:t>eCCA</w:t>
      </w:r>
      <w:proofErr w:type="spellEnd"/>
      <w:r w:rsidRPr="00691119">
        <w:rPr>
          <w:color w:val="FF0000"/>
          <w:lang w:eastAsia="en-US"/>
        </w:rPr>
        <w:t xml:space="preserve"> based receiver assistance</w:t>
      </w:r>
    </w:p>
    <w:p w14:paraId="37D8E8C7" w14:textId="7AC39618" w:rsidR="006C7ECB" w:rsidRDefault="00691119" w:rsidP="00691119">
      <w:pPr>
        <w:pStyle w:val="ListParagraph"/>
        <w:numPr>
          <w:ilvl w:val="0"/>
          <w:numId w:val="20"/>
        </w:numPr>
        <w:rPr>
          <w:lang w:eastAsia="en-US"/>
        </w:rPr>
      </w:pPr>
      <w:r>
        <w:rPr>
          <w:lang w:eastAsia="en-US"/>
        </w:rPr>
        <w:t xml:space="preserve">Support: Nokia, Charter, Lenovo, ZTE, Intel, </w:t>
      </w:r>
      <w:proofErr w:type="spellStart"/>
      <w:r>
        <w:rPr>
          <w:lang w:eastAsia="en-US"/>
        </w:rPr>
        <w:t>Futurewei</w:t>
      </w:r>
      <w:proofErr w:type="spellEnd"/>
      <w:r>
        <w:rPr>
          <w:lang w:eastAsia="en-US"/>
        </w:rPr>
        <w:t xml:space="preserve"> (mostly), Ericsson, </w:t>
      </w:r>
      <w:proofErr w:type="spellStart"/>
      <w:r>
        <w:rPr>
          <w:lang w:eastAsia="en-US"/>
        </w:rPr>
        <w:t>InterDigital</w:t>
      </w:r>
      <w:proofErr w:type="spellEnd"/>
      <w:r>
        <w:rPr>
          <w:lang w:eastAsia="en-US"/>
        </w:rPr>
        <w:t xml:space="preserve">, Fujitsu, </w:t>
      </w:r>
      <w:proofErr w:type="spellStart"/>
      <w:r>
        <w:rPr>
          <w:lang w:eastAsia="en-US"/>
        </w:rPr>
        <w:t>Convida</w:t>
      </w:r>
      <w:proofErr w:type="spellEnd"/>
      <w:r>
        <w:rPr>
          <w:lang w:eastAsia="en-US"/>
        </w:rPr>
        <w:t xml:space="preserve">, </w:t>
      </w:r>
    </w:p>
    <w:p w14:paraId="5DCE1992" w14:textId="0CE46C4E" w:rsidR="00691119" w:rsidRDefault="00691119" w:rsidP="00691119">
      <w:pPr>
        <w:pStyle w:val="ListParagraph"/>
        <w:numPr>
          <w:ilvl w:val="0"/>
          <w:numId w:val="20"/>
        </w:numPr>
        <w:rPr>
          <w:lang w:eastAsia="en-US"/>
        </w:rPr>
      </w:pPr>
      <w:r>
        <w:rPr>
          <w:lang w:eastAsia="en-US"/>
        </w:rPr>
        <w:lastRenderedPageBreak/>
        <w:t xml:space="preserve">Not </w:t>
      </w:r>
      <w:proofErr w:type="gramStart"/>
      <w:r>
        <w:rPr>
          <w:lang w:eastAsia="en-US"/>
        </w:rPr>
        <w:t>support:</w:t>
      </w:r>
      <w:proofErr w:type="gramEnd"/>
      <w:r>
        <w:rPr>
          <w:lang w:eastAsia="en-US"/>
        </w:rPr>
        <w:t xml:space="preserve"> vivo, Huawei, </w:t>
      </w: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proofErr w:type="gramStart"/>
            <w:r>
              <w:rPr>
                <w:lang w:eastAsia="en-US"/>
              </w:rPr>
              <w:t>First of all</w:t>
            </w:r>
            <w:proofErr w:type="gramEnd"/>
            <w:r>
              <w:rPr>
                <w:lang w:eastAsia="en-US"/>
              </w:rPr>
              <w:t xml:space="preserve">,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w:t>
            </w:r>
            <w:proofErr w:type="gramStart"/>
            <w:r w:rsidR="00142BD1">
              <w:rPr>
                <w:lang w:eastAsia="en-US"/>
              </w:rPr>
              <w:t xml:space="preserve">mostly </w:t>
            </w:r>
            <w:r w:rsidR="00E12790">
              <w:rPr>
                <w:lang w:eastAsia="en-US"/>
              </w:rPr>
              <w:t xml:space="preserve"> OK</w:t>
            </w:r>
            <w:proofErr w:type="gramEnd"/>
            <w:r w:rsidR="00E12790">
              <w:rPr>
                <w:lang w:eastAsia="en-US"/>
              </w:rPr>
              <w:t xml:space="preserve">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SimSun"/>
                <w:lang w:val="en-US" w:eastAsia="zh-CN"/>
              </w:rPr>
            </w:pPr>
            <w:proofErr w:type="spellStart"/>
            <w:r w:rsidRPr="004245E3">
              <w:rPr>
                <w:rFonts w:eastAsia="SimSun"/>
                <w:lang w:val="en-US" w:eastAsia="zh-CN"/>
              </w:rPr>
              <w:t>InterDigital</w:t>
            </w:r>
            <w:proofErr w:type="spellEnd"/>
          </w:p>
        </w:tc>
        <w:tc>
          <w:tcPr>
            <w:tcW w:w="6937" w:type="dxa"/>
          </w:tcPr>
          <w:p w14:paraId="07A7B4EE" w14:textId="77777777" w:rsidR="00150474" w:rsidRPr="004245E3" w:rsidRDefault="00150474" w:rsidP="0058621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 xml:space="preserve">Huawei, </w:t>
            </w:r>
            <w:proofErr w:type="spellStart"/>
            <w:r>
              <w:rPr>
                <w:lang w:eastAsia="en-US"/>
              </w:rPr>
              <w:t>HiSilicon</w:t>
            </w:r>
            <w:proofErr w:type="spellEnd"/>
          </w:p>
        </w:tc>
        <w:tc>
          <w:tcPr>
            <w:tcW w:w="6937" w:type="dxa"/>
          </w:tcPr>
          <w:p w14:paraId="215232C7" w14:textId="77777777" w:rsidR="00CE0EF6" w:rsidRDefault="00CE0EF6" w:rsidP="00CE0EF6">
            <w:pPr>
              <w:rPr>
                <w:lang w:eastAsia="en-US"/>
              </w:rPr>
            </w:pPr>
            <w:r>
              <w:rPr>
                <w:lang w:eastAsia="en-US"/>
              </w:rPr>
              <w:t xml:space="preserve">We support Alt 3 in the </w:t>
            </w:r>
            <w:proofErr w:type="gramStart"/>
            <w:r>
              <w:rPr>
                <w:lang w:eastAsia="en-US"/>
              </w:rPr>
              <w:t>agreement</w:t>
            </w:r>
            <w:proofErr w:type="gramEnd"/>
            <w:r>
              <w:rPr>
                <w:lang w:eastAsia="en-US"/>
              </w:rPr>
              <w:t xml:space="preserve"> and we cannot agree with the Proposal </w:t>
            </w:r>
            <w:r>
              <w:t>2.6.1-1</w:t>
            </w:r>
            <w:r>
              <w:rPr>
                <w:lang w:eastAsia="en-US"/>
              </w:rPr>
              <w:t xml:space="preserve"> for the following reasons:</w:t>
            </w:r>
          </w:p>
          <w:p w14:paraId="6972BD2E" w14:textId="77777777" w:rsidR="00CE0EF6" w:rsidRDefault="00CE0EF6" w:rsidP="00CE0EF6">
            <w:pPr>
              <w:pStyle w:val="ListParagraph"/>
              <w:numPr>
                <w:ilvl w:val="0"/>
                <w:numId w:val="31"/>
              </w:numPr>
              <w:rPr>
                <w:lang w:eastAsia="en-US"/>
              </w:rPr>
            </w:pPr>
            <w:r>
              <w:rPr>
                <w:lang w:eastAsia="en-US"/>
              </w:rPr>
              <w:t xml:space="preserve">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w:t>
            </w:r>
            <w:proofErr w:type="gramStart"/>
            <w:r>
              <w:rPr>
                <w:lang w:eastAsia="en-US"/>
              </w:rPr>
              <w:t>trigger</w:t>
            </w:r>
            <w:proofErr w:type="gramEnd"/>
            <w:r>
              <w:rPr>
                <w:lang w:eastAsia="en-US"/>
              </w:rPr>
              <w:t xml:space="preserve"> and associated timelines.</w:t>
            </w:r>
          </w:p>
          <w:p w14:paraId="71D07316" w14:textId="77777777" w:rsidR="00CE0EF6" w:rsidRDefault="00CE0EF6" w:rsidP="00CE0EF6">
            <w:pPr>
              <w:pStyle w:val="ListParagraph"/>
              <w:numPr>
                <w:ilvl w:val="0"/>
                <w:numId w:val="31"/>
              </w:numPr>
              <w:rPr>
                <w:lang w:eastAsia="en-US"/>
              </w:rPr>
            </w:pPr>
            <w:r>
              <w:rPr>
                <w:lang w:eastAsia="en-US"/>
              </w:rPr>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w:t>
            </w:r>
            <w:r>
              <w:rPr>
                <w:lang w:eastAsia="en-US"/>
              </w:rPr>
              <w:lastRenderedPageBreak/>
              <w:t>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gNB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ListParagraph"/>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lastRenderedPageBreak/>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w:t>
            </w:r>
            <w:proofErr w:type="spellStart"/>
            <w:r>
              <w:rPr>
                <w:lang w:eastAsia="en-US"/>
              </w:rPr>
              <w:t>eCCA</w:t>
            </w:r>
            <w:proofErr w:type="spellEnd"/>
            <w:r>
              <w:rPr>
                <w:lang w:eastAsia="en-US"/>
              </w:rPr>
              <w:t xml:space="preserve"> based receiver assistance, which is still open. This is also not trying to replace the legacy AP-CSI or legacy L3-RSSI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bl>
    <w:p w14:paraId="37D8E8D7" w14:textId="77777777" w:rsidR="006C7ECB" w:rsidRPr="00150474" w:rsidRDefault="006C7ECB">
      <w:pPr>
        <w:rPr>
          <w:lang w:val="en-US"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w:t>
            </w:r>
            <w:proofErr w:type="gramStart"/>
            <w:r>
              <w:rPr>
                <w:rFonts w:cs="Times"/>
                <w:szCs w:val="20"/>
              </w:rPr>
              <w:t>down-select</w:t>
            </w:r>
            <w:proofErr w:type="gramEnd"/>
            <w:r>
              <w:rPr>
                <w:rFonts w:cs="Times"/>
                <w:szCs w:val="20"/>
              </w:rPr>
              <w:t xml:space="preserve">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lastRenderedPageBreak/>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The n</w:t>
            </w:r>
            <w:r>
              <w:rPr>
                <w:rFonts w:ascii="Calibri" w:eastAsia="Times New Roman" w:hAnsi="Calibri" w:cs="Calibri"/>
                <w:snapToGrid/>
                <w:color w:val="000000"/>
                <w:kern w:val="0"/>
                <w:szCs w:val="20"/>
                <w:lang w:val="en-US" w:eastAsia="en-US"/>
              </w:rPr>
              <w:lastRenderedPageBreak/>
              <w:t xml:space="preserve">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If supporting </w:t>
            </w:r>
            <w:proofErr w:type="gramStart"/>
            <w:r>
              <w:rPr>
                <w:rFonts w:ascii="Arial" w:eastAsia="Times New Roman" w:hAnsi="Arial" w:cs="Arial"/>
                <w:snapToGrid/>
                <w:color w:val="000000"/>
                <w:kern w:val="0"/>
                <w:sz w:val="16"/>
                <w:szCs w:val="16"/>
                <w:lang w:val="en-US" w:eastAsia="en-US"/>
              </w:rPr>
              <w:t>Alt</w:t>
            </w:r>
            <w:proofErr w:type="gramEnd"/>
            <w:r>
              <w:rPr>
                <w:rFonts w:ascii="Arial" w:eastAsia="Times New Roman" w:hAnsi="Arial" w:cs="Arial"/>
                <w:snapToGrid/>
                <w:color w:val="000000"/>
                <w:kern w:val="0"/>
                <w:sz w:val="16"/>
                <w:szCs w:val="16"/>
                <w:lang w:val="en-US" w:eastAsia="en-US"/>
              </w:rPr>
              <w:t xml:space="preserve">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InterDigital</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A-1, A-</w:t>
            </w:r>
            <w:proofErr w:type="gramStart"/>
            <w:r>
              <w:rPr>
                <w:rFonts w:ascii="Arial" w:eastAsia="Times New Roman" w:hAnsi="Arial" w:cs="Arial"/>
                <w:snapToGrid/>
                <w:color w:val="000000"/>
                <w:kern w:val="0"/>
                <w:sz w:val="16"/>
                <w:szCs w:val="16"/>
                <w:lang w:val="en-US" w:eastAsia="en-US"/>
              </w:rPr>
              <w:t>3</w:t>
            </w:r>
            <w:proofErr w:type="gramEnd"/>
            <w:r>
              <w:rPr>
                <w:rFonts w:ascii="Arial" w:eastAsia="Times New Roman" w:hAnsi="Arial" w:cs="Arial"/>
                <w:snapToGrid/>
                <w:color w:val="000000"/>
                <w:kern w:val="0"/>
                <w:sz w:val="16"/>
                <w:szCs w:val="16"/>
                <w:lang w:val="en-US" w:eastAsia="en-US"/>
              </w:rPr>
              <w:t xml:space="preserve">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w:t>
            </w:r>
            <w:proofErr w:type="gramStart"/>
            <w:r>
              <w:rPr>
                <w:rFonts w:ascii="Arial" w:eastAsia="Times New Roman" w:hAnsi="Arial" w:cs="Arial"/>
                <w:snapToGrid/>
                <w:color w:val="000000"/>
                <w:kern w:val="0"/>
                <w:sz w:val="16"/>
                <w:szCs w:val="16"/>
                <w:lang w:val="en-US" w:eastAsia="en-US"/>
              </w:rPr>
              <w:t>3</w:t>
            </w:r>
            <w:proofErr w:type="gramEnd"/>
            <w:r>
              <w:rPr>
                <w:rFonts w:ascii="Arial" w:eastAsia="Times New Roman" w:hAnsi="Arial" w:cs="Arial"/>
                <w:snapToGrid/>
                <w:color w:val="000000"/>
                <w:kern w:val="0"/>
                <w:sz w:val="16"/>
                <w:szCs w:val="16"/>
                <w:lang w:val="en-US" w:eastAsia="en-US"/>
              </w:rPr>
              <w:t xml:space="preserve">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proofErr w:type="gramStart"/>
      <w:r>
        <w:rPr>
          <w:lang w:eastAsia="en-US"/>
        </w:rPr>
        <w:t>A large number of</w:t>
      </w:r>
      <w:proofErr w:type="gramEnd"/>
      <w:r>
        <w:rPr>
          <w:lang w:eastAsia="en-US"/>
        </w:rPr>
        <w:t xml:space="preserve">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2C72DC44" w:rsidR="006C7ECB" w:rsidRDefault="000B1CEC" w:rsidP="000B1CEC">
      <w:pPr>
        <w:pStyle w:val="ListParagraph"/>
        <w:numPr>
          <w:ilvl w:val="0"/>
          <w:numId w:val="19"/>
        </w:numPr>
        <w:rPr>
          <w:lang w:eastAsia="en-US"/>
        </w:rPr>
      </w:pPr>
      <w:r w:rsidRPr="000B1CEC">
        <w:rPr>
          <w:lang w:eastAsia="en-US"/>
        </w:rPr>
        <w:t xml:space="preserve">Support: </w:t>
      </w:r>
      <w:r>
        <w:rPr>
          <w:lang w:eastAsia="en-US"/>
        </w:rPr>
        <w:t xml:space="preserve">Nokia, Charter, Lenovo, ZTE, Intel, vivo, Apple, </w:t>
      </w:r>
      <w:proofErr w:type="spellStart"/>
      <w:r>
        <w:rPr>
          <w:lang w:eastAsia="en-US"/>
        </w:rPr>
        <w:t>Futurewei</w:t>
      </w:r>
      <w:proofErr w:type="spellEnd"/>
      <w:r>
        <w:rPr>
          <w:lang w:eastAsia="en-US"/>
        </w:rPr>
        <w:t xml:space="preserve">, NEC, Huawei, ITRI, </w:t>
      </w:r>
      <w:proofErr w:type="spellStart"/>
      <w:r>
        <w:rPr>
          <w:lang w:eastAsia="en-US"/>
        </w:rPr>
        <w:t>InterDigital</w:t>
      </w:r>
      <w:proofErr w:type="spellEnd"/>
      <w:r>
        <w:rPr>
          <w:lang w:eastAsia="en-US"/>
        </w:rPr>
        <w:t xml:space="preserve">, </w:t>
      </w:r>
      <w:proofErr w:type="spellStart"/>
      <w:r>
        <w:rPr>
          <w:lang w:eastAsia="en-US"/>
        </w:rPr>
        <w:t>Convida</w:t>
      </w:r>
      <w:proofErr w:type="spellEnd"/>
      <w:r>
        <w:rPr>
          <w:lang w:eastAsia="en-US"/>
        </w:rPr>
        <w:t xml:space="preserve">, Samsung, </w:t>
      </w:r>
      <w:r w:rsidR="00114F09">
        <w:rPr>
          <w:lang w:eastAsia="en-US"/>
        </w:rPr>
        <w:t>AT&amp;T, Oppo</w:t>
      </w:r>
      <w:r w:rsidR="00DB4980">
        <w:rPr>
          <w:lang w:eastAsia="en-US"/>
        </w:rPr>
        <w:t>, WILUS</w:t>
      </w:r>
    </w:p>
    <w:p w14:paraId="7A571BC6" w14:textId="1D3FE123" w:rsidR="000B1CEC" w:rsidRPr="000B1CEC" w:rsidRDefault="000B1CEC" w:rsidP="000B1CEC">
      <w:pPr>
        <w:pStyle w:val="ListParagraph"/>
        <w:numPr>
          <w:ilvl w:val="0"/>
          <w:numId w:val="19"/>
        </w:numPr>
        <w:rPr>
          <w:lang w:eastAsia="en-US"/>
        </w:rPr>
      </w:pPr>
      <w:r>
        <w:rPr>
          <w:lang w:eastAsia="en-US"/>
        </w:rPr>
        <w:t>Ericsson (agree on how to sense in single beam first)</w:t>
      </w: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lastRenderedPageBreak/>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proofErr w:type="spellStart"/>
            <w:r>
              <w:rPr>
                <w:lang w:eastAsia="en-US"/>
              </w:rPr>
              <w:t>Convida</w:t>
            </w:r>
            <w:proofErr w:type="spellEnd"/>
            <w:r>
              <w:rPr>
                <w:lang w:eastAsia="en-US"/>
              </w:rPr>
              <w:t xml:space="preserve">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hint="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13F59BEE" w:rsidR="000B1CEC" w:rsidRDefault="000B1CEC">
      <w:pPr>
        <w:rPr>
          <w:lang w:eastAsia="zh-CN"/>
        </w:rPr>
      </w:pPr>
      <w:r>
        <w:rPr>
          <w:lang w:eastAsia="zh-CN"/>
        </w:rPr>
        <w:t xml:space="preserve">Support: Nokia, Charter, Lenovo (may not have spec impact), ZTE, Intel, vivo, Apple, </w:t>
      </w:r>
      <w:proofErr w:type="spellStart"/>
      <w:r>
        <w:rPr>
          <w:lang w:eastAsia="zh-CN"/>
        </w:rPr>
        <w:t>Futurewei</w:t>
      </w:r>
      <w:proofErr w:type="spellEnd"/>
      <w:r>
        <w:rPr>
          <w:lang w:eastAsia="zh-CN"/>
        </w:rPr>
        <w:t xml:space="preserve">, NEC, Huawei, ITRI, </w:t>
      </w:r>
      <w:proofErr w:type="spellStart"/>
      <w:r>
        <w:rPr>
          <w:lang w:eastAsia="zh-CN"/>
        </w:rPr>
        <w:t>InterDigigal</w:t>
      </w:r>
      <w:proofErr w:type="spellEnd"/>
      <w:r>
        <w:rPr>
          <w:lang w:eastAsia="zh-CN"/>
        </w:rPr>
        <w:t xml:space="preserve">, </w:t>
      </w:r>
      <w:proofErr w:type="spellStart"/>
      <w:r>
        <w:rPr>
          <w:lang w:eastAsia="zh-CN"/>
        </w:rPr>
        <w:t>Convida</w:t>
      </w:r>
      <w:proofErr w:type="spellEnd"/>
      <w:r>
        <w:rPr>
          <w:lang w:eastAsia="zh-CN"/>
        </w:rPr>
        <w:t>, Samsung</w:t>
      </w:r>
      <w:r w:rsidR="00114F09">
        <w:rPr>
          <w:lang w:eastAsia="zh-CN"/>
        </w:rPr>
        <w:t>, AT&amp;T, Oppo</w:t>
      </w:r>
      <w:r w:rsidR="00DB4980">
        <w:rPr>
          <w:lang w:eastAsia="zh-CN"/>
        </w:rPr>
        <w:t>, WILUS</w:t>
      </w:r>
    </w:p>
    <w:p w14:paraId="1D3C34C6" w14:textId="4F1A8377" w:rsidR="000B1CEC" w:rsidRDefault="000B1CEC">
      <w:pPr>
        <w:rPr>
          <w:lang w:eastAsia="en-US"/>
        </w:rPr>
      </w:pPr>
      <w:r>
        <w:rPr>
          <w:lang w:eastAsia="zh-CN"/>
        </w:rPr>
        <w:t>Ericsson: Ok, but need to agree on sensing beam first</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lastRenderedPageBreak/>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hint="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w:t>
      </w:r>
      <w:proofErr w:type="gramStart"/>
      <w:r>
        <w:rPr>
          <w:rFonts w:cs="Times"/>
          <w:szCs w:val="20"/>
        </w:rPr>
        <w:t>down-select</w:t>
      </w:r>
      <w:proofErr w:type="gramEnd"/>
      <w:r>
        <w:rPr>
          <w:rFonts w:cs="Times"/>
          <w:szCs w:val="20"/>
        </w:rPr>
        <w:t xml:space="preserve"> to one of the following LBT operations </w:t>
      </w:r>
    </w:p>
    <w:p w14:paraId="37D8E9AD" w14:textId="68845167" w:rsidR="006C7ECB" w:rsidRDefault="00A01006">
      <w:pPr>
        <w:pStyle w:val="ListParagraph"/>
        <w:numPr>
          <w:ilvl w:val="0"/>
          <w:numId w:val="15"/>
        </w:numPr>
        <w:rPr>
          <w:lang w:eastAsia="en-US"/>
        </w:rPr>
      </w:pPr>
      <w:r>
        <w:rPr>
          <w:lang w:eastAsia="en-US"/>
        </w:rPr>
        <w:t>Alt A:  Support both Alt-1 and Alt 2</w:t>
      </w:r>
    </w:p>
    <w:p w14:paraId="3733C2EC" w14:textId="20E2C1B5" w:rsidR="000B1CEC" w:rsidRDefault="000B1CEC" w:rsidP="000B1CEC">
      <w:pPr>
        <w:pStyle w:val="ListParagraph"/>
        <w:numPr>
          <w:ilvl w:val="1"/>
          <w:numId w:val="15"/>
        </w:numPr>
        <w:rPr>
          <w:lang w:eastAsia="en-US"/>
        </w:rPr>
      </w:pPr>
      <w:r>
        <w:rPr>
          <w:lang w:eastAsia="en-US"/>
        </w:rPr>
        <w:t xml:space="preserve">Support: Nokia, Intel, Apple, Huawei, </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03E6035A" w14:textId="20DED130" w:rsidR="00DB4980" w:rsidRPr="00DB4980" w:rsidRDefault="000B1CEC" w:rsidP="00DB4980">
      <w:pPr>
        <w:pStyle w:val="ListParagraph"/>
        <w:numPr>
          <w:ilvl w:val="1"/>
          <w:numId w:val="15"/>
        </w:numPr>
        <w:rPr>
          <w:rFonts w:cs="Times"/>
          <w:szCs w:val="20"/>
        </w:rPr>
      </w:pPr>
      <w:r>
        <w:rPr>
          <w:rFonts w:cs="Times"/>
          <w:szCs w:val="20"/>
        </w:rPr>
        <w:t xml:space="preserve">Support: Lenovo, ZTE, vivo, </w:t>
      </w:r>
      <w:proofErr w:type="spellStart"/>
      <w:r>
        <w:rPr>
          <w:rFonts w:cs="Times"/>
          <w:szCs w:val="20"/>
        </w:rPr>
        <w:t>Futurewei</w:t>
      </w:r>
      <w:proofErr w:type="spellEnd"/>
      <w:r>
        <w:rPr>
          <w:rFonts w:cs="Times"/>
          <w:szCs w:val="20"/>
        </w:rPr>
        <w:t xml:space="preserve">, ITRI, </w:t>
      </w:r>
      <w:proofErr w:type="spellStart"/>
      <w:r>
        <w:rPr>
          <w:rFonts w:cs="Times"/>
          <w:szCs w:val="20"/>
        </w:rPr>
        <w:t>InterDigital</w:t>
      </w:r>
      <w:proofErr w:type="spellEnd"/>
      <w:r w:rsidR="00114F09">
        <w:rPr>
          <w:rFonts w:cs="Times"/>
          <w:szCs w:val="20"/>
        </w:rPr>
        <w:t xml:space="preserve">, AT&amp;T, </w:t>
      </w:r>
      <w:r w:rsidR="00DB4980">
        <w:rPr>
          <w:rFonts w:cs="Times"/>
          <w:szCs w:val="20"/>
        </w:rPr>
        <w:t>WILUS</w:t>
      </w:r>
    </w:p>
    <w:p w14:paraId="07FF8F1D" w14:textId="2AC8C8CA" w:rsidR="000B1CEC" w:rsidRDefault="000B1CEC" w:rsidP="000B1CEC">
      <w:pPr>
        <w:pStyle w:val="ListParagraph"/>
        <w:numPr>
          <w:ilvl w:val="0"/>
          <w:numId w:val="15"/>
        </w:numPr>
        <w:rPr>
          <w:rFonts w:cs="Times"/>
          <w:szCs w:val="20"/>
        </w:rPr>
      </w:pPr>
      <w:r>
        <w:rPr>
          <w:rFonts w:cs="Times"/>
          <w:szCs w:val="20"/>
        </w:rPr>
        <w:t>Ericsson: Agree on directional sensing and single beam sensing first.</w:t>
      </w:r>
    </w:p>
    <w:p w14:paraId="73CBA56D" w14:textId="1130B847" w:rsidR="00541EAE" w:rsidRDefault="00541EAE" w:rsidP="000B1CEC">
      <w:pPr>
        <w:pStyle w:val="ListParagraph"/>
        <w:numPr>
          <w:ilvl w:val="0"/>
          <w:numId w:val="15"/>
        </w:numPr>
        <w:rPr>
          <w:rFonts w:cs="Times"/>
          <w:szCs w:val="20"/>
        </w:rPr>
      </w:pPr>
      <w:r>
        <w:rPr>
          <w:rFonts w:cs="Times"/>
          <w:szCs w:val="20"/>
        </w:rPr>
        <w:t>Samsung: Support, and the only difference between Alt A and Alt B is if Cat 2 LBT is supported</w:t>
      </w:r>
    </w:p>
    <w:p w14:paraId="151A412E" w14:textId="7435BA11" w:rsidR="00114F09" w:rsidRPr="000B1CEC" w:rsidRDefault="00114F09" w:rsidP="000B1CEC">
      <w:pPr>
        <w:pStyle w:val="ListParagraph"/>
        <w:numPr>
          <w:ilvl w:val="0"/>
          <w:numId w:val="15"/>
        </w:numPr>
        <w:rPr>
          <w:rFonts w:cs="Times"/>
          <w:szCs w:val="20"/>
        </w:rPr>
      </w:pPr>
      <w:r>
        <w:rPr>
          <w:rFonts w:cs="Times"/>
          <w:szCs w:val="20"/>
        </w:rPr>
        <w:t>Oppo: Left for implementation</w:t>
      </w: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w:t>
            </w:r>
            <w:proofErr w:type="gramStart"/>
            <w:r w:rsidRPr="009D1FA8">
              <w:rPr>
                <w:rFonts w:cs="Times"/>
                <w:szCs w:val="20"/>
              </w:rPr>
              <w:t>down-select</w:t>
            </w:r>
            <w:proofErr w:type="gramEnd"/>
            <w:r w:rsidRPr="009D1FA8">
              <w:rPr>
                <w:rFonts w:cs="Times"/>
                <w:szCs w:val="20"/>
              </w:rPr>
              <w:t xml:space="preserve">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w:t>
            </w:r>
            <w:r w:rsidRPr="004C3942">
              <w:rPr>
                <w:lang w:eastAsia="en-US"/>
              </w:rPr>
              <w:lastRenderedPageBreak/>
              <w:t xml:space="preserve">,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proofErr w:type="spellStart"/>
            <w:r w:rsidRPr="004245E3">
              <w:rPr>
                <w:lang w:eastAsia="en-US"/>
              </w:rPr>
              <w:t>InterDigital</w:t>
            </w:r>
            <w:proofErr w:type="spellEnd"/>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hint="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0C51BAF2" w:rsidR="006C7ECB" w:rsidRDefault="00541EAE">
      <w:pPr>
        <w:rPr>
          <w:lang w:eastAsia="en-US"/>
        </w:rPr>
      </w:pPr>
      <w:r>
        <w:rPr>
          <w:lang w:eastAsia="en-US"/>
        </w:rPr>
        <w:t xml:space="preserve">Support: Nokia, Charter, Lenovo, ZTE, Intel, vivo, Apple, </w:t>
      </w:r>
      <w:proofErr w:type="spellStart"/>
      <w:r>
        <w:rPr>
          <w:lang w:eastAsia="en-US"/>
        </w:rPr>
        <w:t>Futurewei</w:t>
      </w:r>
      <w:proofErr w:type="spellEnd"/>
      <w:r>
        <w:rPr>
          <w:lang w:eastAsia="en-US"/>
        </w:rPr>
        <w:t xml:space="preserve">, NEC, Huawei, ITRI, </w:t>
      </w:r>
      <w:proofErr w:type="spellStart"/>
      <w:r>
        <w:rPr>
          <w:lang w:eastAsia="en-US"/>
        </w:rPr>
        <w:t>InterDigital</w:t>
      </w:r>
      <w:proofErr w:type="spellEnd"/>
      <w:r>
        <w:rPr>
          <w:lang w:eastAsia="en-US"/>
        </w:rPr>
        <w:t xml:space="preserve">, </w:t>
      </w:r>
      <w:proofErr w:type="spellStart"/>
      <w:r>
        <w:rPr>
          <w:lang w:eastAsia="en-US"/>
        </w:rPr>
        <w:t>Convida</w:t>
      </w:r>
      <w:proofErr w:type="spellEnd"/>
      <w:r>
        <w:rPr>
          <w:lang w:eastAsia="en-US"/>
        </w:rPr>
        <w:t xml:space="preserve">, </w:t>
      </w:r>
      <w:proofErr w:type="spellStart"/>
      <w:proofErr w:type="gramStart"/>
      <w:r>
        <w:rPr>
          <w:lang w:eastAsia="en-US"/>
        </w:rPr>
        <w:t>Samsung</w:t>
      </w:r>
      <w:r w:rsidR="00DB4980">
        <w:rPr>
          <w:lang w:eastAsia="en-US"/>
        </w:rPr>
        <w:t>,WILUS</w:t>
      </w:r>
      <w:proofErr w:type="spellEnd"/>
      <w:proofErr w:type="gramEnd"/>
    </w:p>
    <w:p w14:paraId="1F866270" w14:textId="230FD69E" w:rsidR="00541EAE" w:rsidRDefault="00541EAE">
      <w:pPr>
        <w:rPr>
          <w:lang w:eastAsia="en-US"/>
        </w:rPr>
      </w:pPr>
      <w:r>
        <w:rPr>
          <w:lang w:eastAsia="en-US"/>
        </w:rPr>
        <w:t>Ericsson: Agree on directional LBT and single beam sensing first.</w:t>
      </w:r>
    </w:p>
    <w:p w14:paraId="31A928C4" w14:textId="3C2BB15E" w:rsidR="00114F09" w:rsidRDefault="00114F09">
      <w:pPr>
        <w:rPr>
          <w:lang w:eastAsia="en-US"/>
        </w:rPr>
      </w:pPr>
      <w:r>
        <w:rPr>
          <w:lang w:eastAsia="en-US"/>
        </w:rPr>
        <w:t xml:space="preserve">Oppo: </w:t>
      </w:r>
      <w:proofErr w:type="spellStart"/>
      <w:r>
        <w:rPr>
          <w:lang w:eastAsia="en-US"/>
        </w:rPr>
        <w:t>Implmentation</w:t>
      </w:r>
      <w:proofErr w:type="spellEnd"/>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hint="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bl>
    <w:p w14:paraId="37D8E9D3" w14:textId="77777777" w:rsidR="006C7ECB" w:rsidRDefault="006C7ECB">
      <w:pPr>
        <w:rPr>
          <w:lang w:eastAsia="en-US"/>
        </w:rPr>
      </w:pPr>
    </w:p>
    <w:p w14:paraId="37D8E9D4" w14:textId="77777777" w:rsidR="006C7ECB" w:rsidRDefault="00A01006">
      <w:pPr>
        <w:pStyle w:val="discussionpoint"/>
      </w:pPr>
      <w:r>
        <w:lastRenderedPageBreak/>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5BD42DF1" w14:textId="6304D7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Nokia, Lenovo, vivo, </w:t>
      </w:r>
      <w:proofErr w:type="spellStart"/>
      <w:r>
        <w:rPr>
          <w:szCs w:val="20"/>
          <w:lang w:eastAsia="zh-CN"/>
        </w:rPr>
        <w:t>Futurewei</w:t>
      </w:r>
      <w:proofErr w:type="spellEnd"/>
      <w:r>
        <w:rPr>
          <w:szCs w:val="20"/>
          <w:lang w:eastAsia="zh-CN"/>
        </w:rPr>
        <w:t>, ITRI, Samsung,</w:t>
      </w:r>
      <w:r w:rsidR="00114F09">
        <w:rPr>
          <w:szCs w:val="20"/>
          <w:lang w:eastAsia="zh-CN"/>
        </w:rPr>
        <w:t xml:space="preserve"> Oppo</w:t>
      </w:r>
      <w:r w:rsidR="00DB4980">
        <w:rPr>
          <w:szCs w:val="20"/>
          <w:lang w:eastAsia="zh-CN"/>
        </w:rPr>
        <w:t>, WILUS</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43FF3E2B" w14:textId="1D3F5EB0"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Lenovo, ZTE, Intel, Qualcomm, </w:t>
      </w:r>
      <w:proofErr w:type="spellStart"/>
      <w:r>
        <w:rPr>
          <w:szCs w:val="20"/>
          <w:lang w:eastAsia="zh-CN"/>
        </w:rPr>
        <w:t>Futurewei</w:t>
      </w:r>
      <w:proofErr w:type="spellEnd"/>
      <w:r>
        <w:rPr>
          <w:szCs w:val="20"/>
          <w:lang w:eastAsia="zh-CN"/>
        </w:rPr>
        <w:t xml:space="preserve">, NEC, </w:t>
      </w:r>
      <w:proofErr w:type="spellStart"/>
      <w:r>
        <w:rPr>
          <w:szCs w:val="20"/>
          <w:lang w:eastAsia="zh-CN"/>
        </w:rPr>
        <w:t>InterDigital</w:t>
      </w:r>
      <w:proofErr w:type="spellEnd"/>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64FD4733" w14:textId="096DF1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Nokia, ZTE, Apple, NEC, ITRI, </w:t>
      </w:r>
      <w:proofErr w:type="spellStart"/>
      <w:r>
        <w:rPr>
          <w:szCs w:val="20"/>
          <w:lang w:eastAsia="zh-CN"/>
        </w:rPr>
        <w:t>InterDigital</w:t>
      </w:r>
      <w:proofErr w:type="spellEnd"/>
      <w:r w:rsidR="00114F09">
        <w:rPr>
          <w:szCs w:val="20"/>
          <w:lang w:eastAsia="zh-CN"/>
        </w:rPr>
        <w:t>, Oppo</w:t>
      </w:r>
      <w:r w:rsidR="00DB4980">
        <w:rPr>
          <w:szCs w:val="20"/>
          <w:lang w:eastAsia="zh-CN"/>
        </w:rPr>
        <w:t>, WILUS</w:t>
      </w:r>
    </w:p>
    <w:p w14:paraId="330C1CE4" w14:textId="0C44CB32"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w:t>
      </w:r>
      <w:proofErr w:type="gramStart"/>
      <w:r>
        <w:rPr>
          <w:szCs w:val="20"/>
          <w:lang w:eastAsia="zh-CN"/>
        </w:rPr>
        <w:t>support:</w:t>
      </w:r>
      <w:proofErr w:type="gramEnd"/>
      <w:r>
        <w:rPr>
          <w:szCs w:val="20"/>
          <w:lang w:eastAsia="zh-CN"/>
        </w:rPr>
        <w:t xml:space="preserve"> Ericsson, Huawei, </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w:t>
            </w:r>
            <w:proofErr w:type="gramStart"/>
            <w:r>
              <w:rPr>
                <w:rFonts w:eastAsiaTheme="minorEastAsia"/>
                <w:lang w:eastAsia="zh-CN"/>
              </w:rPr>
              <w:t>supporting</w:t>
            </w:r>
            <w:proofErr w:type="gramEnd"/>
            <w:r>
              <w:rPr>
                <w:rFonts w:eastAsiaTheme="minorEastAsia"/>
                <w:lang w:eastAsia="zh-CN"/>
              </w:rPr>
              <w:t xml:space="preserve">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4" w:name="OLE_LINK166"/>
            <w:bookmarkStart w:id="5"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6" w:name="OLE_LINK93"/>
            <w:bookmarkStart w:id="7" w:name="OLE_LINK94"/>
            <w:r>
              <w:t>CCA engine/</w:t>
            </w:r>
            <w:proofErr w:type="spellStart"/>
            <w:r>
              <w:t>backoff</w:t>
            </w:r>
            <w:proofErr w:type="spellEnd"/>
            <w:r>
              <w:t xml:space="preserve"> counter</w:t>
            </w:r>
            <w:bookmarkEnd w:id="6"/>
            <w:bookmarkEnd w:id="7"/>
            <w:r>
              <w:t xml:space="preserve"> a sensing slot cannot be skipped or blindly assumed idle based on the sensing result of another</w:t>
            </w:r>
            <w:r w:rsidRPr="00D626D1">
              <w:t xml:space="preserve"> </w:t>
            </w:r>
            <w:r>
              <w:t>CCA engine/</w:t>
            </w:r>
            <w:proofErr w:type="spellStart"/>
            <w:r>
              <w:t>backoff</w:t>
            </w:r>
            <w:proofErr w:type="spellEnd"/>
            <w:r>
              <w:t xml:space="preserve"> counter.   </w:t>
            </w:r>
          </w:p>
          <w:bookmarkEnd w:id="4"/>
          <w:bookmarkEnd w:id="5"/>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lastRenderedPageBreak/>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w:t>
            </w:r>
            <w:proofErr w:type="gramStart"/>
            <w:r>
              <w:rPr>
                <w:rFonts w:cs="Times"/>
              </w:rPr>
              <w:t>fall back</w:t>
            </w:r>
            <w:proofErr w:type="gramEnd"/>
            <w:r>
              <w:rPr>
                <w:rFonts w:cs="Times"/>
              </w:rPr>
              <w:t xml:space="preserve">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w:t>
            </w:r>
            <w:proofErr w:type="spellStart"/>
            <w:r>
              <w:rPr>
                <w:lang w:eastAsia="en-US"/>
              </w:rPr>
              <w:t>backoff</w:t>
            </w:r>
            <w:proofErr w:type="spellEnd"/>
            <w:r>
              <w:rPr>
                <w:lang w:eastAsia="en-US"/>
              </w:rPr>
              <w:t xml:space="preserve"> counter is supported or not. If yes, then the scheme of round robin may not work. </w:t>
            </w:r>
          </w:p>
          <w:p w14:paraId="0CEF4F81" w14:textId="0544D3D5" w:rsidR="00541EAE" w:rsidRPr="004245E3" w:rsidRDefault="00541EAE" w:rsidP="006C4883">
            <w:pPr>
              <w:rPr>
                <w:lang w:eastAsia="en-US"/>
              </w:rPr>
            </w:pPr>
            <w:r>
              <w:rPr>
                <w:lang w:eastAsia="en-US"/>
              </w:rPr>
              <w:t xml:space="preserve">Mod: No. Alt A-2 is trying to finish </w:t>
            </w:r>
            <w:proofErr w:type="spellStart"/>
            <w:r>
              <w:rPr>
                <w:lang w:eastAsia="en-US"/>
              </w:rPr>
              <w:t>eCCA</w:t>
            </w:r>
            <w:proofErr w:type="spellEnd"/>
            <w:r>
              <w:rPr>
                <w:lang w:eastAsia="en-US"/>
              </w:rPr>
              <w:t xml:space="preserve"> on one beam, followed by </w:t>
            </w:r>
            <w:proofErr w:type="spellStart"/>
            <w:r>
              <w:rPr>
                <w:lang w:eastAsia="en-US"/>
              </w:rPr>
              <w:t>eCCA</w:t>
            </w:r>
            <w:proofErr w:type="spellEnd"/>
            <w:r>
              <w:rPr>
                <w:lang w:eastAsia="en-US"/>
              </w:rPr>
              <w:t xml:space="preserve">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hint="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bl>
    <w:p w14:paraId="37D8E9E7" w14:textId="77777777" w:rsidR="006C7ECB" w:rsidRPr="00E066FF" w:rsidRDefault="006C7EC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3932D53F" w:rsidR="00541EAE" w:rsidRDefault="00541EAE">
      <w:pPr>
        <w:rPr>
          <w:lang w:eastAsia="en-US"/>
        </w:rPr>
      </w:pPr>
      <w:r>
        <w:rPr>
          <w:lang w:eastAsia="en-US"/>
        </w:rPr>
        <w:t xml:space="preserve">Support: Lenovo, ZTE, vivo, </w:t>
      </w:r>
      <w:proofErr w:type="spellStart"/>
      <w:r>
        <w:rPr>
          <w:lang w:eastAsia="en-US"/>
        </w:rPr>
        <w:t>Futurewei</w:t>
      </w:r>
      <w:proofErr w:type="spellEnd"/>
      <w:r>
        <w:rPr>
          <w:lang w:eastAsia="en-US"/>
        </w:rPr>
        <w:t xml:space="preserve">, Huawei, </w:t>
      </w:r>
      <w:proofErr w:type="spellStart"/>
      <w:r>
        <w:rPr>
          <w:lang w:eastAsia="en-US"/>
        </w:rPr>
        <w:t>Convida</w:t>
      </w:r>
      <w:proofErr w:type="spellEnd"/>
      <w:r>
        <w:rPr>
          <w:lang w:eastAsia="en-US"/>
        </w:rPr>
        <w:t>, Samsung</w:t>
      </w:r>
      <w:r w:rsidR="00114F09">
        <w:rPr>
          <w:lang w:eastAsia="en-US"/>
        </w:rPr>
        <w:t>, Oppo</w:t>
      </w:r>
      <w:r w:rsidR="00DB4980">
        <w:rPr>
          <w:lang w:eastAsia="en-US"/>
        </w:rPr>
        <w:t>, WILUS</w:t>
      </w:r>
    </w:p>
    <w:p w14:paraId="45DDA8E1" w14:textId="565ECBF9" w:rsidR="00541EAE" w:rsidRDefault="00541EAE">
      <w:pPr>
        <w:rPr>
          <w:lang w:eastAsia="en-US"/>
        </w:rPr>
      </w:pPr>
      <w:r>
        <w:rPr>
          <w:lang w:eastAsia="en-US"/>
        </w:rPr>
        <w:t xml:space="preserve">Change type B to FFS: Intel, Apple, </w:t>
      </w:r>
    </w:p>
    <w:p w14:paraId="2F95D2AA" w14:textId="349FB6A2" w:rsidR="00541EAE" w:rsidRDefault="00541EAE">
      <w:pPr>
        <w:rPr>
          <w:lang w:eastAsia="en-US"/>
        </w:rPr>
      </w:pPr>
      <w:r>
        <w:rPr>
          <w:lang w:eastAsia="en-US"/>
        </w:rPr>
        <w:t xml:space="preserve">Type A only: Nokia, Charter, Ericsson, </w:t>
      </w: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w:t>
            </w:r>
            <w:proofErr w:type="gramStart"/>
            <w:r>
              <w:rPr>
                <w:lang w:eastAsia="en-US"/>
              </w:rPr>
              <w:t>bullet, but</w:t>
            </w:r>
            <w:proofErr w:type="gramEnd"/>
            <w:r>
              <w:rPr>
                <w:lang w:eastAsia="en-US"/>
              </w:rPr>
              <w:t xml:space="preserve">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 xml:space="preserve">To address Nokia’s comment, we do not see why Type B would be applicable only if channelization is conformant with channel bonding as in 802.11 ad/ay. In particular, </w:t>
            </w:r>
            <w:r w:rsidRPr="00C2710B">
              <w:lastRenderedPageBreak/>
              <w:t xml:space="preserve">unlike in 802.11 ad/ay, the BW of the primary channel can be </w:t>
            </w:r>
            <w:proofErr w:type="gramStart"/>
            <w:r w:rsidRPr="00C2710B">
              <w:t>flexible</w:t>
            </w:r>
            <w:proofErr w:type="gramEnd"/>
            <w:r w:rsidRPr="00C2710B">
              <w:t xml:space="preserv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proofErr w:type="spellStart"/>
            <w:r>
              <w:rPr>
                <w:lang w:eastAsia="en-US"/>
              </w:rPr>
              <w:lastRenderedPageBreak/>
              <w:t>Convida</w:t>
            </w:r>
            <w:proofErr w:type="spellEnd"/>
            <w:r>
              <w:rPr>
                <w:lang w:eastAsia="en-US"/>
              </w:rPr>
              <w:t xml:space="preserve">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hint="eastAsia"/>
                <w:lang w:eastAsia="zh-CN"/>
              </w:rPr>
            </w:pPr>
            <w:r>
              <w:rPr>
                <w:rFonts w:hint="eastAsia"/>
              </w:rPr>
              <w:t>W</w:t>
            </w:r>
            <w:r>
              <w:t xml:space="preserve">e support </w:t>
            </w:r>
            <w:r w:rsidRPr="00C2710B">
              <w:t>Proposal 2.8.1-1.</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w:t>
      </w:r>
      <w:proofErr w:type="gramStart"/>
      <w:r>
        <w:t>3]dB</w:t>
      </w:r>
      <w:proofErr w:type="gramEnd"/>
      <w:r>
        <w:t xml:space="preserve">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Both omni-directional and directional LBT are supported. When directional LBT is used, a </w:t>
            </w:r>
            <w:proofErr w:type="gramStart"/>
            <w:r>
              <w:rPr>
                <w:rFonts w:ascii="Arial" w:eastAsia="Times New Roman" w:hAnsi="Arial" w:cs="Arial"/>
                <w:snapToGrid/>
                <w:color w:val="000000"/>
                <w:kern w:val="0"/>
                <w:sz w:val="16"/>
                <w:szCs w:val="16"/>
                <w:lang w:val="en-US" w:eastAsia="en-US"/>
              </w:rPr>
              <w:t>receiver-aided</w:t>
            </w:r>
            <w:proofErr w:type="gramEnd"/>
            <w:r>
              <w:rPr>
                <w:rFonts w:ascii="Arial" w:eastAsia="Times New Roman" w:hAnsi="Arial" w:cs="Arial"/>
                <w:snapToGrid/>
                <w:color w:val="000000"/>
                <w:kern w:val="0"/>
                <w:sz w:val="16"/>
                <w:szCs w:val="16"/>
                <w:lang w:val="en-US" w:eastAsia="en-US"/>
              </w:rPr>
              <w:t xml:space="preserve">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When directional sensing is performed, the COT should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w:t>
            </w:r>
            <w:proofErr w:type="gramStart"/>
            <w:r>
              <w:rPr>
                <w:rFonts w:ascii="Arial" w:eastAsia="Times New Roman" w:hAnsi="Arial" w:cs="Arial"/>
                <w:snapToGrid/>
                <w:color w:val="000000"/>
                <w:kern w:val="0"/>
                <w:sz w:val="16"/>
                <w:szCs w:val="16"/>
                <w:lang w:val="en-US" w:eastAsia="en-US"/>
              </w:rPr>
              <w:t>In order to</w:t>
            </w:r>
            <w:proofErr w:type="gramEnd"/>
            <w:r>
              <w:rPr>
                <w:rFonts w:ascii="Arial" w:eastAsia="Times New Roman" w:hAnsi="Arial" w:cs="Arial"/>
                <w:snapToGrid/>
                <w:color w:val="000000"/>
                <w:kern w:val="0"/>
                <w:sz w:val="16"/>
                <w:szCs w:val="16"/>
                <w:lang w:val="en-US" w:eastAsia="en-US"/>
              </w:rPr>
              <w:t xml:space="preserve">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Leave the relationship between gNB LBT sensing beam(s) and transmission beam(s) to the vendor-specific implementations. Vendors can use different beamforming techniques for their LBT procedures, </w:t>
            </w:r>
            <w:proofErr w:type="gramStart"/>
            <w:r>
              <w:rPr>
                <w:rFonts w:ascii="Calibri" w:eastAsia="Times New Roman" w:hAnsi="Calibri" w:cs="Calibri"/>
                <w:snapToGrid/>
                <w:color w:val="000000"/>
                <w:kern w:val="0"/>
                <w:szCs w:val="20"/>
                <w:lang w:val="en-US" w:eastAsia="en-US"/>
              </w:rPr>
              <w:t>as long as</w:t>
            </w:r>
            <w:proofErr w:type="gramEnd"/>
            <w:r>
              <w:rPr>
                <w:rFonts w:ascii="Calibri" w:eastAsia="Times New Roman" w:hAnsi="Calibri" w:cs="Calibri"/>
                <w:snapToGrid/>
                <w:color w:val="000000"/>
                <w:kern w:val="0"/>
                <w:szCs w:val="20"/>
                <w:lang w:val="en-US" w:eastAsia="en-US"/>
              </w:rPr>
              <w:t xml:space="preserve">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w:t>
      </w:r>
      <w:proofErr w:type="gramStart"/>
      <w:r>
        <w:t>3]dB</w:t>
      </w:r>
      <w:proofErr w:type="gramEnd"/>
      <w:r>
        <w:t xml:space="preserve">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w:t>
      </w:r>
      <w:proofErr w:type="gramStart"/>
      <w:r>
        <w:rPr>
          <w:lang w:val="en-US"/>
        </w:rPr>
        <w:t>3 :</w:t>
      </w:r>
      <w:proofErr w:type="gramEnd"/>
      <w:r>
        <w:rPr>
          <w:lang w:val="en-US"/>
        </w:rPr>
        <w:t xml:space="preserve">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w:t>
      </w:r>
      <w:proofErr w:type="gramStart"/>
      <w:r>
        <w:rPr>
          <w:lang w:val="en-US"/>
        </w:rPr>
        <w:t xml:space="preserve">Intel,  </w:t>
      </w:r>
      <w:proofErr w:type="spellStart"/>
      <w:r>
        <w:rPr>
          <w:lang w:val="en-US"/>
        </w:rPr>
        <w:t>InterDigital</w:t>
      </w:r>
      <w:proofErr w:type="spellEnd"/>
      <w:proofErr w:type="gram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 xml:space="preserve">Before we </w:t>
      </w:r>
      <w:proofErr w:type="gramStart"/>
      <w:r>
        <w:rPr>
          <w:lang w:eastAsia="en-US"/>
        </w:rPr>
        <w:t>make a decision</w:t>
      </w:r>
      <w:proofErr w:type="gramEnd"/>
      <w:r>
        <w:rPr>
          <w:lang w:eastAsia="en-US"/>
        </w:rPr>
        <w:t>,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w:t>
      </w:r>
      <w:proofErr w:type="gramStart"/>
      <w:r>
        <w:t>3]dB</w:t>
      </w:r>
      <w:proofErr w:type="gramEnd"/>
      <w:r>
        <w:t xml:space="preserve"> beamwidth of the transmission beam(s) is included in the [3]dB beamwidth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 xml:space="preserve">Vivo, Apple, </w:t>
      </w:r>
      <w:proofErr w:type="spellStart"/>
      <w:r>
        <w:t>Futurewei</w:t>
      </w:r>
      <w:proofErr w:type="spellEnd"/>
      <w:r>
        <w:t xml:space="preserve">, ITRI, </w:t>
      </w:r>
      <w:proofErr w:type="spellStart"/>
      <w:r>
        <w:t>InterDigital</w:t>
      </w:r>
      <w:proofErr w:type="spellEnd"/>
      <w:r>
        <w:t xml:space="preserve"> (also acceptable), </w:t>
      </w:r>
      <w:proofErr w:type="spellStart"/>
      <w:r>
        <w:t>Convida</w:t>
      </w:r>
      <w:proofErr w:type="spellEnd"/>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 xml:space="preserve">FFS] dB of the peak transmission beam gain.  The sensing beam </w:t>
      </w:r>
      <w:proofErr w:type="gramStart"/>
      <w:r>
        <w:rPr>
          <w:lang w:eastAsia="en-US"/>
        </w:rPr>
        <w:t>is considered to be</w:t>
      </w:r>
      <w:proofErr w:type="gramEnd"/>
      <w:r>
        <w:rPr>
          <w:lang w:eastAsia="en-US"/>
        </w:rPr>
        <w:t xml:space="preserv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ListParagraph"/>
        <w:numPr>
          <w:ilvl w:val="2"/>
          <w:numId w:val="22"/>
        </w:numPr>
        <w:rPr>
          <w:lang w:eastAsia="en-US"/>
        </w:rPr>
      </w:pPr>
      <w:r>
        <w:rPr>
          <w:lang w:eastAsia="en-US"/>
        </w:rPr>
        <w:t xml:space="preserve">ZTE, </w:t>
      </w:r>
      <w:proofErr w:type="spellStart"/>
      <w:r>
        <w:rPr>
          <w:lang w:eastAsia="en-US"/>
        </w:rPr>
        <w:t>Futurewei</w:t>
      </w:r>
      <w:proofErr w:type="spellEnd"/>
      <w:r>
        <w:rPr>
          <w:lang w:eastAsia="en-US"/>
        </w:rPr>
        <w:t xml:space="preserve"> (open for discuss)</w:t>
      </w:r>
    </w:p>
    <w:p w14:paraId="37D8EAB1" w14:textId="59AFAE92" w:rsidR="006C7ECB" w:rsidRDefault="00A01006">
      <w:pPr>
        <w:pStyle w:val="ListParagraph"/>
        <w:numPr>
          <w:ilvl w:val="1"/>
          <w:numId w:val="22"/>
        </w:numPr>
        <w:rPr>
          <w:lang w:val="en-US" w:eastAsia="en-US"/>
        </w:rPr>
      </w:pPr>
      <w:r>
        <w:rPr>
          <w:lang w:val="en-US" w:eastAsia="en-US"/>
        </w:rPr>
        <w:t xml:space="preserve">Alt 2-3: Extending QCL/TCI </w:t>
      </w:r>
      <w:r w:rsidR="000D765A" w:rsidRPr="000D765A">
        <w:rPr>
          <w:color w:val="FF0000"/>
          <w:lang w:val="en-US" w:eastAsia="en-US"/>
        </w:rPr>
        <w:t xml:space="preserve">or </w:t>
      </w:r>
      <w:proofErr w:type="spellStart"/>
      <w:r w:rsidR="000D765A" w:rsidRPr="000D765A">
        <w:rPr>
          <w:color w:val="FF0000"/>
          <w:lang w:val="en-US" w:eastAsia="en-US"/>
        </w:rPr>
        <w:t>SpatialRelationInfo</w:t>
      </w:r>
      <w:proofErr w:type="spellEnd"/>
      <w:r w:rsidR="000D765A" w:rsidRPr="000D765A">
        <w:rPr>
          <w:color w:val="FF0000"/>
          <w:lang w:val="en-US" w:eastAsia="en-US"/>
        </w:rPr>
        <w:t xml:space="preserve"> (for SRS) </w:t>
      </w:r>
      <w:r>
        <w:rPr>
          <w:lang w:val="en-US" w:eastAsia="en-US"/>
        </w:rPr>
        <w:t>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82BF5F7" w14:textId="32BA1BEA" w:rsidR="000D765A" w:rsidRDefault="000D765A" w:rsidP="000D765A">
      <w:pPr>
        <w:pStyle w:val="ListParagraph"/>
        <w:numPr>
          <w:ilvl w:val="2"/>
          <w:numId w:val="22"/>
        </w:numPr>
        <w:tabs>
          <w:tab w:val="left" w:pos="1440"/>
        </w:tabs>
        <w:rPr>
          <w:lang w:val="en-US" w:eastAsia="en-US"/>
        </w:rPr>
      </w:pPr>
      <w:r>
        <w:rPr>
          <w:lang w:val="en-US" w:eastAsia="en-US"/>
        </w:rPr>
        <w:t xml:space="preserve">Lenovo, ZTE, Intel, </w:t>
      </w:r>
      <w:proofErr w:type="spellStart"/>
      <w:r>
        <w:rPr>
          <w:lang w:val="en-US" w:eastAsia="en-US"/>
        </w:rPr>
        <w:t>InterDigital</w:t>
      </w:r>
      <w:proofErr w:type="spellEnd"/>
      <w:r>
        <w:rPr>
          <w:lang w:val="en-US" w:eastAsia="en-US"/>
        </w:rPr>
        <w:t>, Samsung (open for others as well)</w:t>
      </w:r>
      <w:r w:rsidR="00114F09">
        <w:rPr>
          <w:lang w:val="en-US" w:eastAsia="en-US"/>
        </w:rPr>
        <w:t>, Oppo</w:t>
      </w:r>
    </w:p>
    <w:p w14:paraId="37D8EAB3" w14:textId="6978A886" w:rsidR="006C7ECB" w:rsidRDefault="00A01006" w:rsidP="000D765A">
      <w:pPr>
        <w:pStyle w:val="ListParagraph"/>
        <w:numPr>
          <w:ilvl w:val="1"/>
          <w:numId w:val="22"/>
        </w:numPr>
        <w:rPr>
          <w:lang w:eastAsia="en-US"/>
        </w:rPr>
      </w:pPr>
      <w:r>
        <w:rPr>
          <w:lang w:eastAsia="en-US"/>
        </w:rPr>
        <w:t xml:space="preserve">Alt 2-4: Beam </w:t>
      </w:r>
      <w:proofErr w:type="gramStart"/>
      <w:r>
        <w:rPr>
          <w:lang w:eastAsia="en-US"/>
        </w:rPr>
        <w:t>correspondence based</w:t>
      </w:r>
      <w:proofErr w:type="gramEnd"/>
      <w:r>
        <w:rPr>
          <w:lang w:eastAsia="en-US"/>
        </w:rPr>
        <w:t xml:space="preserve"> extension: Beam correspondence framework can be extended to allow UE to select a valid sensing beam corresponding to a transmission beam.  </w:t>
      </w:r>
    </w:p>
    <w:p w14:paraId="54E5FB9D" w14:textId="75493E2F" w:rsidR="000D765A" w:rsidRDefault="000D765A" w:rsidP="000D765A">
      <w:pPr>
        <w:pStyle w:val="ListParagraph"/>
        <w:numPr>
          <w:ilvl w:val="2"/>
          <w:numId w:val="22"/>
        </w:numPr>
        <w:tabs>
          <w:tab w:val="left" w:pos="1440"/>
        </w:tabs>
        <w:rPr>
          <w:lang w:eastAsia="en-US"/>
        </w:rPr>
      </w:pPr>
      <w:r>
        <w:rPr>
          <w:lang w:eastAsia="en-US"/>
        </w:rPr>
        <w:t xml:space="preserve">Intel, </w:t>
      </w:r>
      <w:proofErr w:type="spellStart"/>
      <w:r>
        <w:rPr>
          <w:lang w:eastAsia="en-US"/>
        </w:rPr>
        <w:t>Futurewei</w:t>
      </w:r>
      <w:proofErr w:type="spellEnd"/>
      <w:r>
        <w:rPr>
          <w:lang w:eastAsia="en-US"/>
        </w:rPr>
        <w:t xml:space="preserve"> (open for discuss), </w:t>
      </w:r>
      <w:proofErr w:type="spellStart"/>
      <w:r>
        <w:rPr>
          <w:lang w:eastAsia="en-US"/>
        </w:rPr>
        <w:t>InterDigital</w:t>
      </w:r>
      <w:proofErr w:type="spellEnd"/>
    </w:p>
    <w:p w14:paraId="41558975" w14:textId="14AD5A3D" w:rsidR="000D765A" w:rsidRDefault="000D765A" w:rsidP="000D765A">
      <w:pPr>
        <w:pStyle w:val="ListParagraph"/>
        <w:numPr>
          <w:ilvl w:val="1"/>
          <w:numId w:val="22"/>
        </w:numPr>
        <w:tabs>
          <w:tab w:val="left" w:pos="2160"/>
        </w:tabs>
        <w:rPr>
          <w:lang w:eastAsia="en-US"/>
        </w:rPr>
      </w:pPr>
      <w:r>
        <w:rPr>
          <w:lang w:eastAsia="en-US"/>
        </w:rPr>
        <w:t xml:space="preserve">Support general Alt 2: Apple, ITRI, </w:t>
      </w:r>
      <w:proofErr w:type="spellStart"/>
      <w:r>
        <w:rPr>
          <w:lang w:eastAsia="en-US"/>
        </w:rPr>
        <w:t>Convida</w:t>
      </w:r>
      <w:proofErr w:type="spellEnd"/>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3D12838" w:rsidR="000D765A" w:rsidRDefault="000D765A" w:rsidP="000D765A">
      <w:pPr>
        <w:rPr>
          <w:lang w:eastAsia="en-US"/>
        </w:rPr>
      </w:pPr>
      <w:r>
        <w:rPr>
          <w:lang w:eastAsia="en-US"/>
        </w:rPr>
        <w:t xml:space="preserve">Leave to RAN4: Nokia, Ericsson, </w:t>
      </w: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 xml:space="preserve">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w:t>
            </w:r>
            <w:proofErr w:type="gramStart"/>
            <w:r>
              <w:rPr>
                <w:lang w:val="en-US" w:eastAsia="en-US"/>
              </w:rPr>
              <w:t>as long as</w:t>
            </w:r>
            <w:proofErr w:type="gramEnd"/>
            <w:r>
              <w:rPr>
                <w:lang w:val="en-US" w:eastAsia="en-US"/>
              </w:rPr>
              <w:t xml:space="preserve">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lastRenderedPageBreak/>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w:t>
            </w:r>
            <w:proofErr w:type="gramStart"/>
            <w:r>
              <w:rPr>
                <w:rFonts w:eastAsia="SimSun" w:hint="eastAsia"/>
                <w:lang w:val="en-US" w:eastAsia="zh-CN"/>
              </w:rPr>
              <w:t xml:space="preserve">determines </w:t>
            </w:r>
            <w:r>
              <w:rPr>
                <w:lang w:val="en-US" w:eastAsia="en-US"/>
              </w:rPr>
              <w:t xml:space="preserve"> relationship</w:t>
            </w:r>
            <w:proofErr w:type="gramEnd"/>
            <w:r>
              <w:rPr>
                <w:lang w:val="en-US" w:eastAsia="en-US"/>
              </w:rPr>
              <w:t xml:space="preserve">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 xml:space="preserve">SRS resource with the same spatial domain transmission filter used for the reception of the reference SS/PBCH </w:t>
            </w:r>
            <w:proofErr w:type="gramStart"/>
            <w:r>
              <w:rPr>
                <w:lang w:eastAsia="en-US"/>
              </w:rPr>
              <w:t>block,…</w:t>
            </w:r>
            <w:proofErr w:type="gramEnd"/>
            <w:r>
              <w:rPr>
                <w:lang w:eastAsia="en-US"/>
              </w:rPr>
              <w:t>”</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proofErr w:type="gramStart"/>
            <w:r>
              <w:rPr>
                <w:lang w:eastAsia="en-US"/>
              </w:rPr>
              <w:t>So</w:t>
            </w:r>
            <w:proofErr w:type="gramEnd"/>
            <w:r>
              <w:rPr>
                <w:lang w:eastAsia="en-US"/>
              </w:rPr>
              <w:t xml:space="preserve">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EN 302.567 can be used as reference to define “cover”. The high-level description is copied below. The sensing beamwidth needs to be wider than the beamwidth of maximum EIRP transmission direction. Omni-sensing is always possible, since omni/</w:t>
            </w:r>
            <w:proofErr w:type="spellStart"/>
            <w:r>
              <w:rPr>
                <w:szCs w:val="20"/>
              </w:rPr>
              <w:t>quai</w:t>
            </w:r>
            <w:proofErr w:type="spellEnd"/>
            <w:r>
              <w:rPr>
                <w:szCs w:val="20"/>
              </w:rPr>
              <w:t xml:space="preserve">-omni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8" w:name="_Toc55375929"/>
            <w:bookmarkStart w:id="9" w:name="_Toc55377107"/>
            <w:bookmarkStart w:id="10" w:name="_Toc56083007"/>
            <w:bookmarkStart w:id="11" w:name="_Toc535304757"/>
            <w:bookmarkStart w:id="12" w:name="_Toc535305763"/>
            <w:bookmarkStart w:id="13" w:name="_Toc535305880"/>
            <w:bookmarkStart w:id="14" w:name="_Toc40800392"/>
            <w:bookmarkStart w:id="15" w:name="_Toc40800519"/>
            <w:r w:rsidRPr="00153258">
              <w:rPr>
                <w:i/>
                <w:iCs/>
                <w:szCs w:val="20"/>
                <w:u w:val="single"/>
              </w:rPr>
              <w:t>“5.3.8.2</w:t>
            </w:r>
            <w:r w:rsidRPr="00153258">
              <w:rPr>
                <w:i/>
                <w:iCs/>
                <w:szCs w:val="20"/>
                <w:u w:val="single"/>
              </w:rPr>
              <w:tab/>
              <w:t>Test method</w:t>
            </w:r>
            <w:bookmarkEnd w:id="8"/>
            <w:bookmarkEnd w:id="9"/>
            <w:bookmarkEnd w:id="10"/>
            <w:bookmarkEnd w:id="11"/>
            <w:bookmarkEnd w:id="12"/>
            <w:bookmarkEnd w:id="13"/>
            <w:bookmarkEnd w:id="14"/>
            <w:bookmarkEnd w:id="15"/>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 xml:space="preserve">The UUT may be connected to a companion device during the test. When performing this test of a UUT with directional antenna (such as array antenna system capable of beam-forming), the wanted communication link (between the UUT and the </w:t>
            </w:r>
            <w:r w:rsidRPr="00153258">
              <w:rPr>
                <w:i/>
                <w:iCs/>
                <w:szCs w:val="20"/>
                <w:u w:val="single"/>
              </w:rPr>
              <w:lastRenderedPageBreak/>
              <w:t>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lastRenderedPageBreak/>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w:t>
            </w:r>
            <w:proofErr w:type="gramStart"/>
            <w:r>
              <w:rPr>
                <w:lang w:eastAsia="en-US"/>
              </w:rPr>
              <w:t>X  [</w:t>
            </w:r>
            <w:proofErr w:type="gramEnd"/>
            <w:r>
              <w:rPr>
                <w:lang w:eastAsia="en-US"/>
              </w:rPr>
              <w:t xml:space="preserve">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 xml:space="preserve">We are also </w:t>
            </w:r>
            <w:proofErr w:type="gramStart"/>
            <w:r>
              <w:rPr>
                <w:lang w:eastAsia="en-US"/>
              </w:rPr>
              <w:t>open</w:t>
            </w:r>
            <w:proofErr w:type="gramEnd"/>
            <w:r>
              <w:rPr>
                <w:lang w:eastAsia="en-US"/>
              </w:rPr>
              <w:t xml:space="preserve">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 xml:space="preserve">FFS] dB of the peak transmission beam gain.  The sensing beam </w:t>
            </w:r>
            <w:proofErr w:type="gramStart"/>
            <w:r w:rsidRPr="006E191E">
              <w:rPr>
                <w:rFonts w:eastAsia="Gulim"/>
                <w:i/>
                <w:iCs/>
                <w:kern w:val="0"/>
                <w:szCs w:val="20"/>
                <w:lang w:eastAsia="en-US"/>
              </w:rPr>
              <w:t>is considered to be</w:t>
            </w:r>
            <w:proofErr w:type="gramEnd"/>
            <w:r w:rsidRPr="006E191E">
              <w:rPr>
                <w:rFonts w:eastAsia="Gulim"/>
                <w:i/>
                <w:iCs/>
                <w:kern w:val="0"/>
                <w:szCs w:val="20"/>
                <w:lang w:eastAsia="en-US"/>
              </w:rPr>
              <w:t xml:space="preserv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lastRenderedPageBreak/>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eNB/gNB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r w:rsidRPr="006E191E">
              <w:rPr>
                <w:rFonts w:eastAsia="Gulim"/>
                <w:i/>
                <w:iCs/>
                <w:color w:val="C00000"/>
                <w:kern w:val="0"/>
                <w:szCs w:val="20"/>
                <w:lang w:val="en-US" w:eastAsia="en-US"/>
              </w:rPr>
              <w:t xml:space="preserve">" .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w:t>
            </w:r>
            <w:proofErr w:type="gramStart"/>
            <w:r w:rsidRPr="006E191E">
              <w:rPr>
                <w:rFonts w:eastAsia="Gulim"/>
                <w:i/>
                <w:iCs/>
                <w:color w:val="C00000"/>
                <w:kern w:val="0"/>
                <w:szCs w:val="20"/>
                <w:lang w:val="en-US" w:eastAsia="en-US"/>
              </w:rPr>
              <w:t>is considered to be</w:t>
            </w:r>
            <w:proofErr w:type="gramEnd"/>
            <w:r w:rsidRPr="006E191E">
              <w:rPr>
                <w:rFonts w:eastAsia="Gulim"/>
                <w:i/>
                <w:iCs/>
                <w:color w:val="C00000"/>
                <w:kern w:val="0"/>
                <w:szCs w:val="20"/>
                <w:lang w:val="en-US" w:eastAsia="en-US"/>
              </w:rPr>
              <w:t xml:space="preserv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w:t>
            </w:r>
            <w:proofErr w:type="gramStart"/>
            <w:r w:rsidRPr="006E191E">
              <w:rPr>
                <w:rFonts w:eastAsia="Gulim"/>
                <w:kern w:val="0"/>
                <w:lang w:eastAsia="en-US"/>
              </w:rPr>
              <w:t>gNB</w:t>
            </w:r>
            <w:proofErr w:type="gramEnd"/>
            <w:r w:rsidRPr="006E191E">
              <w:rPr>
                <w:rFonts w:eastAsia="Gulim"/>
                <w:kern w:val="0"/>
                <w:lang w:eastAsia="en-US"/>
              </w:rPr>
              <w:t xml:space="preserve">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w:t>
            </w:r>
            <w:proofErr w:type="gramStart"/>
            <w:r>
              <w:rPr>
                <w:lang w:eastAsia="en-US"/>
              </w:rPr>
              <w:t>all of</w:t>
            </w:r>
            <w:proofErr w:type="gramEnd"/>
            <w:r>
              <w:rPr>
                <w:lang w:eastAsia="en-US"/>
              </w:rPr>
              <w:t xml:space="preserve">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w:t>
            </w:r>
            <w:proofErr w:type="gramStart"/>
            <w:r>
              <w:rPr>
                <w:lang w:eastAsia="en-US"/>
              </w:rPr>
              <w:t>similar to</w:t>
            </w:r>
            <w:proofErr w:type="gramEnd"/>
            <w:r>
              <w:rPr>
                <w:lang w:eastAsia="en-US"/>
              </w:rPr>
              <w:t xml:space="preserve">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w:t>
            </w:r>
            <w:r>
              <w:rPr>
                <w:lang w:eastAsia="en-US"/>
              </w:rPr>
              <w:lastRenderedPageBreak/>
              <w:t xml:space="preserve">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corresponding to a single Tx </w:t>
            </w:r>
            <w:proofErr w:type="gramStart"/>
            <w:r w:rsidRPr="000E1E87">
              <w:rPr>
                <w:lang w:val="en-US" w:eastAsia="en-US"/>
              </w:rPr>
              <w:t>beam,  extend</w:t>
            </w:r>
            <w:proofErr w:type="gramEnd"/>
            <w:r w:rsidRPr="000E1E87">
              <w:rPr>
                <w:lang w:val="en-US" w:eastAsia="en-US"/>
              </w:rPr>
              <w:t xml:space="preserve">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he angle included in the [</w:t>
            </w:r>
            <w:proofErr w:type="gramStart"/>
            <w:r w:rsidRPr="000E1E87">
              <w:rPr>
                <w:lang w:eastAsia="en-US"/>
              </w:rPr>
              <w:t>3]dB</w:t>
            </w:r>
            <w:proofErr w:type="gramEnd"/>
            <w:r w:rsidRPr="000E1E87">
              <w:rPr>
                <w:lang w:eastAsia="en-US"/>
              </w:rPr>
              <w:t xml:space="preserve"> beamwidth of the transmission beams is included in the [3]dB beamwidth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t xml:space="preserve"> </w:t>
            </w:r>
            <w:r>
              <w:rPr>
                <w:lang w:eastAsia="en-US"/>
              </w:rPr>
              <w:t>S</w:t>
            </w:r>
            <w:r w:rsidRPr="000E1E87">
              <w:rPr>
                <w:lang w:eastAsia="en-US"/>
              </w:rPr>
              <w:t>ensing beam has the minimum [</w:t>
            </w:r>
            <w:proofErr w:type="gramStart"/>
            <w:r w:rsidRPr="000E1E87">
              <w:rPr>
                <w:lang w:eastAsia="en-US"/>
              </w:rPr>
              <w:t>3]dB</w:t>
            </w:r>
            <w:proofErr w:type="gramEnd"/>
            <w:r w:rsidRPr="000E1E87">
              <w:rPr>
                <w:lang w:eastAsia="en-US"/>
              </w:rPr>
              <w:t xml:space="preserve">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proofErr w:type="spellStart"/>
            <w:r>
              <w:rPr>
                <w:lang w:eastAsia="en-US"/>
              </w:rPr>
              <w:t>Convida</w:t>
            </w:r>
            <w:proofErr w:type="spellEnd"/>
            <w:r>
              <w:rPr>
                <w:lang w:eastAsia="en-US"/>
              </w:rPr>
              <w:t xml:space="preserve">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bl>
    <w:p w14:paraId="37D8EAC6" w14:textId="77777777" w:rsidR="006C7ECB" w:rsidRDefault="006C7ECB">
      <w:pPr>
        <w:rPr>
          <w:lang w:eastAsia="en-US"/>
        </w:rPr>
      </w:pPr>
    </w:p>
    <w:p w14:paraId="37D8EAC7" w14:textId="77777777" w:rsidR="006C7ECB" w:rsidRDefault="00A01006">
      <w:pPr>
        <w:pStyle w:val="Heading2"/>
      </w:pPr>
      <w:r>
        <w:lastRenderedPageBreak/>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 xml:space="preserve">For regions where LBT is not mandated, gNB should indicate to the UE this gNB-UE connection is operating in LBT mode or no-LBT mode. </w:t>
            </w:r>
            <w:proofErr w:type="gramStart"/>
            <w:r>
              <w:t>Down-select</w:t>
            </w:r>
            <w:proofErr w:type="gramEnd"/>
            <w:r>
              <w:t xml:space="preserve">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6"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6"/>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information or dedicated RRC signalling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Observation 6: When No-LBT is used in regions where LBT is not mandated by regulations, the hidden node issue would </w:t>
            </w:r>
            <w:proofErr w:type="gramStart"/>
            <w:r>
              <w:rPr>
                <w:rFonts w:ascii="Arial" w:eastAsia="Times New Roman" w:hAnsi="Arial" w:cs="Arial"/>
                <w:snapToGrid/>
                <w:color w:val="000000"/>
                <w:kern w:val="0"/>
                <w:sz w:val="16"/>
                <w:szCs w:val="16"/>
                <w:lang w:val="en-US" w:eastAsia="en-US"/>
              </w:rPr>
              <w:t>still persist</w:t>
            </w:r>
            <w:proofErr w:type="gramEnd"/>
            <w:r>
              <w:rPr>
                <w:rFonts w:ascii="Arial" w:eastAsia="Times New Roman" w:hAnsi="Arial" w:cs="Arial"/>
                <w:snapToGrid/>
                <w:color w:val="000000"/>
                <w:kern w:val="0"/>
                <w:sz w:val="16"/>
                <w:szCs w:val="16"/>
                <w:lang w:val="en-US" w:eastAsia="en-US"/>
              </w:rPr>
              <w: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w:t>
            </w:r>
            <w:proofErr w:type="gramEnd"/>
            <w:r>
              <w:rPr>
                <w:rFonts w:ascii="Arial" w:eastAsia="Times New Roman" w:hAnsi="Arial" w:cs="Arial"/>
                <w:snapToGrid/>
                <w:color w:val="000000"/>
                <w:kern w:val="0"/>
                <w:sz w:val="16"/>
                <w:szCs w:val="16"/>
                <w:lang w:val="en-US" w:eastAsia="en-US"/>
              </w:rPr>
              <w:t>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w:t>
      </w:r>
      <w:proofErr w:type="gramStart"/>
      <w:r>
        <w:t>Fujitsu ,</w:t>
      </w:r>
      <w:proofErr w:type="gramEnd"/>
      <w:r>
        <w:t xml:space="preserve"> (FFS for </w:t>
      </w:r>
      <w:proofErr w:type="spellStart"/>
      <w:r>
        <w:t>Futurewei</w:t>
      </w:r>
      <w:proofErr w:type="spellEnd"/>
      <w:r>
        <w:t xml:space="preserve">),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7"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7"/>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691136C2"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p w14:paraId="546E9CE6" w14:textId="45916657" w:rsidR="000D765A" w:rsidRDefault="000D765A">
      <w:pPr>
        <w:pStyle w:val="ListParagraph"/>
        <w:numPr>
          <w:ilvl w:val="0"/>
          <w:numId w:val="23"/>
        </w:numPr>
      </w:pPr>
      <w:r>
        <w:t xml:space="preserve">Support: Nokia, Charter, Lenovo, ZTE, Intel, vivo, Apple, </w:t>
      </w:r>
      <w:proofErr w:type="spellStart"/>
      <w:r>
        <w:t>Futurewei</w:t>
      </w:r>
      <w:proofErr w:type="spellEnd"/>
      <w:r>
        <w:t xml:space="preserve">, NEC, Ericsson, Huawei (can accept), ITRI, </w:t>
      </w:r>
      <w:proofErr w:type="spellStart"/>
      <w:r>
        <w:t>InterDigital</w:t>
      </w:r>
      <w:proofErr w:type="spellEnd"/>
      <w:r>
        <w:t xml:space="preserve">, Fujitsu, </w:t>
      </w:r>
      <w:proofErr w:type="spellStart"/>
      <w:r>
        <w:t>Convida</w:t>
      </w:r>
      <w:proofErr w:type="spellEnd"/>
      <w:r>
        <w:t>, Samsung</w:t>
      </w:r>
      <w:r w:rsidR="00966240">
        <w:t>, Oppo</w:t>
      </w:r>
      <w:r w:rsidR="00DB4980">
        <w:t xml:space="preserve">, WILUS, </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lastRenderedPageBreak/>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hint="eastAsia"/>
                <w:lang w:eastAsia="zh-CN"/>
              </w:rPr>
            </w:pPr>
            <w:r>
              <w:rPr>
                <w:rFonts w:eastAsia="Malgun Gothic" w:hint="eastAsia"/>
              </w:rPr>
              <w:t>W</w:t>
            </w:r>
            <w:r>
              <w:rPr>
                <w:rFonts w:eastAsia="Malgun Gothic"/>
              </w:rPr>
              <w:t>ILUS</w:t>
            </w:r>
          </w:p>
        </w:tc>
        <w:tc>
          <w:tcPr>
            <w:tcW w:w="6937" w:type="dxa"/>
          </w:tcPr>
          <w:p w14:paraId="53844846" w14:textId="7915A894" w:rsidR="00DB4980" w:rsidRDefault="00DB4980" w:rsidP="00DB4980">
            <w:pPr>
              <w:rPr>
                <w:lang w:eastAsia="en-US"/>
              </w:rPr>
            </w:pPr>
            <w:r>
              <w:rPr>
                <w:rFonts w:eastAsia="Malgun Gothic" w:hint="eastAsia"/>
              </w:rPr>
              <w:t>W</w:t>
            </w:r>
            <w:r>
              <w:rPr>
                <w:rFonts w:eastAsia="Malgun Gothic"/>
              </w:rPr>
              <w:t xml:space="preserve">e support </w:t>
            </w:r>
            <w:r>
              <w:t xml:space="preserve">Proposal 2.10.1-1 </w:t>
            </w:r>
          </w:p>
        </w:tc>
      </w:tr>
    </w:tbl>
    <w:p w14:paraId="37D8EB5E" w14:textId="79D990A0" w:rsidR="006C7ECB"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F0CA88B" w:rsidR="006C7ECB" w:rsidRDefault="00A01006">
      <w:pPr>
        <w:pStyle w:val="ListParagraph"/>
        <w:numPr>
          <w:ilvl w:val="0"/>
          <w:numId w:val="23"/>
        </w:numPr>
      </w:pPr>
      <w:r>
        <w:t>Support per beam indication of the decision on applying LBT mode or no-LBT mode:</w:t>
      </w:r>
      <w:r w:rsidR="00D3570F">
        <w:t xml:space="preserve"> Lenovo, ZTE, NEC, ITRI, </w:t>
      </w:r>
      <w:proofErr w:type="spellStart"/>
      <w:r w:rsidR="00D3570F">
        <w:t>InterDigital</w:t>
      </w:r>
      <w:proofErr w:type="spellEnd"/>
      <w:r w:rsidR="00D3570F">
        <w:t>, Samsung</w:t>
      </w:r>
      <w:r w:rsidR="00966240">
        <w:t>, Oppo</w:t>
      </w:r>
    </w:p>
    <w:p w14:paraId="37D8EB63" w14:textId="22540A8B" w:rsidR="006C7ECB" w:rsidRDefault="00A01006">
      <w:pPr>
        <w:pStyle w:val="ListParagraph"/>
        <w:numPr>
          <w:ilvl w:val="0"/>
          <w:numId w:val="23"/>
        </w:numPr>
      </w:pPr>
      <w:r>
        <w:t>Do not support per beam indication of the decision on applying LBT mode or no-LBT mode:</w:t>
      </w:r>
      <w:r w:rsidR="00D3570F">
        <w:t xml:space="preserve"> Nokia, Charter, Intel, vivo, Apple, </w:t>
      </w:r>
      <w:proofErr w:type="spellStart"/>
      <w:r w:rsidR="00D3570F">
        <w:t>Futurewei</w:t>
      </w:r>
      <w:proofErr w:type="spellEnd"/>
      <w:r w:rsidR="00D3570F">
        <w:t xml:space="preserve">, Ericsson, Huawei, Fujitsu, </w:t>
      </w:r>
      <w:r w:rsidR="00DB4980">
        <w:t>WILUS</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hint="eastAsia"/>
                <w:lang w:eastAsia="zh-CN"/>
              </w:rPr>
            </w:pPr>
            <w:r>
              <w:rPr>
                <w:rFonts w:eastAsia="Malgun Gothic" w:hint="eastAsia"/>
              </w:rPr>
              <w:t>W</w:t>
            </w:r>
            <w:r>
              <w:rPr>
                <w:rFonts w:eastAsia="Malgun Gothic"/>
              </w:rPr>
              <w:t>ILUS</w:t>
            </w:r>
          </w:p>
        </w:tc>
        <w:tc>
          <w:tcPr>
            <w:tcW w:w="6937" w:type="dxa"/>
          </w:tcPr>
          <w:p w14:paraId="767F5DA0" w14:textId="5D202BAA" w:rsidR="00DB4980" w:rsidRDefault="00DB4980" w:rsidP="00DB4980">
            <w:r>
              <w:rPr>
                <w:rFonts w:eastAsia="Malgun Gothic"/>
              </w:rPr>
              <w:t>We are not clear for necessity to specify per beam indication. It seems sufficient to have cell-specific indication.</w:t>
            </w: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155D0D53" w:rsidR="006C7ECB" w:rsidRDefault="00A01006">
      <w:pPr>
        <w:pStyle w:val="ListParagraph"/>
        <w:numPr>
          <w:ilvl w:val="0"/>
          <w:numId w:val="23"/>
        </w:numPr>
      </w:pPr>
      <w:r>
        <w:t>Support per cell indication of the decision on applying LBT mode or no-LBT mode:</w:t>
      </w:r>
      <w:r w:rsidR="00D3570F">
        <w:t xml:space="preserve"> Nokia, Lenovo, Intel, ZTE(?), vivo, NEC, Ericsson, </w:t>
      </w:r>
      <w:proofErr w:type="spellStart"/>
      <w:r w:rsidR="00D3570F">
        <w:t>InterDigital</w:t>
      </w:r>
      <w:proofErr w:type="spellEnd"/>
      <w:r w:rsidR="00D3570F">
        <w:t xml:space="preserve">, Fujitsu, </w:t>
      </w:r>
      <w:proofErr w:type="spellStart"/>
      <w:r w:rsidR="00D3570F">
        <w:t>Convida</w:t>
      </w:r>
      <w:proofErr w:type="spellEnd"/>
      <w:r w:rsidR="00D3570F">
        <w:t>, Samsung</w:t>
      </w:r>
      <w:r w:rsidR="00966240">
        <w:t xml:space="preserve">, </w:t>
      </w:r>
      <w:proofErr w:type="spellStart"/>
      <w:proofErr w:type="gramStart"/>
      <w:r w:rsidR="00966240">
        <w:t>Oppo</w:t>
      </w:r>
      <w:r w:rsidR="00DB4980">
        <w:t>,WILUS</w:t>
      </w:r>
      <w:proofErr w:type="spellEnd"/>
      <w:proofErr w:type="gramEnd"/>
    </w:p>
    <w:p w14:paraId="37D8EB78" w14:textId="77777777" w:rsidR="006C7ECB" w:rsidRDefault="00A01006">
      <w:pPr>
        <w:pStyle w:val="ListParagraph"/>
        <w:numPr>
          <w:ilvl w:val="0"/>
          <w:numId w:val="23"/>
        </w:numPr>
      </w:pPr>
      <w:r>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18" w:name="_Hlk67063652"/>
            <w:r w:rsidRPr="00E01C1A">
              <w:rPr>
                <w:lang w:val="en-US"/>
              </w:rPr>
              <w:t>complex</w:t>
            </w:r>
            <w:r>
              <w:rPr>
                <w:lang w:val="en-US"/>
              </w:rPr>
              <w:t>ity</w:t>
            </w:r>
            <w:bookmarkEnd w:id="18"/>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w:t>
            </w:r>
            <w:proofErr w:type="gramStart"/>
            <w:r>
              <w:rPr>
                <w:rFonts w:eastAsiaTheme="minorEastAsia"/>
                <w:lang w:val="en-US" w:eastAsia="zh-CN"/>
              </w:rPr>
              <w:t>a</w:t>
            </w:r>
            <w:proofErr w:type="gramEnd"/>
            <w:r>
              <w:rPr>
                <w:rFonts w:eastAsiaTheme="minorEastAsia"/>
                <w:lang w:val="en-US" w:eastAsia="zh-CN"/>
              </w:rPr>
              <w:t xml:space="preserve">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proofErr w:type="spellStart"/>
            <w:r w:rsidRPr="004245E3">
              <w:rPr>
                <w:lang w:eastAsia="en-US"/>
              </w:rPr>
              <w:t>InterDigital</w:t>
            </w:r>
            <w:proofErr w:type="spellEnd"/>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hint="eastAsia"/>
                <w:lang w:eastAsia="zh-CN"/>
              </w:rPr>
            </w:pPr>
            <w:r>
              <w:rPr>
                <w:rFonts w:eastAsia="Malgun Gothic" w:hint="eastAsia"/>
              </w:rPr>
              <w:t>W</w:t>
            </w:r>
            <w:r>
              <w:rPr>
                <w:rFonts w:eastAsia="Malgun Gothic"/>
              </w:rPr>
              <w:t>ILUS</w:t>
            </w:r>
          </w:p>
        </w:tc>
        <w:tc>
          <w:tcPr>
            <w:tcW w:w="6937" w:type="dxa"/>
          </w:tcPr>
          <w:p w14:paraId="24D54EA9" w14:textId="6F16C017" w:rsidR="00DB4980" w:rsidRDefault="00DB4980" w:rsidP="00DB4980">
            <w:r>
              <w:rPr>
                <w:rFonts w:eastAsia="Malgun Gothic" w:hint="eastAsia"/>
              </w:rPr>
              <w:t>W</w:t>
            </w:r>
            <w:r>
              <w:rPr>
                <w:rFonts w:eastAsia="Malgun Gothic"/>
              </w:rPr>
              <w:t>e support per cell indication.</w:t>
            </w: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0BC07D6F"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gNB and its UE(s) to have different mode: </w:t>
      </w:r>
      <w:r w:rsidR="00D3570F">
        <w:t xml:space="preserve">Nokia, Charter, Lenovo, ZTE, Intel, vivo, Apple, </w:t>
      </w:r>
      <w:proofErr w:type="spellStart"/>
      <w:r w:rsidR="00D3570F">
        <w:t>Futurewei</w:t>
      </w:r>
      <w:proofErr w:type="spellEnd"/>
      <w:r w:rsidR="00D3570F">
        <w:t xml:space="preserve">, NEC, Ericsson, Huawei, ITRI, </w:t>
      </w:r>
      <w:proofErr w:type="spellStart"/>
      <w:r w:rsidR="00D3570F">
        <w:t>InterDigital</w:t>
      </w:r>
      <w:proofErr w:type="spellEnd"/>
      <w:r w:rsidR="00D3570F">
        <w:t>, Fujitsu (fine with it), Samsung</w:t>
      </w:r>
      <w:r w:rsidR="00966240">
        <w:t>, Oppo</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gNB and its UE(s) are either both in LBT mode or both in no-LBT mode: </w:t>
      </w:r>
    </w:p>
    <w:p w14:paraId="24C7A38E" w14:textId="30AA77C8" w:rsidR="00D3570F" w:rsidRDefault="00D3570F">
      <w:pPr>
        <w:widowControl/>
        <w:numPr>
          <w:ilvl w:val="0"/>
          <w:numId w:val="23"/>
        </w:numPr>
        <w:kinsoku/>
        <w:autoSpaceDE/>
        <w:autoSpaceDN/>
        <w:adjustRightInd/>
        <w:snapToGrid w:val="0"/>
        <w:spacing w:line="252" w:lineRule="auto"/>
        <w:jc w:val="left"/>
        <w:textAlignment w:val="auto"/>
        <w:rPr>
          <w:szCs w:val="20"/>
          <w:lang w:val="en-US"/>
        </w:rPr>
      </w:pPr>
      <w:r>
        <w:t xml:space="preserve">Discuss later: </w:t>
      </w:r>
      <w:proofErr w:type="spellStart"/>
      <w:r>
        <w:t>Convida</w:t>
      </w:r>
      <w:proofErr w:type="spellEnd"/>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lastRenderedPageBreak/>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w:t>
            </w:r>
            <w:proofErr w:type="gramStart"/>
            <w:r>
              <w:t>In particular, if</w:t>
            </w:r>
            <w:proofErr w:type="gramEnd"/>
            <w:r>
              <w:t xml:space="preserve">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3356C205" w14:textId="7BC01C89" w:rsidR="00150474" w:rsidRDefault="00150474" w:rsidP="00150474">
            <w:r w:rsidRPr="004245E3">
              <w:rPr>
                <w:lang w:eastAsia="en-US"/>
              </w:rPr>
              <w:t xml:space="preserve">There is no need to limit the operation to both using the same mode. </w:t>
            </w:r>
            <w:proofErr w:type="gramStart"/>
            <w:r w:rsidRPr="004245E3">
              <w:rPr>
                <w:lang w:eastAsia="en-US"/>
              </w:rPr>
              <w:t>Therefore</w:t>
            </w:r>
            <w:proofErr w:type="gramEnd"/>
            <w:r w:rsidRPr="004245E3">
              <w:rPr>
                <w:lang w:eastAsia="en-US"/>
              </w:rPr>
              <w:t xml:space="preserv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We agree with Huawei’s comment. And for cell-specific indication, common mode for gNB and UE seems sufficient. But if the majority view is to support</w:t>
            </w:r>
            <w:r w:rsidRPr="00CB24AF">
              <w:rPr>
                <w:rFonts w:eastAsiaTheme="minorEastAsia"/>
                <w:lang w:eastAsia="zh-CN"/>
              </w:rPr>
              <w:t xml:space="preserve"> a gNB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gNB and UE has different modes. </w:t>
            </w:r>
          </w:p>
          <w:p w14:paraId="62F04C61" w14:textId="77777777" w:rsidR="006C4883" w:rsidRDefault="006C4883" w:rsidP="006C4883">
            <w:pPr>
              <w:rPr>
                <w:lang w:eastAsia="en-US"/>
              </w:rPr>
            </w:pPr>
            <w:r>
              <w:rPr>
                <w:lang w:eastAsia="en-US"/>
              </w:rPr>
              <w:t xml:space="preserve">To clarify the relationship between per-cell/per-beam and gNB/UE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w:t>
            </w:r>
            <w:proofErr w:type="spellStart"/>
            <w:r w:rsidRPr="00E52D86">
              <w:rPr>
                <w:lang w:eastAsia="en-US"/>
              </w:rPr>
              <w:t>gNB’s</w:t>
            </w:r>
            <w:proofErr w:type="spellEnd"/>
            <w:r w:rsidRPr="00E52D86">
              <w:rPr>
                <w:lang w:eastAsia="en-US"/>
              </w:rPr>
              <w:t xml:space="preserve">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E970E73" w14:textId="59CAD7ED" w:rsidR="00966240" w:rsidRDefault="00966240" w:rsidP="00966240">
            <w:pPr>
              <w:rPr>
                <w:lang w:eastAsia="en-US"/>
              </w:rPr>
            </w:pPr>
            <w:r>
              <w:t>Support a gNB and its UE(s) to have different modes.</w:t>
            </w:r>
          </w:p>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0B56A62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w:t>
      </w:r>
      <w:proofErr w:type="spellStart"/>
      <w:r w:rsidR="00D3570F">
        <w:rPr>
          <w:szCs w:val="20"/>
          <w:lang w:val="en-US"/>
        </w:rPr>
        <w:t>InterDigital</w:t>
      </w:r>
      <w:proofErr w:type="spellEnd"/>
      <w:r w:rsidR="00D3570F">
        <w:rPr>
          <w:szCs w:val="20"/>
          <w:lang w:val="en-US"/>
        </w:rPr>
        <w:t xml:space="preserve"> (at least for initial access), </w:t>
      </w:r>
      <w:proofErr w:type="spellStart"/>
      <w:r w:rsidR="00D3570F">
        <w:rPr>
          <w:szCs w:val="20"/>
          <w:lang w:val="en-US"/>
        </w:rPr>
        <w:t>Convida</w:t>
      </w:r>
      <w:proofErr w:type="spellEnd"/>
    </w:p>
    <w:p w14:paraId="37D8EB9F" w14:textId="546E580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lastRenderedPageBreak/>
        <w:t>Not support:</w:t>
      </w:r>
      <w:r w:rsidR="00D3570F">
        <w:rPr>
          <w:szCs w:val="20"/>
          <w:lang w:val="en-US"/>
        </w:rPr>
        <w:t xml:space="preserve"> Charter, Intel, Apple, </w:t>
      </w:r>
      <w:proofErr w:type="spellStart"/>
      <w:r w:rsidR="00D3570F">
        <w:rPr>
          <w:szCs w:val="20"/>
          <w:lang w:val="en-US"/>
        </w:rPr>
        <w:t>Futurewei</w:t>
      </w:r>
      <w:proofErr w:type="spellEnd"/>
      <w:r w:rsidR="00D3570F">
        <w:rPr>
          <w:szCs w:val="20"/>
          <w:lang w:val="en-US"/>
        </w:rPr>
        <w:t>, Ericsson, Huawei, Fujitsu, Samsung (this is different from LBT field in DCI)</w:t>
      </w:r>
      <w:r w:rsidR="00DB4980">
        <w:rPr>
          <w:szCs w:val="20"/>
          <w:lang w:val="en-US"/>
        </w:rPr>
        <w:t>, WILUS</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 xml:space="preserve">At least for initial access, the UE will need to get a L1 indication of </w:t>
            </w:r>
            <w:proofErr w:type="gramStart"/>
            <w:r>
              <w:rPr>
                <w:lang w:eastAsia="en-US"/>
              </w:rPr>
              <w:t>whether or not</w:t>
            </w:r>
            <w:proofErr w:type="gramEnd"/>
            <w:r>
              <w:rPr>
                <w:lang w:eastAsia="en-US"/>
              </w:rPr>
              <w:t xml:space="preserve">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 xml:space="preserve">Do not support, </w:t>
            </w:r>
            <w:proofErr w:type="gramStart"/>
            <w:r>
              <w:rPr>
                <w:lang w:eastAsia="en-US"/>
              </w:rPr>
              <w:t>higher-layer</w:t>
            </w:r>
            <w:proofErr w:type="gramEnd"/>
            <w:r>
              <w:rPr>
                <w:lang w:eastAsia="en-US"/>
              </w:rPr>
              <w:t xml:space="preserve"> </w:t>
            </w:r>
            <w:proofErr w:type="spellStart"/>
            <w:r>
              <w:rPr>
                <w:lang w:eastAsia="en-US"/>
              </w:rPr>
              <w:t>signaling</w:t>
            </w:r>
            <w:proofErr w:type="spellEnd"/>
            <w:r>
              <w:rPr>
                <w:lang w:eastAsia="en-US"/>
              </w:rPr>
              <w:t xml:space="preserve">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w:t>
            </w:r>
            <w:proofErr w:type="spellStart"/>
            <w:r>
              <w:rPr>
                <w:lang w:eastAsia="en-US"/>
              </w:rPr>
              <w:t>signaling</w:t>
            </w:r>
            <w:proofErr w:type="spellEnd"/>
            <w:r>
              <w:rPr>
                <w:lang w:eastAsia="en-US"/>
              </w:rPr>
              <w:t xml:space="preserve">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w:t>
            </w:r>
            <w:proofErr w:type="gramStart"/>
            <w:r>
              <w:rPr>
                <w:lang w:eastAsia="en-US"/>
              </w:rPr>
              <w:t>have to</w:t>
            </w:r>
            <w:proofErr w:type="gramEnd"/>
            <w:r>
              <w:rPr>
                <w:lang w:eastAsia="en-US"/>
              </w:rPr>
              <w:t xml:space="preserve">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 xml:space="preserve">Huawei, </w:t>
            </w:r>
            <w:proofErr w:type="spellStart"/>
            <w:r w:rsidRPr="0067016B">
              <w:rPr>
                <w:lang w:eastAsia="en-US"/>
              </w:rPr>
              <w:t>HiSilicon</w:t>
            </w:r>
            <w:proofErr w:type="spellEnd"/>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1234E61B" w14:textId="36A30CE6" w:rsidR="00150474" w:rsidRDefault="00150474" w:rsidP="00150474">
            <w:pPr>
              <w:rPr>
                <w:rFonts w:eastAsia="PMingLiU"/>
                <w:lang w:eastAsia="zh-TW"/>
              </w:rPr>
            </w:pPr>
            <w:r w:rsidRPr="004245E3">
              <w:rPr>
                <w:lang w:eastAsia="en-US"/>
              </w:rPr>
              <w:t xml:space="preserve">We agree with Nokia and we support L1 </w:t>
            </w:r>
            <w:proofErr w:type="spellStart"/>
            <w:r w:rsidRPr="004245E3">
              <w:rPr>
                <w:lang w:eastAsia="en-US"/>
              </w:rPr>
              <w:t>signaling</w:t>
            </w:r>
            <w:proofErr w:type="spellEnd"/>
            <w:r w:rsidRPr="004245E3">
              <w:rPr>
                <w:lang w:eastAsia="en-US"/>
              </w:rPr>
              <w:t xml:space="preserve">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Malgun Gothic" w:hint="eastAsia"/>
              </w:rPr>
              <w:t>W</w:t>
            </w:r>
            <w:r>
              <w:rPr>
                <w:rFonts w:eastAsia="Malgun Gothic"/>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bl>
    <w:p w14:paraId="37D8EBB0" w14:textId="77777777" w:rsidR="006C7ECB" w:rsidRPr="00E066FF" w:rsidRDefault="006C7ECB"/>
    <w:p w14:paraId="37D8EBB1" w14:textId="77777777" w:rsidR="006C7ECB" w:rsidRDefault="00A01006">
      <w:pPr>
        <w:pStyle w:val="Heading2"/>
      </w:pPr>
      <w:r>
        <w:t xml:space="preserve">Short Control </w:t>
      </w:r>
      <w:proofErr w:type="spellStart"/>
      <w:r>
        <w:t>Signaling</w:t>
      </w:r>
      <w:proofErr w:type="spellEnd"/>
      <w:r>
        <w:t xml:space="preserve">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9"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lastRenderedPageBreak/>
              <w:t xml:space="preserve">FFS: Other DL signals/channels can be transmitted with Contention Exempt Short Control </w:t>
            </w:r>
            <w:proofErr w:type="spellStart"/>
            <w:r>
              <w:t>Signaling</w:t>
            </w:r>
            <w:proofErr w:type="spellEnd"/>
            <w:r>
              <w:t xml:space="preserve"> rule, such as PDCCH, broadcast PDSCH, PDSCH without user plain data, CSI-RS, PRS, etc</w:t>
            </w:r>
          </w:p>
          <w:bookmarkEnd w:id="19"/>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The Contention Exempt Short Control Signaling rules can be applied to SS/PBCH transmission of all the supported SCS with the restriction that less than 10% duty cycle within 100ms </w:t>
            </w:r>
            <w:proofErr w:type="gramStart"/>
            <w:r>
              <w:rPr>
                <w:rFonts w:ascii="Arial" w:eastAsia="Times New Roman" w:hAnsi="Arial" w:cs="Arial"/>
                <w:snapToGrid/>
                <w:color w:val="000000"/>
                <w:kern w:val="0"/>
                <w:sz w:val="16"/>
                <w:szCs w:val="16"/>
                <w:lang w:val="en-US" w:eastAsia="en-US"/>
              </w:rPr>
              <w:t>has to</w:t>
            </w:r>
            <w:proofErr w:type="gramEnd"/>
            <w:r>
              <w:rPr>
                <w:rFonts w:ascii="Arial" w:eastAsia="Times New Roman" w:hAnsi="Arial" w:cs="Arial"/>
                <w:snapToGrid/>
                <w:color w:val="000000"/>
                <w:kern w:val="0"/>
                <w:sz w:val="16"/>
                <w:szCs w:val="16"/>
                <w:lang w:val="en-US" w:eastAsia="en-US"/>
              </w:rPr>
              <w:t xml:space="preserve">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w:t>
            </w:r>
            <w:proofErr w:type="gramStart"/>
            <w:r>
              <w:rPr>
                <w:rFonts w:ascii="Arial" w:eastAsia="Times New Roman" w:hAnsi="Arial" w:cs="Arial"/>
                <w:snapToGrid/>
                <w:color w:val="000000"/>
                <w:kern w:val="0"/>
                <w:sz w:val="16"/>
                <w:szCs w:val="16"/>
                <w:lang w:val="en-US" w:eastAsia="en-US"/>
              </w:rPr>
              <w:t>In order to</w:t>
            </w:r>
            <w:proofErr w:type="gramEnd"/>
            <w:r>
              <w:rPr>
                <w:rFonts w:ascii="Arial" w:eastAsia="Times New Roman" w:hAnsi="Arial" w:cs="Arial"/>
                <w:snapToGrid/>
                <w:color w:val="000000"/>
                <w:kern w:val="0"/>
                <w:sz w:val="16"/>
                <w:szCs w:val="16"/>
                <w:lang w:val="en-US" w:eastAsia="en-US"/>
              </w:rPr>
              <w:t xml:space="preserve">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color w:val="000000"/>
                <w:kern w:val="0"/>
                <w:szCs w:val="20"/>
                <w:lang w:val="en-US" w:eastAsia="en-US"/>
              </w:rPr>
              <w:t>ms</w:t>
            </w:r>
            <w:proofErr w:type="spellEnd"/>
            <w:r>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It is left up to gNB to decide and apply SSE to any signals/channels which are additionally multiplexed with SS/PBCH, </w:t>
            </w:r>
            <w:proofErr w:type="gramStart"/>
            <w:r>
              <w:rPr>
                <w:rFonts w:ascii="Arial" w:eastAsia="Times New Roman" w:hAnsi="Arial" w:cs="Arial"/>
                <w:snapToGrid/>
                <w:color w:val="000000"/>
                <w:kern w:val="0"/>
                <w:sz w:val="16"/>
                <w:szCs w:val="16"/>
                <w:lang w:val="en-US" w:eastAsia="en-US"/>
              </w:rPr>
              <w:t>as long as</w:t>
            </w:r>
            <w:proofErr w:type="gramEnd"/>
            <w:r>
              <w:rPr>
                <w:rFonts w:ascii="Arial" w:eastAsia="Times New Roman" w:hAnsi="Arial" w:cs="Arial"/>
                <w:snapToGrid/>
                <w:color w:val="000000"/>
                <w:kern w:val="0"/>
                <w:sz w:val="16"/>
                <w:szCs w:val="16"/>
                <w:lang w:val="en-US" w:eastAsia="en-US"/>
              </w:rPr>
              <w:t xml:space="preserve">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21: It is up to the gNB to decide and apply SSE to the discovery burst, </w:t>
            </w:r>
            <w:proofErr w:type="gramStart"/>
            <w:r>
              <w:rPr>
                <w:rFonts w:ascii="Arial" w:eastAsia="Times New Roman" w:hAnsi="Arial" w:cs="Arial"/>
                <w:snapToGrid/>
                <w:color w:val="000000"/>
                <w:kern w:val="0"/>
                <w:sz w:val="16"/>
                <w:szCs w:val="16"/>
                <w:lang w:val="en-US" w:eastAsia="en-US"/>
              </w:rPr>
              <w:t>as long as</w:t>
            </w:r>
            <w:proofErr w:type="gramEnd"/>
            <w:r>
              <w:rPr>
                <w:rFonts w:ascii="Arial" w:eastAsia="Times New Roman" w:hAnsi="Arial" w:cs="Arial"/>
                <w:snapToGrid/>
                <w:color w:val="000000"/>
                <w:kern w:val="0"/>
                <w:sz w:val="16"/>
                <w:szCs w:val="16"/>
                <w:lang w:val="en-US" w:eastAsia="en-US"/>
              </w:rPr>
              <w:t xml:space="preserve">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signalling can be supported for SS/PBCH multiplexed with non-unicast information (e.g., SIB1, CSI-RS), where the transmission(s) duration is not </w:t>
            </w:r>
            <w:proofErr w:type="gramStart"/>
            <w:r>
              <w:rPr>
                <w:rFonts w:ascii="Arial" w:eastAsia="Times New Roman" w:hAnsi="Arial" w:cs="Arial"/>
                <w:snapToGrid/>
                <w:color w:val="000000"/>
                <w:kern w:val="0"/>
                <w:sz w:val="16"/>
                <w:szCs w:val="16"/>
                <w:lang w:val="en-US" w:eastAsia="en-US"/>
              </w:rPr>
              <w:t>exceed</w:t>
            </w:r>
            <w:proofErr w:type="gramEnd"/>
            <w:r>
              <w:rPr>
                <w:rFonts w:ascii="Arial" w:eastAsia="Times New Roman" w:hAnsi="Arial" w:cs="Arial"/>
                <w:snapToGrid/>
                <w:color w:val="000000"/>
                <w:kern w:val="0"/>
                <w:sz w:val="16"/>
                <w:szCs w:val="16"/>
                <w:lang w:val="en-US" w:eastAsia="en-US"/>
              </w:rPr>
              <w:t xml:space="preserve">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Signalling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support limitation on the duty cycle to use “short control signalling”,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w:t>
            </w:r>
            <w:proofErr w:type="gramStart"/>
            <w:r>
              <w:rPr>
                <w:rFonts w:ascii="Arial" w:eastAsia="Times New Roman" w:hAnsi="Arial" w:cs="Arial"/>
                <w:snapToGrid/>
                <w:color w:val="000000"/>
                <w:kern w:val="0"/>
                <w:sz w:val="16"/>
                <w:szCs w:val="16"/>
                <w:lang w:val="en-US" w:eastAsia="en-US"/>
              </w:rPr>
              <w:t>is allowed to</w:t>
            </w:r>
            <w:proofErr w:type="gramEnd"/>
            <w:r>
              <w:rPr>
                <w:rFonts w:ascii="Arial" w:eastAsia="Times New Roman" w:hAnsi="Arial" w:cs="Arial"/>
                <w:snapToGrid/>
                <w:color w:val="000000"/>
                <w:kern w:val="0"/>
                <w:sz w:val="16"/>
                <w:szCs w:val="16"/>
                <w:lang w:val="en-US" w:eastAsia="en-US"/>
              </w:rPr>
              <w:t xml:space="preserve">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w:t>
      </w:r>
      <w:proofErr w:type="spellStart"/>
      <w:r>
        <w:rPr>
          <w:lang w:eastAsia="en-US"/>
        </w:rPr>
        <w:t>Signaling</w:t>
      </w:r>
      <w:proofErr w:type="spellEnd"/>
      <w:r>
        <w:rPr>
          <w:lang w:eastAsia="en-US"/>
        </w:rPr>
        <w:t xml:space="preserve"> exemption from LBT for uplink transmissions, following positions are roughly reached 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proofErr w:type="gramStart"/>
      <w:r>
        <w:t>Against;</w:t>
      </w:r>
      <w:proofErr w:type="gramEnd"/>
      <w:r>
        <w:t xml:space="preserve">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w:t>
      </w:r>
      <w:proofErr w:type="spellStart"/>
      <w:r>
        <w:t>Nack</w:t>
      </w:r>
      <w:proofErr w:type="spellEnd"/>
      <w:r>
        <w:t xml:space="preserve">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4BB66A45" w:rsidR="006C7ECB" w:rsidRDefault="00A01006">
      <w:pPr>
        <w:pStyle w:val="ListParagraph"/>
        <w:numPr>
          <w:ilvl w:val="0"/>
          <w:numId w:val="18"/>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etc</w:t>
      </w:r>
    </w:p>
    <w:p w14:paraId="3017B8E7" w14:textId="4996528D" w:rsidR="00D3570F" w:rsidRDefault="00D3570F">
      <w:pPr>
        <w:pStyle w:val="ListParagraph"/>
        <w:numPr>
          <w:ilvl w:val="0"/>
          <w:numId w:val="18"/>
        </w:numPr>
        <w:rPr>
          <w:lang w:eastAsia="en-US"/>
        </w:rPr>
      </w:pPr>
      <w:r>
        <w:rPr>
          <w:lang w:eastAsia="en-US"/>
        </w:rPr>
        <w:t>Support: Nokia, Charter, Lenovo</w:t>
      </w:r>
      <w:r w:rsidR="000E2862">
        <w:rPr>
          <w:lang w:eastAsia="en-US"/>
        </w:rPr>
        <w:t xml:space="preserve"> (Alt 2)</w:t>
      </w:r>
      <w:r>
        <w:rPr>
          <w:lang w:eastAsia="en-US"/>
        </w:rPr>
        <w:t>, ZTE</w:t>
      </w:r>
      <w:r w:rsidR="000E2862">
        <w:rPr>
          <w:lang w:eastAsia="en-US"/>
        </w:rPr>
        <w:t xml:space="preserve"> (Alt 1)</w:t>
      </w:r>
      <w:r>
        <w:rPr>
          <w:lang w:eastAsia="en-US"/>
        </w:rPr>
        <w:t>, Intel, Apple</w:t>
      </w:r>
      <w:r w:rsidR="000E2862">
        <w:rPr>
          <w:lang w:eastAsia="en-US"/>
        </w:rPr>
        <w:t xml:space="preserve"> (Alt 2)</w:t>
      </w:r>
      <w:r>
        <w:rPr>
          <w:lang w:eastAsia="en-US"/>
        </w:rPr>
        <w:t xml:space="preserve">, </w:t>
      </w:r>
      <w:proofErr w:type="spellStart"/>
      <w:r>
        <w:rPr>
          <w:lang w:eastAsia="en-US"/>
        </w:rPr>
        <w:t>Futurewei</w:t>
      </w:r>
      <w:proofErr w:type="spellEnd"/>
      <w:r>
        <w:rPr>
          <w:lang w:eastAsia="en-US"/>
        </w:rPr>
        <w:t xml:space="preserve"> (Alt 1)</w:t>
      </w:r>
      <w:r w:rsidR="000E2862">
        <w:rPr>
          <w:lang w:eastAsia="en-US"/>
        </w:rPr>
        <w:t>, Ericsson (Alt 2), Samsung</w:t>
      </w:r>
    </w:p>
    <w:p w14:paraId="6A4604AF" w14:textId="65C2FD25" w:rsidR="00D3570F" w:rsidRDefault="00D3570F">
      <w:pPr>
        <w:pStyle w:val="ListParagraph"/>
        <w:numPr>
          <w:ilvl w:val="0"/>
          <w:numId w:val="18"/>
        </w:numPr>
        <w:rPr>
          <w:lang w:eastAsia="en-US"/>
        </w:rPr>
      </w:pPr>
      <w:r>
        <w:rPr>
          <w:lang w:eastAsia="en-US"/>
        </w:rPr>
        <w:t xml:space="preserve">Object: </w:t>
      </w:r>
      <w:r w:rsidR="000E2862">
        <w:rPr>
          <w:lang w:eastAsia="en-US"/>
        </w:rPr>
        <w:t>Huawei</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w:t>
            </w:r>
            <w:r>
              <w:rPr>
                <w:lang w:eastAsia="en-US"/>
              </w:rPr>
              <w:lastRenderedPageBreak/>
              <w:t>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 xml:space="preserve">Support proposal 2.11.1-1 and prefer to support Alt 1. and for main bullet, we understand if the total duration of Msg1 and Msg 3 exceeds to 10ms limitation, then this case cannot </w:t>
            </w:r>
            <w:proofErr w:type="gramStart"/>
            <w:r>
              <w:rPr>
                <w:rFonts w:eastAsia="SimSun" w:hint="eastAsia"/>
                <w:lang w:val="en-US" w:eastAsia="zh-CN"/>
              </w:rPr>
              <w:t>be seen as</w:t>
            </w:r>
            <w:proofErr w:type="gramEnd"/>
            <w:r>
              <w:rPr>
                <w:rFonts w:eastAsia="SimSun" w:hint="eastAsia"/>
                <w:lang w:val="en-US" w:eastAsia="zh-CN"/>
              </w:rPr>
              <w:t xml:space="preserve">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w:t>
            </w:r>
            <w:proofErr w:type="spellStart"/>
            <w:r>
              <w:rPr>
                <w:lang w:eastAsia="en-US"/>
              </w:rPr>
              <w:t>signaling</w:t>
            </w:r>
            <w:proofErr w:type="spellEnd"/>
            <w:r>
              <w:rPr>
                <w:lang w:eastAsia="en-US"/>
              </w:rPr>
              <w:t xml:space="preserve">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Short Control Signalling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The use of Short Control Signalling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within an observation period of 100 </w:t>
            </w:r>
            <w:proofErr w:type="spellStart"/>
            <w:proofErr w:type="gram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w:t>
            </w:r>
            <w:proofErr w:type="gramEnd"/>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Signalling Transmissions shall be less than 10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 xml:space="preserve">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Apart from transmission of the frames for short control signalling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Heading4"/>
              <w:jc w:val="both"/>
              <w:outlineLvl w:val="3"/>
              <w:rPr>
                <w:sz w:val="14"/>
                <w:szCs w:val="18"/>
              </w:rPr>
            </w:pPr>
            <w:bookmarkStart w:id="20" w:name="_Toc67049887"/>
            <w:r w:rsidRPr="00A6254D">
              <w:rPr>
                <w:sz w:val="14"/>
                <w:szCs w:val="18"/>
              </w:rPr>
              <w:t>4.2.6.1</w:t>
            </w:r>
            <w:r w:rsidRPr="00A6254D">
              <w:rPr>
                <w:sz w:val="14"/>
                <w:szCs w:val="18"/>
              </w:rPr>
              <w:tab/>
              <w:t>Definition</w:t>
            </w:r>
            <w:bookmarkEnd w:id="20"/>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Heading4"/>
              <w:jc w:val="both"/>
              <w:outlineLvl w:val="3"/>
              <w:rPr>
                <w:sz w:val="14"/>
                <w:szCs w:val="18"/>
              </w:rPr>
            </w:pPr>
            <w:bookmarkStart w:id="21" w:name="_Toc67049888"/>
            <w:r w:rsidRPr="00A6254D">
              <w:rPr>
                <w:sz w:val="14"/>
                <w:szCs w:val="18"/>
              </w:rPr>
              <w:t>4.2.6.2</w:t>
            </w:r>
            <w:r w:rsidRPr="00A6254D">
              <w:rPr>
                <w:sz w:val="14"/>
                <w:szCs w:val="18"/>
              </w:rPr>
              <w:tab/>
              <w:t>Limits</w:t>
            </w:r>
            <w:bookmarkEnd w:id="21"/>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w:t>
            </w:r>
            <w:proofErr w:type="spellStart"/>
            <w:r w:rsidRPr="00A6254D">
              <w:rPr>
                <w:sz w:val="14"/>
                <w:szCs w:val="18"/>
                <w:shd w:val="clear" w:color="auto" w:fill="FFFFFF"/>
              </w:rPr>
              <w:t>ms</w:t>
            </w:r>
            <w:proofErr w:type="spellEnd"/>
            <w:r w:rsidRPr="00A6254D">
              <w:rPr>
                <w:sz w:val="14"/>
                <w:szCs w:val="18"/>
                <w:shd w:val="clear" w:color="auto" w:fill="FFFFFF"/>
              </w:rPr>
              <w:t> within an observation period of 100 </w:t>
            </w:r>
            <w:proofErr w:type="spellStart"/>
            <w:r w:rsidRPr="00A6254D">
              <w:rPr>
                <w:sz w:val="14"/>
                <w:szCs w:val="18"/>
                <w:shd w:val="clear" w:color="auto" w:fill="FFFFFF"/>
              </w:rPr>
              <w:t>ms</w:t>
            </w:r>
            <w:proofErr w:type="spellEnd"/>
            <w:r w:rsidRPr="00A6254D">
              <w:rPr>
                <w:sz w:val="14"/>
                <w:szCs w:val="18"/>
                <w:shd w:val="clear" w:color="auto" w:fill="FFFFFF"/>
              </w:rPr>
              <w:t>.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4DAF79E"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BodyText"/>
              <w:adjustRightInd/>
              <w:spacing w:after="0"/>
              <w:rPr>
                <w:snapToGrid w:val="0"/>
                <w:kern w:val="2"/>
                <w:sz w:val="20"/>
                <w:szCs w:val="22"/>
                <w:lang w:eastAsia="en-US"/>
              </w:rPr>
            </w:pPr>
          </w:p>
          <w:p w14:paraId="41C09175"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w:t>
            </w:r>
            <w:proofErr w:type="spellStart"/>
            <w:r w:rsidRPr="00895E23">
              <w:rPr>
                <w:snapToGrid w:val="0"/>
                <w:kern w:val="2"/>
                <w:sz w:val="20"/>
                <w:szCs w:val="22"/>
                <w:lang w:eastAsia="en-US"/>
              </w:rPr>
              <w:t>ms</w:t>
            </w:r>
            <w:proofErr w:type="spellEnd"/>
            <w:r w:rsidRPr="00895E23">
              <w:rPr>
                <w:snapToGrid w:val="0"/>
                <w:kern w:val="2"/>
                <w:sz w:val="20"/>
                <w:szCs w:val="22"/>
                <w:lang w:eastAsia="en-US"/>
              </w:rPr>
              <w:t xml:space="preserve">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BodyText"/>
              <w:adjustRightInd/>
              <w:spacing w:after="0"/>
              <w:rPr>
                <w:snapToGrid w:val="0"/>
                <w:kern w:val="2"/>
                <w:sz w:val="20"/>
                <w:szCs w:val="22"/>
                <w:lang w:eastAsia="en-US"/>
              </w:rPr>
            </w:pPr>
          </w:p>
          <w:p w14:paraId="717B79D0" w14:textId="77777777" w:rsidR="0067016B" w:rsidRDefault="0067016B" w:rsidP="00DB63AF">
            <w:pPr>
              <w:pStyle w:val="BodyText"/>
              <w:adjustRightInd/>
              <w:spacing w:after="0"/>
              <w:rPr>
                <w:snapToGrid w:val="0"/>
                <w:kern w:val="2"/>
                <w:sz w:val="20"/>
                <w:szCs w:val="22"/>
                <w:lang w:eastAsia="en-US"/>
              </w:rPr>
            </w:pPr>
          </w:p>
          <w:p w14:paraId="4E5A5BA4" w14:textId="77777777" w:rsidR="0067016B" w:rsidRDefault="0067016B" w:rsidP="00DB63AF">
            <w:pPr>
              <w:pStyle w:val="BodyText"/>
              <w:adjustRightInd/>
              <w:spacing w:after="0"/>
              <w:rPr>
                <w:snapToGrid w:val="0"/>
                <w:kern w:val="2"/>
                <w:sz w:val="20"/>
                <w:szCs w:val="22"/>
                <w:lang w:eastAsia="en-US"/>
              </w:rPr>
            </w:pPr>
            <w:r>
              <w:rPr>
                <w:snapToGrid w:val="0"/>
                <w:kern w:val="2"/>
                <w:sz w:val="20"/>
                <w:szCs w:val="22"/>
                <w:lang w:eastAsia="en-US"/>
              </w:rPr>
              <w:lastRenderedPageBreak/>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 xml:space="preserve">Contention Exempt Short Control </w:t>
            </w:r>
            <w:proofErr w:type="spellStart"/>
            <w:r>
              <w:rPr>
                <w:lang w:eastAsia="en-US"/>
              </w:rPr>
              <w:t>Signaling</w:t>
            </w:r>
            <w:proofErr w:type="spellEnd"/>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exemption. In our view, this is a misuse of the exemption that is introduced in regulations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w:t>
            </w:r>
          </w:p>
          <w:p w14:paraId="28FD0558" w14:textId="1A50A3FE" w:rsidR="000E2862" w:rsidRDefault="000E2862" w:rsidP="00DB63AF">
            <w:pPr>
              <w:pStyle w:val="BodyText"/>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lastRenderedPageBreak/>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ListParagraph"/>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ListParagraph"/>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Mod: For Alt 2, since we don’t have other UL signal/channels agreed with SCS yet, it is not a problem yet. However, my intention is everything is counted from one UE perspective. For Alt 1, the proposal is not trying to count DL and UL together.</w:t>
            </w:r>
          </w:p>
        </w:tc>
      </w:tr>
    </w:tbl>
    <w:p w14:paraId="37D8EC3A" w14:textId="77777777" w:rsidR="006C7ECB"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Introduce channel access priority class and the contention window adjustment mechanisms when LBT is used in NR above 52.6 GHz, </w:t>
            </w:r>
            <w:proofErr w:type="gramStart"/>
            <w:r>
              <w:rPr>
                <w:rFonts w:ascii="Arial" w:eastAsia="Times New Roman" w:hAnsi="Arial" w:cs="Arial"/>
                <w:snapToGrid/>
                <w:color w:val="000000"/>
                <w:kern w:val="0"/>
                <w:sz w:val="16"/>
                <w:szCs w:val="16"/>
                <w:lang w:val="en-US" w:eastAsia="en-US"/>
              </w:rPr>
              <w:t>similar to</w:t>
            </w:r>
            <w:proofErr w:type="gramEnd"/>
            <w:r>
              <w:rPr>
                <w:rFonts w:ascii="Arial" w:eastAsia="Times New Roman" w:hAnsi="Arial" w:cs="Arial"/>
                <w:snapToGrid/>
                <w:color w:val="000000"/>
                <w:kern w:val="0"/>
                <w:sz w:val="16"/>
                <w:szCs w:val="16"/>
                <w:lang w:val="en-US" w:eastAsia="en-US"/>
              </w:rPr>
              <w:t xml:space="preserve">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9: CWs adjustment can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622E70BE"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5C90411B" w:rsidR="006C7ECB" w:rsidRPr="000E2862" w:rsidRDefault="00A01006">
      <w:pPr>
        <w:pStyle w:val="ListParagraph"/>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Oppo</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lastRenderedPageBreak/>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hint="eastAsia"/>
                <w:lang w:eastAsia="zh-CN"/>
              </w:rPr>
            </w:pPr>
            <w:r>
              <w:rPr>
                <w:rFonts w:eastAsia="Malgun Gothic" w:hint="eastAsia"/>
              </w:rPr>
              <w:t>W</w:t>
            </w:r>
            <w:r>
              <w:rPr>
                <w:rFonts w:eastAsia="Malgun Gothic"/>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41EAC2EB"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MediaTek, </w:t>
      </w:r>
      <w:r w:rsidR="000E2862">
        <w:rPr>
          <w:lang w:eastAsia="en-US"/>
        </w:rPr>
        <w:t xml:space="preserve">Huawei, </w:t>
      </w:r>
      <w:proofErr w:type="spellStart"/>
      <w:r w:rsidR="000E2862">
        <w:rPr>
          <w:lang w:eastAsia="en-US"/>
        </w:rPr>
        <w:t>InterDigital</w:t>
      </w:r>
      <w:proofErr w:type="spellEnd"/>
      <w:r w:rsidR="000E2862">
        <w:rPr>
          <w:lang w:eastAsia="en-US"/>
        </w:rPr>
        <w:t xml:space="preserve">, </w:t>
      </w:r>
      <w:r w:rsidR="00DB4980">
        <w:rPr>
          <w:lang w:eastAsia="en-US"/>
        </w:rPr>
        <w:t>WILUS</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C1995E6" w:rsidR="006C7ECB" w:rsidRDefault="00A01006">
      <w:pPr>
        <w:pStyle w:val="ListParagraph"/>
        <w:numPr>
          <w:ilvl w:val="1"/>
          <w:numId w:val="25"/>
        </w:numPr>
        <w:rPr>
          <w:lang w:eastAsia="en-US"/>
        </w:rPr>
      </w:pPr>
      <w:r>
        <w:rPr>
          <w:lang w:eastAsia="en-US"/>
        </w:rPr>
        <w:t>Samsung, Qualcomm, Ericsson, CATT</w:t>
      </w:r>
      <w:r w:rsidR="00443150">
        <w:rPr>
          <w:lang w:eastAsia="en-US"/>
        </w:rPr>
        <w:t>,</w:t>
      </w:r>
      <w:r w:rsidR="00443150" w:rsidRPr="000E2862">
        <w:rPr>
          <w:lang w:eastAsia="en-US"/>
        </w:rPr>
        <w:t xml:space="preserve"> vivo</w:t>
      </w:r>
      <w:r w:rsidR="000E2862">
        <w:rPr>
          <w:lang w:eastAsia="en-US"/>
        </w:rPr>
        <w:t xml:space="preserve">, Charter, Apple, </w:t>
      </w:r>
      <w:proofErr w:type="spellStart"/>
      <w:r w:rsidR="000E2862">
        <w:rPr>
          <w:lang w:eastAsia="en-US"/>
        </w:rPr>
        <w:t>Futurewei</w:t>
      </w:r>
      <w:proofErr w:type="spellEnd"/>
      <w:r w:rsidR="000E2862">
        <w:rPr>
          <w:lang w:eastAsia="en-US"/>
        </w:rPr>
        <w:t xml:space="preserve">, </w:t>
      </w:r>
      <w:r w:rsidR="00966240">
        <w:rPr>
          <w:lang w:eastAsia="en-US"/>
        </w:rPr>
        <w:t>Oppo</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 xml:space="preserve">This depends on the maximum CWS that is supported. We think that CWS = 3 is useful at least for SSBs (if short control </w:t>
            </w:r>
            <w:proofErr w:type="spellStart"/>
            <w:r>
              <w:rPr>
                <w:lang w:eastAsia="en-US"/>
              </w:rPr>
              <w:t>signaling</w:t>
            </w:r>
            <w:proofErr w:type="spellEnd"/>
            <w:r>
              <w:rPr>
                <w:lang w:eastAsia="en-US"/>
              </w:rPr>
              <w:t xml:space="preserve">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proofErr w:type="spellStart"/>
            <w:r w:rsidRPr="004245E3">
              <w:rPr>
                <w:lang w:eastAsia="en-US"/>
              </w:rPr>
              <w:t>InterDigital</w:t>
            </w:r>
            <w:proofErr w:type="spellEnd"/>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hint="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bl>
    <w:p w14:paraId="37D8ECA3" w14:textId="77777777" w:rsidR="006C7ECB"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w:t>
            </w:r>
            <w:proofErr w:type="spellStart"/>
            <w:r>
              <w:rPr>
                <w:rFonts w:eastAsia="Times New Roman"/>
                <w:snapToGrid/>
                <w:color w:val="000000"/>
                <w:kern w:val="0"/>
                <w:szCs w:val="20"/>
                <w:lang w:val="en-US" w:eastAsia="en-US"/>
              </w:rPr>
              <w:t>HiSilicon</w:t>
            </w:r>
            <w:proofErr w:type="spellEnd"/>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InterDigital</w:t>
            </w:r>
            <w:proofErr w:type="spellEnd"/>
            <w:r>
              <w:rPr>
                <w:rFonts w:eastAsia="Times New Roman"/>
                <w:snapToGrid/>
                <w:color w:val="000000"/>
                <w:kern w:val="0"/>
                <w:szCs w:val="20"/>
                <w:lang w:val="en-US" w:eastAsia="en-US"/>
              </w:rPr>
              <w:t xml:space="preserve">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 xml:space="preserve">Observation 2: For NR operation in unlicensed bands between 52.6 GHz and 71 GHz, </w:t>
            </w:r>
            <w:proofErr w:type="gramStart"/>
            <w:r>
              <w:rPr>
                <w:rFonts w:eastAsia="Times New Roman"/>
                <w:snapToGrid/>
                <w:color w:val="000000"/>
                <w:kern w:val="0"/>
                <w:lang w:val="en-US" w:eastAsia="en-US"/>
              </w:rPr>
              <w:t>in order to</w:t>
            </w:r>
            <w:proofErr w:type="gramEnd"/>
            <w:r>
              <w:rPr>
                <w:rFonts w:eastAsia="Times New Roman"/>
                <w:snapToGrid/>
                <w:color w:val="000000"/>
                <w:kern w:val="0"/>
                <w:lang w:val="en-US" w:eastAsia="en-US"/>
              </w:rPr>
              <w:t xml:space="preserve">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InterDigital</w:t>
            </w:r>
            <w:proofErr w:type="spellEnd"/>
            <w:r>
              <w:rPr>
                <w:rFonts w:ascii="Calibri" w:eastAsia="Times New Roman" w:hAnsi="Calibri" w:cs="Calibri"/>
                <w:snapToGrid/>
                <w:color w:val="000000"/>
                <w:kern w:val="0"/>
                <w:szCs w:val="20"/>
                <w:lang w:val="en-US" w:eastAsia="en-US"/>
              </w:rPr>
              <w:t xml:space="preserve">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 xml:space="preserve">R1-2104275, Channel access mechanism for 60 GHz unlicensed operation, Huawei, </w:t>
      </w:r>
      <w:proofErr w:type="spellStart"/>
      <w:r>
        <w:t>HiSilicon</w:t>
      </w:r>
      <w:proofErr w:type="spellEnd"/>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 xml:space="preserve">R1-2105063, Considerations on channel access mechanism for </w:t>
      </w:r>
      <w:proofErr w:type="gramStart"/>
      <w:r>
        <w:t>NR  from</w:t>
      </w:r>
      <w:proofErr w:type="gramEnd"/>
      <w:r>
        <w:t xml:space="preserve"> 52.6GHz to 71 GHz, Fujitsu</w:t>
      </w:r>
    </w:p>
    <w:p w14:paraId="37D8ED2C" w14:textId="77777777" w:rsidR="006C7ECB" w:rsidRDefault="00A01006">
      <w:pPr>
        <w:pStyle w:val="ListParagraph"/>
        <w:numPr>
          <w:ilvl w:val="0"/>
          <w:numId w:val="26"/>
        </w:numPr>
        <w:rPr>
          <w:rFonts w:eastAsia="Times New Roman"/>
        </w:rPr>
      </w:pPr>
      <w:r>
        <w:lastRenderedPageBreak/>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 xml:space="preserve">R1-2105584, Discussion on channel access mechanisms, </w:t>
      </w:r>
      <w:proofErr w:type="spellStart"/>
      <w:r>
        <w:t>InterDigital</w:t>
      </w:r>
      <w:proofErr w:type="spellEnd"/>
      <w:r>
        <w:t>, Inc.</w:t>
      </w:r>
    </w:p>
    <w:p w14:paraId="37D8ED36" w14:textId="77777777" w:rsidR="006C7ECB" w:rsidRDefault="00A01006">
      <w:pPr>
        <w:pStyle w:val="ListParagraph"/>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headerReference w:type="even" r:id="rId15"/>
      <w:headerReference w:type="default" r:id="rId16"/>
      <w:footerReference w:type="even" r:id="rId17"/>
      <w:footerReference w:type="default" r:id="rId18"/>
      <w:headerReference w:type="first" r:id="rId19"/>
      <w:footerReference w:type="first" r:id="rId2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1BD6C" w14:textId="77777777" w:rsidR="006D44E0" w:rsidRDefault="006D44E0">
      <w:pPr>
        <w:spacing w:after="0" w:line="240" w:lineRule="auto"/>
      </w:pPr>
      <w:r>
        <w:separator/>
      </w:r>
    </w:p>
  </w:endnote>
  <w:endnote w:type="continuationSeparator" w:id="0">
    <w:p w14:paraId="6E4770B2" w14:textId="77777777" w:rsidR="006D44E0" w:rsidRDefault="006D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A" w14:textId="77777777" w:rsidR="00114F09" w:rsidRDefault="00114F0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114F09" w:rsidRDefault="00114F09">
    <w:pPr>
      <w:pStyle w:val="Footer"/>
    </w:pPr>
  </w:p>
  <w:p w14:paraId="37D8ED4C" w14:textId="77777777" w:rsidR="00114F09" w:rsidRDefault="00114F09"/>
  <w:p w14:paraId="37D8ED4D" w14:textId="77777777" w:rsidR="00114F09" w:rsidRDefault="00114F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E" w14:textId="2FD2A3F2" w:rsidR="00114F09" w:rsidRDefault="00114F0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14:paraId="37D8ED4F" w14:textId="77777777" w:rsidR="00114F09" w:rsidRDefault="00114F09">
    <w:pPr>
      <w:pStyle w:val="Footer"/>
    </w:pPr>
  </w:p>
  <w:p w14:paraId="37D8ED50" w14:textId="77777777" w:rsidR="00114F09" w:rsidRDefault="00114F09"/>
  <w:p w14:paraId="37D8ED51" w14:textId="77777777" w:rsidR="00114F09" w:rsidRDefault="00114F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055B" w14:textId="77777777" w:rsidR="00114F09" w:rsidRDefault="00114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BD6CD" w14:textId="77777777" w:rsidR="006D44E0" w:rsidRDefault="006D44E0">
      <w:pPr>
        <w:spacing w:after="0" w:line="240" w:lineRule="auto"/>
      </w:pPr>
      <w:r>
        <w:separator/>
      </w:r>
    </w:p>
  </w:footnote>
  <w:footnote w:type="continuationSeparator" w:id="0">
    <w:p w14:paraId="1BA3B9B3" w14:textId="77777777" w:rsidR="006D44E0" w:rsidRDefault="006D4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B8933" w14:textId="77777777" w:rsidR="00114F09" w:rsidRDefault="00114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1CCAC" w14:textId="77777777" w:rsidR="00114F09" w:rsidRDefault="00114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C625F" w14:textId="77777777" w:rsidR="00114F09" w:rsidRDefault="00114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1"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0"/>
  </w:num>
  <w:num w:numId="4">
    <w:abstractNumId w:val="8"/>
  </w:num>
  <w:num w:numId="5">
    <w:abstractNumId w:val="28"/>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29"/>
  </w:num>
  <w:num w:numId="14">
    <w:abstractNumId w:val="21"/>
  </w:num>
  <w:num w:numId="15">
    <w:abstractNumId w:val="5"/>
  </w:num>
  <w:num w:numId="16">
    <w:abstractNumId w:val="26"/>
  </w:num>
  <w:num w:numId="17">
    <w:abstractNumId w:val="17"/>
  </w:num>
  <w:num w:numId="18">
    <w:abstractNumId w:val="3"/>
  </w:num>
  <w:num w:numId="19">
    <w:abstractNumId w:val="18"/>
  </w:num>
  <w:num w:numId="20">
    <w:abstractNumId w:val="24"/>
  </w:num>
  <w:num w:numId="21">
    <w:abstractNumId w:val="23"/>
  </w:num>
  <w:num w:numId="22">
    <w:abstractNumId w:val="6"/>
  </w:num>
  <w:num w:numId="23">
    <w:abstractNumId w:val="2"/>
  </w:num>
  <w:num w:numId="24">
    <w:abstractNumId w:val="22"/>
  </w:num>
  <w:num w:numId="25">
    <w:abstractNumId w:val="27"/>
  </w:num>
  <w:num w:numId="26">
    <w:abstractNumId w:val="20"/>
  </w:num>
  <w:num w:numId="27">
    <w:abstractNumId w:val="11"/>
  </w:num>
  <w:num w:numId="28">
    <w:abstractNumId w:val="4"/>
  </w:num>
  <w:num w:numId="29">
    <w:abstractNumId w:val="31"/>
  </w:num>
  <w:num w:numId="30">
    <w:abstractNumId w:val="1"/>
  </w:num>
  <w:num w:numId="31">
    <w:abstractNumId w:val="2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出段落,列表段落"/>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2.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5BF0A-8966-4567-B9BA-35A627BBDC9D}">
  <ds:schemaRefs>
    <ds:schemaRef ds:uri="http://schemas.openxmlformats.org/officeDocument/2006/bibliography"/>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6.xml><?xml version="1.0" encoding="utf-8"?>
<ds:datastoreItem xmlns:ds="http://schemas.openxmlformats.org/officeDocument/2006/customXml" ds:itemID="{7650C21D-0DD3-462C-9B22-EEC94B428F7F}">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1A8B8042-0EE1-46C3-BDBD-4E88449AA7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70</Pages>
  <Words>31996</Words>
  <Characters>182382</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10</cp:revision>
  <cp:lastPrinted>2019-01-10T09:30:00Z</cp:lastPrinted>
  <dcterms:created xsi:type="dcterms:W3CDTF">2021-05-21T02:30:00Z</dcterms:created>
  <dcterms:modified xsi:type="dcterms:W3CDTF">2021-05-21T05:14:00Z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