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aa"/>
                                  <w:rFonts w:ascii="Times New Roman" w:hAnsi="Times New Roman" w:cs="Times New Roman"/>
                                  <w:kern w:val="0"/>
                                  <w:lang w:val="en-GB" w:eastAsia="ja-JP"/>
                                </w:rPr>
                                <w:t>RP-210915</w:t>
                              </w:r>
                            </w:hyperlink>
                            <w:r>
                              <w:rPr>
                                <w:rFonts w:eastAsia="宋体"/>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9878B6" w:rsidRPr="00231B58" w:rsidRDefault="009878B6"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3" w:history="1">
                        <w:r w:rsidRPr="00231B58">
                          <w:rPr>
                            <w:rStyle w:val="Hyperlink"/>
                            <w:rFonts w:ascii="Times New Roman" w:hAnsi="Times New Roman" w:cs="Times New Roman"/>
                            <w:kern w:val="0"/>
                            <w:lang w:val="en-GB" w:eastAsia="ja-JP"/>
                          </w:rPr>
                          <w:t>RP-210915</w:t>
                        </w:r>
                      </w:hyperlink>
                      <w:r>
                        <w:rPr>
                          <w:rFonts w:eastAsia="SimSun"/>
                          <w:lang w:val="en-GB" w:eastAsia="ja-JP"/>
                        </w:rPr>
                        <w:t>:</w:t>
                      </w:r>
                    </w:p>
                    <w:p w14:paraId="4F85FDEE" w14:textId="5DCCC849"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878B6" w:rsidRPr="00251521" w:rsidRDefault="009878B6" w:rsidP="00251521">
                      <w:pPr>
                        <w:numPr>
                          <w:ilvl w:val="1"/>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878B6" w:rsidRPr="00251521" w:rsidRDefault="009878B6" w:rsidP="00251521">
                      <w:pPr>
                        <w:numPr>
                          <w:ilvl w:val="2"/>
                          <w:numId w:val="43"/>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878B6" w:rsidRPr="00251521" w:rsidRDefault="009878B6" w:rsidP="00251521">
                      <w:pPr>
                        <w:numPr>
                          <w:ilvl w:val="0"/>
                          <w:numId w:val="43"/>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878B6" w:rsidRPr="00787267" w:rsidRDefault="009878B6"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1"/>
      </w:pPr>
      <w:r>
        <w:t>Discussion</w:t>
      </w:r>
    </w:p>
    <w:p w14:paraId="5DBBE143" w14:textId="26A440C9" w:rsidR="003222A9" w:rsidRDefault="000D4764" w:rsidP="00C92A55">
      <w:pPr>
        <w:pStyle w:val="afa"/>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2"/>
        <w:ind w:left="576"/>
        <w:rPr>
          <w:lang w:val="en-US"/>
        </w:rPr>
      </w:pPr>
      <w:r>
        <w:rPr>
          <w:lang w:val="en-US"/>
        </w:rPr>
        <w:t>N</w:t>
      </w:r>
      <w:r w:rsidR="007A4054">
        <w:rPr>
          <w:lang w:val="en-US"/>
        </w:rPr>
        <w:t xml:space="preserve">umber </w:t>
      </w:r>
      <w:r w:rsidR="00E32B8F">
        <w:rPr>
          <w:lang w:val="en-US"/>
        </w:rPr>
        <w:t>of HARQ processes</w:t>
      </w:r>
    </w:p>
    <w:p w14:paraId="3482940C" w14:textId="00B8B829" w:rsidR="005A43E9" w:rsidRDefault="003222A9" w:rsidP="003222A9">
      <w:pPr>
        <w:pStyle w:val="afa"/>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af"/>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 xml:space="preserve">Proposal 1: Both number of HARQ process and number of repetition, which will impact throughput, should </w:t>
            </w:r>
            <w:r w:rsidRPr="00C75346">
              <w:rPr>
                <w:rFonts w:eastAsia="等线"/>
                <w:sz w:val="18"/>
                <w:szCs w:val="18"/>
                <w:lang w:eastAsia="zh-CN"/>
              </w:rPr>
              <w:lastRenderedPageBreak/>
              <w:t>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1: The HARQ process number can be maintained the same as legacy for both </w:t>
            </w:r>
            <w:proofErr w:type="spellStart"/>
            <w:r w:rsidRPr="00C75346">
              <w:rPr>
                <w:rFonts w:eastAsia="宋体"/>
                <w:sz w:val="18"/>
                <w:szCs w:val="18"/>
                <w:lang w:eastAsia="zh-CN"/>
              </w:rPr>
              <w:t>eMTC</w:t>
            </w:r>
            <w:proofErr w:type="spellEnd"/>
            <w:r w:rsidRPr="00C75346">
              <w:rPr>
                <w:rFonts w:eastAsia="宋体"/>
                <w:sz w:val="18"/>
                <w:szCs w:val="18"/>
                <w:lang w:eastAsia="zh-CN"/>
              </w:rPr>
              <w:t xml:space="preserve"> and </w:t>
            </w:r>
            <w:proofErr w:type="spellStart"/>
            <w:r w:rsidRPr="00C75346">
              <w:rPr>
                <w:rFonts w:eastAsia="宋体"/>
                <w:sz w:val="18"/>
                <w:szCs w:val="18"/>
                <w:lang w:eastAsia="zh-CN"/>
              </w:rPr>
              <w:t>NBIoT</w:t>
            </w:r>
            <w:proofErr w:type="spellEnd"/>
            <w:r w:rsidRPr="00C75346">
              <w:rPr>
                <w:rFonts w:eastAsia="宋体"/>
                <w:sz w:val="18"/>
                <w:szCs w:val="18"/>
                <w:lang w:eastAsia="zh-CN"/>
              </w:rPr>
              <w:t>.</w:t>
            </w:r>
          </w:p>
        </w:tc>
      </w:tr>
    </w:tbl>
    <w:p w14:paraId="2F59E169" w14:textId="5D885981" w:rsidR="00337EA0" w:rsidRDefault="00337EA0" w:rsidP="00337EA0">
      <w:pPr>
        <w:pStyle w:val="af9"/>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af9"/>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af9"/>
        <w:spacing w:after="60"/>
        <w:ind w:left="0"/>
        <w:contextualSpacing/>
        <w:jc w:val="left"/>
        <w:rPr>
          <w:rFonts w:ascii="Times New Roman" w:hAnsi="Times New Roman"/>
          <w:sz w:val="20"/>
          <w:szCs w:val="20"/>
          <w:lang w:val="en-GB"/>
        </w:rPr>
      </w:pPr>
    </w:p>
    <w:p w14:paraId="1E8E76AF" w14:textId="77777777" w:rsidR="00E04B81" w:rsidRPr="00B06FD3" w:rsidRDefault="00337EA0" w:rsidP="00E04B81">
      <w:pPr>
        <w:pStyle w:val="af9"/>
        <w:numPr>
          <w:ilvl w:val="0"/>
          <w:numId w:val="39"/>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E04B81">
      <w:pPr>
        <w:pStyle w:val="af9"/>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w:t>
      </w:r>
      <w:proofErr w:type="spellStart"/>
      <w:r w:rsidRPr="00E04B81">
        <w:rPr>
          <w:rFonts w:ascii="Times New Roman" w:hAnsi="Times New Roman"/>
          <w:sz w:val="20"/>
          <w:szCs w:val="20"/>
          <w:lang w:val="en-GB"/>
        </w:rPr>
        <w:t>HiSilicon</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Oppo</w:t>
      </w:r>
      <w:proofErr w:type="spellEnd"/>
      <w:r w:rsidRPr="00E04B81">
        <w:rPr>
          <w:rFonts w:ascii="Times New Roman" w:hAnsi="Times New Roman"/>
          <w:sz w:val="20"/>
          <w:szCs w:val="20"/>
          <w:lang w:val="en-GB"/>
        </w:rPr>
        <w:t xml:space="preserve">, </w:t>
      </w:r>
      <w:proofErr w:type="spellStart"/>
      <w:r w:rsidRPr="00E04B81">
        <w:rPr>
          <w:rFonts w:ascii="Times New Roman" w:hAnsi="Times New Roman"/>
          <w:sz w:val="20"/>
          <w:szCs w:val="20"/>
          <w:lang w:val="en-GB"/>
        </w:rPr>
        <w:t>Spreadtrum</w:t>
      </w:r>
      <w:proofErr w:type="spellEnd"/>
      <w:r w:rsidRPr="00E04B81">
        <w:rPr>
          <w:rFonts w:ascii="Times New Roman" w:hAnsi="Times New Roman"/>
          <w:sz w:val="20"/>
          <w:szCs w:val="20"/>
          <w:lang w:val="en-GB"/>
        </w:rPr>
        <w:t xml:space="preserve">,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E04B81">
      <w:pPr>
        <w:pStyle w:val="af9"/>
        <w:numPr>
          <w:ilvl w:val="1"/>
          <w:numId w:val="39"/>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af9"/>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contextualSpacing/>
        <w:jc w:val="left"/>
        <w:rPr>
          <w:b/>
          <w:lang w:val="en-GB"/>
        </w:rPr>
      </w:pPr>
      <w:r w:rsidRPr="0001133F">
        <w:rPr>
          <w:b/>
          <w:highlight w:val="yellow"/>
          <w:lang w:val="en-GB"/>
        </w:rPr>
        <w:t>Proposal 1-1</w:t>
      </w:r>
      <w:r w:rsidR="00E04B81" w:rsidRPr="0001133F">
        <w:rPr>
          <w:b/>
          <w:highlight w:val="yellow"/>
          <w:lang w:val="en-GB"/>
        </w:rPr>
        <w:t>:</w:t>
      </w:r>
    </w:p>
    <w:p w14:paraId="6E908299" w14:textId="77C90514" w:rsidR="00E04B81" w:rsidRPr="00D15F3A" w:rsidRDefault="00285040" w:rsidP="00464425">
      <w:pPr>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af9"/>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contextualSpacing/>
        <w:jc w:val="left"/>
        <w:rPr>
          <w:b/>
          <w:lang w:val="en-GB"/>
        </w:rPr>
      </w:pPr>
      <w:r>
        <w:rPr>
          <w:b/>
          <w:highlight w:val="yellow"/>
          <w:lang w:val="en-GB"/>
        </w:rPr>
        <w:t>Question 1-1</w:t>
      </w:r>
      <w:r w:rsidR="0001133F" w:rsidRPr="0001133F">
        <w:rPr>
          <w:b/>
          <w:highlight w:val="yellow"/>
          <w:lang w:val="en-GB"/>
        </w:rPr>
        <w:t>:</w:t>
      </w:r>
    </w:p>
    <w:p w14:paraId="5BF0BC95" w14:textId="4365D60F" w:rsidR="0001133F" w:rsidRPr="00D15F3A" w:rsidRDefault="00993EF5" w:rsidP="00464425">
      <w:pPr>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af"/>
        <w:tblW w:w="9355" w:type="dxa"/>
        <w:tblLook w:val="04A0" w:firstRow="1" w:lastRow="0" w:firstColumn="1" w:lastColumn="0" w:noHBand="0" w:noVBand="1"/>
      </w:tblPr>
      <w:tblGrid>
        <w:gridCol w:w="1255"/>
        <w:gridCol w:w="8100"/>
      </w:tblGrid>
      <w:tr w:rsidR="00114C50" w14:paraId="30FCA4A5"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000254">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000254">
            <w:pPr>
              <w:snapToGrid w:val="0"/>
              <w:ind w:firstLineChars="0" w:firstLine="0"/>
              <w:jc w:val="left"/>
              <w:rPr>
                <w:b/>
                <w:sz w:val="18"/>
                <w:szCs w:val="18"/>
              </w:rPr>
            </w:pPr>
            <w:r>
              <w:rPr>
                <w:b/>
                <w:sz w:val="18"/>
                <w:szCs w:val="18"/>
              </w:rPr>
              <w:t>Comments</w:t>
            </w:r>
          </w:p>
        </w:tc>
      </w:tr>
      <w:tr w:rsidR="00114C50" w:rsidRPr="00B70F28" w14:paraId="74B9A0B0" w14:textId="77777777" w:rsidTr="00000254">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000254">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000254">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000254">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000254">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000254">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000254">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000254">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000254">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000254">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000254">
            <w:pPr>
              <w:snapToGrid w:val="0"/>
              <w:ind w:firstLineChars="0" w:firstLine="0"/>
              <w:jc w:val="left"/>
              <w:rPr>
                <w:rFonts w:eastAsia="等线" w:hint="eastAsia"/>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000254">
            <w:pPr>
              <w:spacing w:beforeLines="50" w:before="120"/>
              <w:rPr>
                <w:rFonts w:eastAsia="等线" w:hint="eastAsia"/>
                <w:lang w:eastAsia="zh-CN"/>
              </w:rPr>
            </w:pPr>
            <w:r>
              <w:t>Support moderator proposal.</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afa"/>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af"/>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proofErr w:type="spellStart"/>
            <w:r w:rsidRPr="001C3A70">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af4"/>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af4"/>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af4"/>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proofErr w:type="spellStart"/>
            <w:r w:rsidRPr="00C75346">
              <w:rPr>
                <w:sz w:val="18"/>
                <w:szCs w:val="18"/>
                <w:lang w:eastAsia="zh-CN"/>
              </w:rPr>
              <w:t>CEmodeA</w:t>
            </w:r>
            <w:proofErr w:type="spellEnd"/>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af4"/>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af4"/>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af4"/>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af4"/>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lastRenderedPageBreak/>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Proposal 2: At least for </w:t>
            </w:r>
            <w:proofErr w:type="spellStart"/>
            <w:r w:rsidRPr="00C75346">
              <w:rPr>
                <w:rFonts w:eastAsia="宋体"/>
                <w:sz w:val="18"/>
                <w:szCs w:val="18"/>
                <w:lang w:eastAsia="zh-CN"/>
              </w:rPr>
              <w:t>NBIoT</w:t>
            </w:r>
            <w:proofErr w:type="spellEnd"/>
            <w:r w:rsidRPr="00C75346">
              <w:rPr>
                <w:rFonts w:eastAsia="宋体"/>
                <w:sz w:val="18"/>
                <w:szCs w:val="18"/>
                <w:lang w:eastAsia="zh-CN"/>
              </w:rPr>
              <w:t xml:space="preserve"> NTN, disabling HARQ is not supported.</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B06FD3">
      <w:pPr>
        <w:pStyle w:val="af9"/>
        <w:numPr>
          <w:ilvl w:val="0"/>
          <w:numId w:val="39"/>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af9"/>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 xml:space="preserve">Supported by Vivo, CATT (only for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CEModeA</w:t>
      </w:r>
      <w:proofErr w:type="spellEnd"/>
      <w:r w:rsidRPr="00FB0482">
        <w:rPr>
          <w:rFonts w:ascii="Times New Roman" w:hAnsi="Times New Roman"/>
          <w:sz w:val="20"/>
          <w:szCs w:val="20"/>
          <w:lang w:val="en-GB"/>
        </w:rPr>
        <w:t>)</w:t>
      </w:r>
      <w:r>
        <w:rPr>
          <w:rFonts w:ascii="Times New Roman" w:hAnsi="Times New Roman"/>
          <w:sz w:val="20"/>
          <w:szCs w:val="20"/>
          <w:lang w:val="en-GB"/>
        </w:rPr>
        <w:t>, CMCC, ZTE, Qualcomm, Samsung</w:t>
      </w:r>
    </w:p>
    <w:p w14:paraId="601EF3FA" w14:textId="77777777" w:rsidR="00B06FD3" w:rsidRPr="00B06FD3" w:rsidRDefault="00B06FD3" w:rsidP="00B06FD3">
      <w:pPr>
        <w:pStyle w:val="af9"/>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B06FD3">
      <w:pPr>
        <w:pStyle w:val="af9"/>
        <w:numPr>
          <w:ilvl w:val="0"/>
          <w:numId w:val="41"/>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af9"/>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w:t>
      </w:r>
      <w:proofErr w:type="spellStart"/>
      <w:r w:rsidRPr="00FB0482">
        <w:rPr>
          <w:rFonts w:ascii="Times New Roman" w:hAnsi="Times New Roman"/>
          <w:sz w:val="20"/>
          <w:szCs w:val="20"/>
          <w:lang w:val="en-GB"/>
        </w:rPr>
        <w:t>HiSilicon</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Oppo</w:t>
      </w:r>
      <w:proofErr w:type="spellEnd"/>
      <w:r w:rsidRPr="00FB0482">
        <w:rPr>
          <w:rFonts w:ascii="Times New Roman" w:hAnsi="Times New Roman"/>
          <w:sz w:val="20"/>
          <w:szCs w:val="20"/>
          <w:lang w:val="en-GB"/>
        </w:rPr>
        <w:t>, CATT (for NB-</w:t>
      </w:r>
      <w:proofErr w:type="spellStart"/>
      <w:r w:rsidRPr="00FB0482">
        <w:rPr>
          <w:rFonts w:ascii="Times New Roman" w:hAnsi="Times New Roman"/>
          <w:sz w:val="20"/>
          <w:szCs w:val="20"/>
          <w:lang w:val="en-GB"/>
        </w:rPr>
        <w:t>IoT</w:t>
      </w:r>
      <w:proofErr w:type="spellEnd"/>
      <w:r w:rsidRPr="00FB0482">
        <w:rPr>
          <w:rFonts w:ascii="Times New Roman" w:hAnsi="Times New Roman"/>
          <w:sz w:val="20"/>
          <w:szCs w:val="20"/>
          <w:lang w:val="en-GB"/>
        </w:rPr>
        <w:t xml:space="preserve"> and </w:t>
      </w:r>
      <w:proofErr w:type="spellStart"/>
      <w:r w:rsidRPr="00FB0482">
        <w:rPr>
          <w:rFonts w:ascii="Times New Roman" w:hAnsi="Times New Roman"/>
          <w:sz w:val="20"/>
          <w:szCs w:val="20"/>
          <w:lang w:val="en-GB"/>
        </w:rPr>
        <w:t>eMTC</w:t>
      </w:r>
      <w:proofErr w:type="spellEnd"/>
      <w:r w:rsidRPr="00FB0482">
        <w:rPr>
          <w:rFonts w:ascii="Times New Roman" w:hAnsi="Times New Roman"/>
          <w:sz w:val="20"/>
          <w:szCs w:val="20"/>
          <w:lang w:val="en-GB"/>
        </w:rPr>
        <w:t xml:space="preserve"> </w:t>
      </w:r>
      <w:proofErr w:type="spellStart"/>
      <w:r w:rsidRPr="00FB0482">
        <w:rPr>
          <w:rFonts w:ascii="Times New Roman" w:hAnsi="Times New Roman"/>
          <w:sz w:val="20"/>
          <w:szCs w:val="20"/>
          <w:lang w:val="en-GB"/>
        </w:rPr>
        <w:t>CEModeB</w:t>
      </w:r>
      <w:proofErr w:type="spellEnd"/>
      <w:r w:rsidRPr="00FB0482">
        <w:rPr>
          <w:rFonts w:ascii="Times New Roman" w:hAnsi="Times New Roman"/>
          <w:sz w:val="20"/>
          <w:szCs w:val="20"/>
          <w:lang w:val="en-GB"/>
        </w:rPr>
        <w:t xml:space="preserve">),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af9"/>
        <w:ind w:left="644" w:firstLineChars="0" w:firstLine="0"/>
        <w:contextualSpacing/>
        <w:jc w:val="left"/>
        <w:rPr>
          <w:rFonts w:ascii="Times New Roman" w:eastAsia="等线" w:hAnsi="Times New Roman"/>
          <w:sz w:val="20"/>
          <w:szCs w:val="20"/>
        </w:rPr>
      </w:pPr>
    </w:p>
    <w:p w14:paraId="416D55ED" w14:textId="77777777" w:rsidR="00B06FD3" w:rsidRDefault="00B06FD3" w:rsidP="00B06FD3">
      <w:pPr>
        <w:pStyle w:val="af9"/>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B06FD3">
      <w:pPr>
        <w:pStyle w:val="af9"/>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B06FD3">
      <w:pPr>
        <w:pStyle w:val="af9"/>
        <w:numPr>
          <w:ilvl w:val="0"/>
          <w:numId w:val="42"/>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af"/>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 xml:space="preserve">or </w:t>
            </w:r>
            <w:proofErr w:type="spellStart"/>
            <w:r w:rsidRPr="00FB0482">
              <w:rPr>
                <w:lang w:val="en-GB"/>
              </w:rPr>
              <w:t>eMTC</w:t>
            </w:r>
            <w:proofErr w:type="spellEnd"/>
            <w:r w:rsidRPr="00FB0482">
              <w:rPr>
                <w:lang w:val="en-GB"/>
              </w:rPr>
              <w:t xml:space="preserve"> </w:t>
            </w:r>
            <w:proofErr w:type="spellStart"/>
            <w:r w:rsidRPr="00FB0482">
              <w:rPr>
                <w:lang w:val="en-GB"/>
              </w:rPr>
              <w:t>CEModeA</w:t>
            </w:r>
            <w:proofErr w:type="spellEnd"/>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bl>
    <w:p w14:paraId="0AC06F10" w14:textId="77777777" w:rsidR="00224FFB" w:rsidRDefault="00224FFB" w:rsidP="00224FFB">
      <w:pPr>
        <w:ind w:left="200" w:firstLineChars="0" w:firstLine="0"/>
      </w:pPr>
    </w:p>
    <w:p w14:paraId="0D5DBA08" w14:textId="3790EBF8" w:rsidR="00000EA6" w:rsidRDefault="00000EA6"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af"/>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000254">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lastRenderedPageBreak/>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w:t>
            </w:r>
            <w:proofErr w:type="spellStart"/>
            <w:r w:rsidRPr="00C75346">
              <w:rPr>
                <w:rFonts w:eastAsia="宋体"/>
                <w:sz w:val="18"/>
                <w:szCs w:val="18"/>
                <w:lang w:eastAsia="zh-CN"/>
              </w:rPr>
              <w:t>UEAssistanceInformation</w:t>
            </w:r>
            <w:proofErr w:type="spellEnd"/>
            <w:r w:rsidRPr="00C75346">
              <w:rPr>
                <w:rFonts w:eastAsia="宋体"/>
                <w:sz w:val="18"/>
                <w:szCs w:val="18"/>
                <w:lang w:eastAsia="zh-CN"/>
              </w:rPr>
              <w:t xml:space="preserve">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FD4539">
      <w:pPr>
        <w:pStyle w:val="af9"/>
        <w:numPr>
          <w:ilvl w:val="0"/>
          <w:numId w:val="45"/>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FD4539">
      <w:pPr>
        <w:pStyle w:val="af9"/>
        <w:numPr>
          <w:ilvl w:val="0"/>
          <w:numId w:val="45"/>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FD4539">
      <w:pPr>
        <w:pStyle w:val="af9"/>
        <w:numPr>
          <w:ilvl w:val="0"/>
          <w:numId w:val="45"/>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FD4539">
      <w:pPr>
        <w:pStyle w:val="af9"/>
        <w:numPr>
          <w:ilvl w:val="0"/>
          <w:numId w:val="45"/>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af"/>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bl>
    <w:p w14:paraId="7ADDA51B" w14:textId="2B24B7FC" w:rsidR="002B0CD1" w:rsidRPr="00952A73" w:rsidRDefault="002B0CD1" w:rsidP="00C75346">
      <w:pPr>
        <w:ind w:firstLineChars="0" w:firstLine="0"/>
      </w:pPr>
    </w:p>
    <w:p w14:paraId="39392E6D" w14:textId="4468A66F" w:rsidR="006F371A" w:rsidRPr="007937E5" w:rsidRDefault="00A10BEA" w:rsidP="006F371A">
      <w:pPr>
        <w:pStyle w:val="2"/>
        <w:ind w:left="576"/>
        <w:rPr>
          <w:lang w:val="en-US"/>
        </w:rPr>
      </w:pPr>
      <w:r>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af"/>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000254">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 xml:space="preserve">Huawei, </w:t>
            </w:r>
            <w:r w:rsidRPr="00637871">
              <w:rPr>
                <w:sz w:val="18"/>
                <w:szCs w:val="18"/>
              </w:rPr>
              <w:lastRenderedPageBreak/>
              <w:t>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lastRenderedPageBreak/>
              <w:t xml:space="preserve">For a NTN UE that is configured with one HARQ process, if the NPUSCH transmission ending in subframe n, due to long RTT, the corresponding NPDCCH which indicated ACK/NACK would not come </w:t>
            </w:r>
            <w:r w:rsidRPr="00637871">
              <w:rPr>
                <w:sz w:val="18"/>
                <w:szCs w:val="18"/>
                <w:lang w:eastAsia="zh-CN"/>
              </w:rPr>
              <w:lastRenderedPageBreak/>
              <w:t xml:space="preserve">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proofErr w:type="spellStart"/>
            <w:r w:rsidRPr="00637871">
              <w:rPr>
                <w:i/>
                <w:sz w:val="18"/>
                <w:szCs w:val="18"/>
              </w:rPr>
              <w:t>twoHARQ-ProcessesConfig</w:t>
            </w:r>
            <w:proofErr w:type="spellEnd"/>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200" w:hangingChars="100" w:hanging="200"/>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200" w:hangingChars="100" w:hanging="200"/>
        <w:rPr>
          <w:b/>
        </w:rPr>
      </w:pPr>
      <w:r w:rsidRPr="00464425">
        <w:rPr>
          <w:b/>
        </w:rPr>
        <w:t xml:space="preserve">For a NTN UE that is configured with one </w:t>
      </w:r>
      <w:r w:rsidR="00742E0E" w:rsidRPr="00464425">
        <w:rPr>
          <w:b/>
        </w:rPr>
        <w:t xml:space="preserve">or more </w:t>
      </w:r>
      <w:r w:rsidRPr="00464425">
        <w:rPr>
          <w:b/>
        </w:rPr>
        <w:t>HARQ process</w:t>
      </w:r>
      <w:r w:rsidR="00742E0E" w:rsidRPr="00464425">
        <w:rPr>
          <w:b/>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af9"/>
        <w:ind w:left="920" w:firstLineChars="0" w:firstLine="0"/>
        <w:rPr>
          <w:rFonts w:ascii="Times New Roman" w:hAnsi="Times New Roman"/>
          <w:sz w:val="20"/>
          <w:szCs w:val="20"/>
        </w:rPr>
      </w:pPr>
    </w:p>
    <w:tbl>
      <w:tblPr>
        <w:tblStyle w:val="af"/>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w:t>
            </w:r>
            <w:r>
              <w:lastRenderedPageBreak/>
              <w:t xml:space="preserve">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 xml:space="preserve">If a NB-IoT UE is configured with higher layer parameter </w:t>
            </w:r>
            <w:proofErr w:type="spellStart"/>
            <w:r w:rsidRPr="00D60537">
              <w:rPr>
                <w:rFonts w:eastAsia="Times New Roman"/>
                <w:i/>
                <w:iCs/>
                <w:lang w:val="en-GB" w:eastAsia="en-GB"/>
              </w:rPr>
              <w:t>twoHARQ-ProcessesConfig</w:t>
            </w:r>
            <w:proofErr w:type="spellEnd"/>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bl>
    <w:p w14:paraId="61B6E31D" w14:textId="2CE7349E" w:rsidR="006F371A" w:rsidRDefault="006F371A" w:rsidP="006F371A">
      <w:pPr>
        <w:ind w:left="200" w:firstLineChars="0" w:firstLine="0"/>
      </w:pPr>
    </w:p>
    <w:p w14:paraId="3CDA63BF" w14:textId="77777777" w:rsidR="00FD4539" w:rsidRPr="00952A73" w:rsidRDefault="00FD4539" w:rsidP="006F371A">
      <w:pPr>
        <w:ind w:left="200" w:firstLineChars="0" w:firstLine="0"/>
      </w:pPr>
    </w:p>
    <w:p w14:paraId="10BF2310" w14:textId="7DBAFECD" w:rsidR="006F371A" w:rsidRDefault="00034D56" w:rsidP="006F371A">
      <w:pPr>
        <w:pStyle w:val="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jc w:val="center"/>
        <w:rPr>
          <w:lang w:eastAsia="en-US"/>
        </w:rPr>
      </w:pPr>
      <w:r w:rsidRPr="0025175D">
        <w:rPr>
          <w:b/>
        </w:rPr>
        <w:t xml:space="preserve">Table </w:t>
      </w:r>
      <w:r>
        <w:rPr>
          <w:b/>
        </w:rPr>
        <w:t>6 Views on coverage enhancement</w:t>
      </w:r>
    </w:p>
    <w:tbl>
      <w:tblPr>
        <w:tblStyle w:val="af"/>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000254">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000254">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000254">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rPr>
          <w:b/>
          <w:lang w:eastAsia="en-US"/>
        </w:rPr>
      </w:pPr>
      <w:r w:rsidRPr="00A81A26">
        <w:rPr>
          <w:b/>
          <w:highlight w:val="yellow"/>
          <w:lang w:eastAsia="en-US"/>
        </w:rPr>
        <w:t>Conclusion</w:t>
      </w:r>
      <w:r w:rsidR="00464425">
        <w:rPr>
          <w:b/>
          <w:highlight w:val="yellow"/>
          <w:lang w:eastAsia="en-US"/>
        </w:rPr>
        <w:t xml:space="preserve"> 5-1</w:t>
      </w:r>
      <w:r w:rsidRPr="00A81A26">
        <w:rPr>
          <w:b/>
          <w:highlight w:val="yellow"/>
          <w:lang w:eastAsia="en-US"/>
        </w:rPr>
        <w:t>:</w:t>
      </w:r>
      <w:r w:rsidRPr="00A81A26">
        <w:rPr>
          <w:b/>
          <w:lang w:eastAsia="en-US"/>
        </w:rPr>
        <w:t xml:space="preserve"> </w:t>
      </w:r>
    </w:p>
    <w:p w14:paraId="1BE44116" w14:textId="3911A8E7" w:rsidR="0095081C" w:rsidRPr="00A81A26" w:rsidRDefault="0055739E" w:rsidP="00C60A3A">
      <w:pPr>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af"/>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 xml:space="preserve">Support moderator proposals. The number of repetitions specified in cellular IoT is already </w:t>
            </w:r>
            <w:r>
              <w:lastRenderedPageBreak/>
              <w:t>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NB-IoT/eMTC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hint="eastAsia"/>
                <w:lang w:eastAsia="zh-CN"/>
              </w:rPr>
            </w:pPr>
            <w:r>
              <w:t>Support moderator proposals.</w:t>
            </w:r>
            <w:r>
              <w:rPr>
                <w:rFonts w:eastAsia="等线" w:hint="eastAsia"/>
                <w:lang w:eastAsia="zh-CN"/>
              </w:rPr>
              <w:t xml:space="preserve"> Not essential issue. </w:t>
            </w:r>
          </w:p>
        </w:tc>
      </w:tr>
    </w:tbl>
    <w:p w14:paraId="354CF167" w14:textId="44EAA85E" w:rsidR="0095081C" w:rsidRDefault="0095081C" w:rsidP="00410D03">
      <w:pPr>
        <w:ind w:firstLineChars="0" w:firstLine="0"/>
      </w:pPr>
    </w:p>
    <w:p w14:paraId="2577CA1A" w14:textId="5670D959" w:rsidR="0095081C" w:rsidRPr="00952A73" w:rsidRDefault="0095081C" w:rsidP="00410D03">
      <w:pPr>
        <w:ind w:firstLineChars="0" w:firstLine="0"/>
      </w:pPr>
    </w:p>
    <w:p w14:paraId="32E3ED19" w14:textId="2C652C5E" w:rsidR="006F371A" w:rsidRDefault="00034D56" w:rsidP="006F371A">
      <w:pPr>
        <w:pStyle w:val="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af"/>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w:t>
            </w:r>
            <w:proofErr w:type="spellStart"/>
            <w:r w:rsidRPr="002736BB">
              <w:rPr>
                <w:rFonts w:eastAsia="等线"/>
                <w:sz w:val="18"/>
                <w:szCs w:val="18"/>
                <w:lang w:eastAsia="zh-CN"/>
              </w:rPr>
              <w:t>reseletion</w:t>
            </w:r>
            <w:proofErr w:type="spellEnd"/>
            <w:r w:rsidRPr="002736BB">
              <w:rPr>
                <w:rFonts w:eastAsia="等线"/>
                <w:sz w:val="18"/>
                <w:szCs w:val="18"/>
                <w:lang w:eastAsia="zh-CN"/>
              </w:rPr>
              <w:t xml:space="preserve"> with high speed satellite, resulting that UE </w:t>
            </w:r>
            <w:proofErr w:type="spellStart"/>
            <w:r w:rsidRPr="002736BB">
              <w:rPr>
                <w:rFonts w:eastAsia="等线"/>
                <w:sz w:val="18"/>
                <w:szCs w:val="18"/>
                <w:lang w:eastAsia="zh-CN"/>
              </w:rPr>
              <w:t>can not</w:t>
            </w:r>
            <w:proofErr w:type="spellEnd"/>
            <w:r w:rsidRPr="002736BB">
              <w:rPr>
                <w:rFonts w:eastAsia="等线"/>
                <w:sz w:val="18"/>
                <w:szCs w:val="18"/>
                <w:lang w:eastAsia="zh-CN"/>
              </w:rPr>
              <w:t xml:space="preserve">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w:t>
            </w:r>
            <w:proofErr w:type="spellStart"/>
            <w:r w:rsidRPr="002736BB">
              <w:rPr>
                <w:rFonts w:eastAsia="等线"/>
                <w:sz w:val="18"/>
                <w:szCs w:val="18"/>
                <w:lang w:eastAsia="zh-CN"/>
              </w:rPr>
              <w:t>continiuation</w:t>
            </w:r>
            <w:proofErr w:type="spellEnd"/>
            <w:r w:rsidRPr="002736BB">
              <w:rPr>
                <w:rFonts w:eastAsia="等线"/>
                <w:sz w:val="18"/>
                <w:szCs w:val="18"/>
                <w:lang w:eastAsia="zh-CN"/>
              </w:rPr>
              <w:t xml:space="preserve">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lastRenderedPageBreak/>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af"/>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 xml:space="preserve">In our view, it’s critical for corresponding service at least via LEO, which can enable the IoT service to fulfill the targeted MCL. If there is potential </w:t>
            </w:r>
            <w:proofErr w:type="spellStart"/>
            <w:r>
              <w:rPr>
                <w:rFonts w:eastAsia="等线"/>
                <w:lang w:eastAsia="zh-CN"/>
              </w:rPr>
              <w:t>downselection</w:t>
            </w:r>
            <w:proofErr w:type="spellEnd"/>
            <w:r>
              <w:rPr>
                <w:rFonts w:eastAsia="等线"/>
                <w:lang w:eastAsia="zh-CN"/>
              </w:rPr>
              <w:t xml:space="preserve">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bl>
    <w:p w14:paraId="7EBA966A" w14:textId="77777777" w:rsidR="00AE3BDB" w:rsidRPr="00952A73" w:rsidRDefault="00AE3BDB" w:rsidP="00034D56">
      <w:pPr>
        <w:ind w:left="200" w:firstLineChars="0" w:firstLine="0"/>
      </w:pPr>
    </w:p>
    <w:p w14:paraId="02352CF0" w14:textId="699979AF" w:rsidR="00034D56" w:rsidRDefault="00034D56" w:rsidP="00034D56">
      <w:pPr>
        <w:pStyle w:val="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jc w:val="center"/>
        <w:rPr>
          <w:lang w:eastAsia="en-US"/>
        </w:rPr>
      </w:pPr>
      <w:r w:rsidRPr="0025175D">
        <w:rPr>
          <w:b/>
        </w:rPr>
        <w:t xml:space="preserve">Table </w:t>
      </w:r>
      <w:r w:rsidR="00410D03">
        <w:rPr>
          <w:b/>
        </w:rPr>
        <w:t>7</w:t>
      </w:r>
      <w:r w:rsidR="00517F6B">
        <w:rPr>
          <w:b/>
        </w:rPr>
        <w:t xml:space="preserve"> Views on supporting multi-TB scheduling</w:t>
      </w:r>
    </w:p>
    <w:tbl>
      <w:tblPr>
        <w:tblStyle w:val="af"/>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lastRenderedPageBreak/>
        <w:t>Companies are encouraged to provide feedback on the proposal</w:t>
      </w:r>
    </w:p>
    <w:tbl>
      <w:tblPr>
        <w:tblStyle w:val="af"/>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1AFFA12C"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Default="00034D56" w:rsidP="00034D56">
      <w:pPr>
        <w:pStyle w:val="2"/>
        <w:ind w:left="576"/>
        <w:rPr>
          <w:lang w:val="en-US"/>
        </w:rPr>
      </w:pPr>
      <w:r>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jc w:val="center"/>
        <w:rPr>
          <w:lang w:eastAsia="en-US"/>
        </w:rPr>
      </w:pPr>
      <w:r w:rsidRPr="0025175D">
        <w:rPr>
          <w:b/>
        </w:rPr>
        <w:t xml:space="preserve">Table </w:t>
      </w:r>
      <w:r w:rsidR="00410D03">
        <w:rPr>
          <w:b/>
        </w:rPr>
        <w:t>8</w:t>
      </w:r>
      <w:r w:rsidR="00345AE8">
        <w:rPr>
          <w:b/>
        </w:rPr>
        <w:t xml:space="preserve"> Views on throughput enhancements</w:t>
      </w:r>
    </w:p>
    <w:tbl>
      <w:tblPr>
        <w:tblStyle w:val="af"/>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af"/>
        <w:tblW w:w="9355" w:type="dxa"/>
        <w:tblLook w:val="04A0" w:firstRow="1" w:lastRow="0" w:firstColumn="1" w:lastColumn="0" w:noHBand="0" w:noVBand="1"/>
      </w:tblPr>
      <w:tblGrid>
        <w:gridCol w:w="1255"/>
        <w:gridCol w:w="8100"/>
      </w:tblGrid>
      <w:tr w:rsidR="00D15F3A" w14:paraId="315257A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9878B6">
        <w:tc>
          <w:tcPr>
            <w:tcW w:w="1255"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w:t>
            </w:r>
            <w:r>
              <w:lastRenderedPageBreak/>
              <w:t>these other packets. Analysis to show the potential throughput gains will also be helpful.</w:t>
            </w:r>
          </w:p>
        </w:tc>
      </w:tr>
      <w:tr w:rsidR="00231145" w:rsidRPr="00B70F28" w14:paraId="0100567F" w14:textId="77777777" w:rsidTr="009878B6">
        <w:tc>
          <w:tcPr>
            <w:tcW w:w="1255"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9878B6">
        <w:tc>
          <w:tcPr>
            <w:tcW w:w="1255"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9878B6">
        <w:tc>
          <w:tcPr>
            <w:tcW w:w="1255"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bl>
    <w:p w14:paraId="2AF29256" w14:textId="0A67147F" w:rsidR="00345AE8" w:rsidRDefault="00BD0CB9" w:rsidP="00BD0CB9">
      <w:pPr>
        <w:ind w:firstLineChars="0" w:firstLine="0"/>
      </w:pPr>
      <w:r>
        <w:t xml:space="preserve"> </w:t>
      </w:r>
    </w:p>
    <w:p w14:paraId="4A649352" w14:textId="77777777" w:rsidR="00345AE8" w:rsidRDefault="00345AE8" w:rsidP="000F2A28">
      <w:pPr>
        <w:ind w:firstLineChars="0" w:firstLine="0"/>
      </w:pPr>
    </w:p>
    <w:p w14:paraId="2C72C14D" w14:textId="26533605" w:rsidR="00410D03" w:rsidRDefault="00410D03" w:rsidP="00410D03">
      <w:pPr>
        <w:pStyle w:val="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af"/>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proofErr w:type="spellStart"/>
            <w:r w:rsidRPr="00277ED2">
              <w:rPr>
                <w:sz w:val="18"/>
                <w:szCs w:val="18"/>
              </w:rPr>
              <w:t>Oppo</w:t>
            </w:r>
            <w:proofErr w:type="spellEnd"/>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af4"/>
              <w:ind w:firstLine="180"/>
              <w:rPr>
                <w:rFonts w:eastAsia="宋体"/>
                <w:sz w:val="18"/>
                <w:szCs w:val="18"/>
                <w:lang w:eastAsia="zh-CN"/>
              </w:rPr>
            </w:pPr>
            <w:r w:rsidRPr="00277ED2">
              <w:rPr>
                <w:rFonts w:eastAsia="宋体"/>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w:t>
            </w:r>
            <w:proofErr w:type="spellStart"/>
            <w:r w:rsidRPr="00277ED2">
              <w:rPr>
                <w:sz w:val="18"/>
                <w:szCs w:val="18"/>
              </w:rPr>
              <w:t>DataToUL</w:t>
            </w:r>
            <w:proofErr w:type="spellEnd"/>
            <w:r w:rsidRPr="00277ED2">
              <w:rPr>
                <w:sz w:val="18"/>
                <w:szCs w:val="18"/>
              </w:rPr>
              <w:t>-ACK.</w:t>
            </w:r>
          </w:p>
          <w:p w14:paraId="4A2A40D6" w14:textId="77777777" w:rsidR="00054389" w:rsidRPr="00277ED2" w:rsidRDefault="00054389" w:rsidP="00054389">
            <w:pPr>
              <w:pStyle w:val="af4"/>
              <w:ind w:firstLine="180"/>
              <w:rPr>
                <w:rFonts w:eastAsia="宋体"/>
                <w:sz w:val="18"/>
                <w:szCs w:val="18"/>
                <w:lang w:eastAsia="zh-CN"/>
              </w:rPr>
            </w:pPr>
            <w:r w:rsidRPr="00277ED2">
              <w:rPr>
                <w:rFonts w:eastAsia="宋体"/>
                <w:sz w:val="18"/>
                <w:szCs w:val="18"/>
                <w:lang w:eastAsia="zh-CN"/>
              </w:rPr>
              <w:t>For HARQ-ACK feedback in IoT-NTN, similar to NR-NTN, the timing relationship between PDSCH reception and HARQ-ACK feedback should be enhanced with the K_offset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af4"/>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af"/>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af4"/>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af"/>
        <w:tblW w:w="9355" w:type="dxa"/>
        <w:tblLook w:val="04A0" w:firstRow="1" w:lastRow="0" w:firstColumn="1" w:lastColumn="0" w:noHBand="0" w:noVBand="1"/>
      </w:tblPr>
      <w:tblGrid>
        <w:gridCol w:w="1255"/>
        <w:gridCol w:w="8100"/>
      </w:tblGrid>
      <w:tr w:rsidR="004010B4" w14:paraId="77248513" w14:textId="77777777" w:rsidTr="00000254">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000254">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000254">
            <w:pPr>
              <w:snapToGrid w:val="0"/>
              <w:ind w:firstLineChars="0" w:firstLine="0"/>
              <w:jc w:val="left"/>
              <w:rPr>
                <w:b/>
                <w:sz w:val="18"/>
                <w:szCs w:val="18"/>
              </w:rPr>
            </w:pPr>
            <w:r>
              <w:rPr>
                <w:b/>
                <w:sz w:val="18"/>
                <w:szCs w:val="18"/>
              </w:rPr>
              <w:t>Comments</w:t>
            </w:r>
          </w:p>
        </w:tc>
      </w:tr>
      <w:tr w:rsidR="004010B4" w:rsidRPr="00B70F28" w14:paraId="33F92C28" w14:textId="77777777" w:rsidTr="00000254">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000254">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000254">
            <w:pPr>
              <w:spacing w:beforeLines="50" w:before="120"/>
            </w:pPr>
            <w:r>
              <w:t>Support moderator proposal</w:t>
            </w:r>
          </w:p>
        </w:tc>
      </w:tr>
      <w:tr w:rsidR="00D94202" w:rsidRPr="00B70F28" w14:paraId="0EA3422C" w14:textId="77777777" w:rsidTr="00000254">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000254">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000254">
            <w:pPr>
              <w:spacing w:beforeLines="50" w:before="120"/>
            </w:pPr>
            <w:r>
              <w:t>Support the Conclusion 9-1.</w:t>
            </w:r>
          </w:p>
        </w:tc>
      </w:tr>
      <w:tr w:rsidR="003D7CD7" w:rsidRPr="00B70F28" w14:paraId="372D9451" w14:textId="77777777" w:rsidTr="00000254">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000254">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000254">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000254">
            <w:pPr>
              <w:snapToGrid w:val="0"/>
              <w:ind w:firstLineChars="0" w:firstLine="0"/>
              <w:jc w:val="left"/>
              <w:rPr>
                <w:rFonts w:eastAsia="等线" w:hint="eastAsia"/>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bookmarkStart w:id="5" w:name="_GoBack"/>
            <w:bookmarkEnd w:id="5"/>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4" w:history="1">
              <w:r w:rsidR="00953F5D" w:rsidRPr="00953F5D">
                <w:rPr>
                  <w:rStyle w:val="aa"/>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5" w:history="1">
              <w:r w:rsidR="00953F5D" w:rsidRPr="00953F5D">
                <w:rPr>
                  <w:rStyle w:val="aa"/>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Oppo</w:t>
            </w:r>
            <w:proofErr w:type="spellEnd"/>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6" w:history="1">
              <w:r w:rsidR="00953F5D" w:rsidRPr="00953F5D">
                <w:rPr>
                  <w:rStyle w:val="aa"/>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7" w:history="1">
              <w:r w:rsidR="00953F5D" w:rsidRPr="00953F5D">
                <w:rPr>
                  <w:rStyle w:val="aa"/>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 xml:space="preserve">Proposal 4: Consider </w:t>
            </w:r>
            <w:proofErr w:type="spellStart"/>
            <w:proofErr w:type="gramStart"/>
            <w:r w:rsidRPr="00C9510E">
              <w:rPr>
                <w:rFonts w:cs="Times"/>
                <w:lang w:eastAsia="x-none"/>
              </w:rPr>
              <w:t>a</w:t>
            </w:r>
            <w:proofErr w:type="spellEnd"/>
            <w:proofErr w:type="gramEnd"/>
            <w:r w:rsidRPr="00C9510E">
              <w:rPr>
                <w:rFonts w:cs="Times"/>
                <w:lang w:eastAsia="x-none"/>
              </w:rPr>
              <w:t xml:space="preserve">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8" w:history="1">
              <w:r w:rsidR="00953F5D" w:rsidRPr="00953F5D">
                <w:rPr>
                  <w:rStyle w:val="aa"/>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proofErr w:type="spellStart"/>
            <w:r w:rsidRPr="00C9510E">
              <w:rPr>
                <w:lang w:eastAsia="zh-CN"/>
              </w:rPr>
              <w:t>CEmode</w:t>
            </w:r>
            <w:r w:rsidRPr="00C9510E">
              <w:rPr>
                <w:rFonts w:hint="eastAsia"/>
                <w:lang w:eastAsia="zh-CN"/>
              </w:rPr>
              <w:t>A</w:t>
            </w:r>
            <w:proofErr w:type="spellEnd"/>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19" w:history="1">
              <w:r w:rsidR="00953F5D" w:rsidRPr="00953F5D">
                <w:rPr>
                  <w:rStyle w:val="aa"/>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0" w:history="1">
              <w:r w:rsidR="00953F5D" w:rsidRPr="00953F5D">
                <w:rPr>
                  <w:rStyle w:val="aa"/>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4: Allowing HARQ re-transmissions without disabling of UL HARQ feedback is </w:t>
            </w:r>
            <w:r w:rsidRPr="00BF5FB6">
              <w:rPr>
                <w:rFonts w:cs="Times"/>
                <w:lang w:eastAsia="x-none"/>
              </w:rPr>
              <w:lastRenderedPageBreak/>
              <w:t>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1" w:history="1">
              <w:r w:rsidR="00953F5D" w:rsidRPr="00953F5D">
                <w:rPr>
                  <w:rStyle w:val="aa"/>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2" w:history="1">
              <w:r w:rsidR="00953F5D" w:rsidRPr="00953F5D">
                <w:rPr>
                  <w:rStyle w:val="aa"/>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B664BD" w:rsidP="00953F5D">
            <w:pPr>
              <w:spacing w:before="0" w:after="0" w:line="240" w:lineRule="auto"/>
              <w:ind w:firstLineChars="0" w:firstLine="0"/>
              <w:jc w:val="left"/>
              <w:rPr>
                <w:rStyle w:val="aa"/>
                <w:rFonts w:ascii="Times" w:eastAsia="Batang" w:hAnsi="Times" w:cs="Times"/>
                <w:color w:val="000000" w:themeColor="text1"/>
                <w:kern w:val="0"/>
                <w:u w:val="none"/>
                <w:lang w:eastAsia="x-none"/>
              </w:rPr>
            </w:pPr>
            <w:hyperlink r:id="rId23" w:history="1">
              <w:r w:rsidR="00953F5D" w:rsidRPr="00953F5D">
                <w:rPr>
                  <w:rStyle w:val="aa"/>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4" w:history="1">
              <w:r w:rsidR="00953F5D" w:rsidRPr="00953F5D">
                <w:rPr>
                  <w:rStyle w:val="aa"/>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5" w:history="1">
              <w:r w:rsidR="00953F5D" w:rsidRPr="00953F5D">
                <w:rPr>
                  <w:rStyle w:val="aa"/>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lastRenderedPageBreak/>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6" w:history="1">
              <w:r w:rsidR="00953F5D" w:rsidRPr="00953F5D">
                <w:rPr>
                  <w:rStyle w:val="aa"/>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7" w:history="1">
              <w:r w:rsidR="00953F5D" w:rsidRPr="00953F5D">
                <w:rPr>
                  <w:rStyle w:val="aa"/>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8" w:history="1">
              <w:r w:rsidR="00953F5D" w:rsidRPr="00953F5D">
                <w:rPr>
                  <w:rStyle w:val="aa"/>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29" w:history="1">
              <w:r w:rsidR="00953F5D" w:rsidRPr="00953F5D">
                <w:rPr>
                  <w:rStyle w:val="aa"/>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30" w:history="1">
              <w:r w:rsidR="00953F5D" w:rsidRPr="00953F5D">
                <w:rPr>
                  <w:rStyle w:val="aa"/>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B664BD" w:rsidP="00953F5D">
            <w:pPr>
              <w:spacing w:before="0" w:after="0" w:line="240" w:lineRule="auto"/>
              <w:ind w:firstLineChars="0" w:firstLine="0"/>
              <w:jc w:val="left"/>
              <w:rPr>
                <w:rStyle w:val="aa"/>
                <w:rFonts w:ascii="Times" w:hAnsi="Times" w:cs="Times"/>
                <w:color w:val="000000" w:themeColor="text1"/>
                <w:u w:val="none"/>
                <w:lang w:eastAsia="x-none"/>
              </w:rPr>
            </w:pPr>
            <w:hyperlink r:id="rId31" w:history="1">
              <w:r w:rsidR="00953F5D" w:rsidRPr="00953F5D">
                <w:rPr>
                  <w:rStyle w:val="aa"/>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aa"/>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1: The HARQ process number can be maintained the same as legacy for both </w:t>
            </w:r>
            <w:proofErr w:type="spellStart"/>
            <w:r w:rsidRPr="001015B7">
              <w:rPr>
                <w:rFonts w:cs="Times"/>
                <w:lang w:eastAsia="x-none"/>
              </w:rPr>
              <w:t>eMTC</w:t>
            </w:r>
            <w:proofErr w:type="spellEnd"/>
            <w:r w:rsidRPr="001015B7">
              <w:rPr>
                <w:rFonts w:cs="Times"/>
                <w:lang w:eastAsia="x-none"/>
              </w:rPr>
              <w:t xml:space="preserve"> and </w:t>
            </w:r>
            <w:proofErr w:type="spellStart"/>
            <w:r w:rsidRPr="001015B7">
              <w:rPr>
                <w:rFonts w:cs="Times"/>
                <w:lang w:eastAsia="x-none"/>
              </w:rPr>
              <w:t>NBIoT</w:t>
            </w:r>
            <w:proofErr w:type="spellEnd"/>
            <w:r w:rsidRPr="001015B7">
              <w:rPr>
                <w:rFonts w:cs="Times"/>
                <w:lang w:eastAsia="x-none"/>
              </w:rPr>
              <w: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2: At least for </w:t>
            </w:r>
            <w:proofErr w:type="spellStart"/>
            <w:r w:rsidRPr="001015B7">
              <w:rPr>
                <w:rFonts w:cs="Times"/>
                <w:lang w:eastAsia="x-none"/>
              </w:rPr>
              <w:t>NBIoT</w:t>
            </w:r>
            <w:proofErr w:type="spellEnd"/>
            <w:r w:rsidRPr="001015B7">
              <w:rPr>
                <w:rFonts w:cs="Times"/>
                <w:lang w:eastAsia="x-none"/>
              </w:rPr>
              <w:t xml:space="preserve">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1"/>
        <w:numPr>
          <w:ilvl w:val="0"/>
          <w:numId w:val="0"/>
        </w:numPr>
        <w:spacing w:before="180"/>
        <w:ind w:left="432" w:hanging="432"/>
        <w:jc w:val="both"/>
        <w:rPr>
          <w:sz w:val="32"/>
          <w:lang w:val="en-US" w:eastAsia="ko-KR"/>
        </w:rPr>
      </w:pPr>
      <w:r w:rsidRPr="00F40EEC">
        <w:rPr>
          <w:rFonts w:hint="eastAsia"/>
          <w:sz w:val="32"/>
          <w:lang w:val="en-US" w:eastAsia="ko-KR"/>
        </w:rPr>
        <w:lastRenderedPageBreak/>
        <w:t>References</w:t>
      </w:r>
    </w:p>
    <w:p w14:paraId="4A7A51EF" w14:textId="34C053F0" w:rsidR="00231B58" w:rsidRDefault="00231B58" w:rsidP="00424833">
      <w:pPr>
        <w:pStyle w:val="af9"/>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w:t>
      </w:r>
      <w:proofErr w:type="spellStart"/>
      <w:r w:rsidR="00424833" w:rsidRPr="00424833">
        <w:rPr>
          <w:rFonts w:ascii="Times" w:hAnsi="Times" w:cs="Times"/>
          <w:color w:val="000000" w:themeColor="text1"/>
          <w:sz w:val="20"/>
          <w:szCs w:val="20"/>
          <w:lang w:eastAsia="x-none"/>
        </w:rPr>
        <w:t>IoT</w:t>
      </w:r>
      <w:proofErr w:type="spellEnd"/>
      <w:r w:rsidR="00424833" w:rsidRPr="00424833">
        <w:rPr>
          <w:rFonts w:ascii="Times" w:hAnsi="Times" w:cs="Times"/>
          <w:color w:val="000000" w:themeColor="text1"/>
          <w:sz w:val="20"/>
          <w:szCs w:val="20"/>
          <w:lang w:eastAsia="x-none"/>
        </w:rPr>
        <w:t>/</w:t>
      </w:r>
      <w:proofErr w:type="spellStart"/>
      <w:r w:rsidR="00424833" w:rsidRPr="00424833">
        <w:rPr>
          <w:rFonts w:ascii="Times" w:hAnsi="Times" w:cs="Times"/>
          <w:color w:val="000000" w:themeColor="text1"/>
          <w:sz w:val="20"/>
          <w:szCs w:val="20"/>
          <w:lang w:eastAsia="x-none"/>
        </w:rPr>
        <w:t>eTMC</w:t>
      </w:r>
      <w:proofErr w:type="spellEnd"/>
      <w:r w:rsidR="00424833" w:rsidRPr="00424833">
        <w:rPr>
          <w:rFonts w:ascii="Times" w:hAnsi="Times" w:cs="Times"/>
          <w:color w:val="000000" w:themeColor="text1"/>
          <w:sz w:val="20"/>
          <w:szCs w:val="20"/>
          <w:lang w:eastAsia="x-none"/>
        </w:rPr>
        <w:t xml:space="preserve">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af9"/>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w:t>
      </w:r>
      <w:proofErr w:type="spellStart"/>
      <w:r w:rsidRPr="007B785C">
        <w:rPr>
          <w:rFonts w:ascii="Times" w:hAnsi="Times" w:cs="Times"/>
          <w:color w:val="000000" w:themeColor="text1"/>
          <w:sz w:val="20"/>
          <w:szCs w:val="20"/>
          <w:lang w:eastAsia="x-none"/>
        </w:rPr>
        <w:t>NTN_IoT_roadmap</w:t>
      </w:r>
      <w:proofErr w:type="spellEnd"/>
      <w:r w:rsidRPr="007B785C">
        <w:rPr>
          <w:rFonts w:ascii="Times" w:hAnsi="Times" w:cs="Times"/>
          <w:color w:val="000000" w:themeColor="text1"/>
          <w:sz w:val="20"/>
          <w:szCs w:val="20"/>
          <w:lang w:eastAsia="x-none"/>
        </w:rPr>
        <w:t>], Ericsson</w:t>
      </w:r>
    </w:p>
    <w:p w14:paraId="32A30AC1" w14:textId="1FE96CC2" w:rsidR="00424833" w:rsidRDefault="00424833" w:rsidP="00231B58">
      <w:pPr>
        <w:pStyle w:val="af9"/>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B664BD" w:rsidP="0038247E">
      <w:pPr>
        <w:pStyle w:val="af9"/>
        <w:numPr>
          <w:ilvl w:val="0"/>
          <w:numId w:val="6"/>
        </w:numPr>
        <w:spacing w:before="0" w:line="240" w:lineRule="auto"/>
        <w:ind w:firstLineChars="0"/>
        <w:rPr>
          <w:rFonts w:ascii="Times" w:hAnsi="Times" w:cs="Times"/>
          <w:color w:val="000000" w:themeColor="text1"/>
          <w:sz w:val="20"/>
          <w:szCs w:val="20"/>
          <w:lang w:eastAsia="x-none"/>
        </w:rPr>
      </w:pPr>
      <w:hyperlink r:id="rId32" w:history="1">
        <w:r w:rsidR="0038247E" w:rsidRPr="0038247E">
          <w:rPr>
            <w:rStyle w:val="aa"/>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af9"/>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24"/>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af8"/>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3"/>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E24A13">
            <w:pPr>
              <w:numPr>
                <w:ilvl w:val="0"/>
                <w:numId w:val="34"/>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E24A13">
            <w:pPr>
              <w:numPr>
                <w:ilvl w:val="0"/>
                <w:numId w:val="35"/>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E24A13">
            <w:pPr>
              <w:numPr>
                <w:ilvl w:val="1"/>
                <w:numId w:val="35"/>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lastRenderedPageBreak/>
              <w:t>The motivation for introducing HARQ enhancements in NR NTN needs further consideration for HARQ enhancements in NTN IoT. Capture the following in the TR:</w:t>
            </w:r>
          </w:p>
          <w:p w14:paraId="2B7822F5" w14:textId="77777777" w:rsidR="00E24A13" w:rsidRPr="00C457C1" w:rsidRDefault="00E24A13" w:rsidP="00E24A13">
            <w:pPr>
              <w:numPr>
                <w:ilvl w:val="0"/>
                <w:numId w:val="36"/>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E24A13">
            <w:pPr>
              <w:numPr>
                <w:ilvl w:val="0"/>
                <w:numId w:val="36"/>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E24A13">
            <w:pPr>
              <w:numPr>
                <w:ilvl w:val="0"/>
                <w:numId w:val="37"/>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E24A13">
            <w:pPr>
              <w:numPr>
                <w:ilvl w:val="1"/>
                <w:numId w:val="37"/>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E24A13">
            <w:pPr>
              <w:numPr>
                <w:ilvl w:val="0"/>
                <w:numId w:val="38"/>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E24A13">
            <w:pPr>
              <w:numPr>
                <w:ilvl w:val="1"/>
                <w:numId w:val="38"/>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E24A13">
            <w:pPr>
              <w:numPr>
                <w:ilvl w:val="1"/>
                <w:numId w:val="38"/>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E24A13">
            <w:pPr>
              <w:numPr>
                <w:ilvl w:val="2"/>
                <w:numId w:val="37"/>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E24A13">
            <w:pPr>
              <w:numPr>
                <w:ilvl w:val="0"/>
                <w:numId w:val="37"/>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E24A13">
            <w:pPr>
              <w:numPr>
                <w:ilvl w:val="0"/>
                <w:numId w:val="37"/>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af"/>
        <w:tblW w:w="0" w:type="auto"/>
        <w:tblInd w:w="720" w:type="dxa"/>
        <w:tblLook w:val="04A0" w:firstRow="1" w:lastRow="0" w:firstColumn="1" w:lastColumn="0" w:noHBand="0" w:noVBand="1"/>
      </w:tblPr>
      <w:tblGrid>
        <w:gridCol w:w="9062"/>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9"/>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af"/>
        <w:tblW w:w="0" w:type="auto"/>
        <w:tblInd w:w="720" w:type="dxa"/>
        <w:tblLook w:val="04A0" w:firstRow="1" w:lastRow="0" w:firstColumn="1" w:lastColumn="0" w:noHBand="0" w:noVBand="1"/>
      </w:tblPr>
      <w:tblGrid>
        <w:gridCol w:w="9062"/>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8"/>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af"/>
        <w:tblW w:w="0" w:type="auto"/>
        <w:tblInd w:w="720" w:type="dxa"/>
        <w:tblLook w:val="04A0" w:firstRow="1" w:lastRow="0" w:firstColumn="1" w:lastColumn="0" w:noHBand="0" w:noVBand="1"/>
      </w:tblPr>
      <w:tblGrid>
        <w:gridCol w:w="9062"/>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3"/>
      <w:footerReference w:type="default" r:id="rId3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B4D5C" w14:textId="77777777" w:rsidR="00B664BD" w:rsidRDefault="00B664BD" w:rsidP="007378B8">
      <w:r>
        <w:separator/>
      </w:r>
    </w:p>
  </w:endnote>
  <w:endnote w:type="continuationSeparator" w:id="0">
    <w:p w14:paraId="00C2E146" w14:textId="77777777" w:rsidR="00B664BD" w:rsidRDefault="00B664B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8F65" w14:textId="69BE5486" w:rsidR="009878B6" w:rsidRDefault="009878B6">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D74BFC">
      <w:rPr>
        <w:rStyle w:val="af2"/>
        <w:i/>
        <w:color w:val="auto"/>
      </w:rPr>
      <w:t>14</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7F56C" w14:textId="77777777" w:rsidR="00B664BD" w:rsidRDefault="00B664BD" w:rsidP="007378B8">
      <w:r>
        <w:separator/>
      </w:r>
    </w:p>
  </w:footnote>
  <w:footnote w:type="continuationSeparator" w:id="0">
    <w:p w14:paraId="3AD934D6" w14:textId="77777777" w:rsidR="00B664BD" w:rsidRDefault="00B664BD"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6BB5" w14:textId="77777777" w:rsidR="009878B6" w:rsidRDefault="009878B6"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E5AF6"/>
    <w:multiLevelType w:val="hybridMultilevel"/>
    <w:tmpl w:val="D31A40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5AA0"/>
    <w:multiLevelType w:val="hybridMultilevel"/>
    <w:tmpl w:val="FB185BB8"/>
    <w:lvl w:ilvl="0" w:tplc="AC968F4C">
      <w:start w:val="3"/>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25113D"/>
    <w:multiLevelType w:val="hybridMultilevel"/>
    <w:tmpl w:val="375872B0"/>
    <w:lvl w:ilvl="0" w:tplc="8C68F360">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4">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A53F5"/>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nsid w:val="3CB229F3"/>
    <w:multiLevelType w:val="hybridMultilevel"/>
    <w:tmpl w:val="1E668326"/>
    <w:lvl w:ilvl="0" w:tplc="1758F12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nsid w:val="3D800D67"/>
    <w:multiLevelType w:val="hybridMultilevel"/>
    <w:tmpl w:val="F4FE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C85326"/>
    <w:multiLevelType w:val="hybridMultilevel"/>
    <w:tmpl w:val="4D3EB17A"/>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nsid w:val="563A2DCF"/>
    <w:multiLevelType w:val="hybridMultilevel"/>
    <w:tmpl w:val="167E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A433A"/>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3">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CC610E"/>
    <w:multiLevelType w:val="hybridMultilevel"/>
    <w:tmpl w:val="5BE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77A36BDB"/>
    <w:multiLevelType w:val="hybridMultilevel"/>
    <w:tmpl w:val="F7D41F68"/>
    <w:lvl w:ilvl="0" w:tplc="F414313C">
      <w:start w:val="1"/>
      <w:numFmt w:val="bullet"/>
      <w:lvlText w:val="-"/>
      <w:lvlJc w:val="left"/>
      <w:pPr>
        <w:ind w:left="920" w:hanging="360"/>
      </w:pPr>
      <w:rPr>
        <w:rFonts w:ascii="Times New Roman" w:eastAsia="Malgun Gothic"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1">
    <w:nsid w:val="7B80260F"/>
    <w:multiLevelType w:val="hybridMultilevel"/>
    <w:tmpl w:val="89BC6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4">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42"/>
  </w:num>
  <w:num w:numId="3">
    <w:abstractNumId w:val="12"/>
  </w:num>
  <w:num w:numId="4">
    <w:abstractNumId w:val="28"/>
  </w:num>
  <w:num w:numId="5">
    <w:abstractNumId w:val="1"/>
  </w:num>
  <w:num w:numId="6">
    <w:abstractNumId w:val="6"/>
  </w:num>
  <w:num w:numId="7">
    <w:abstractNumId w:val="38"/>
  </w:num>
  <w:num w:numId="8">
    <w:abstractNumId w:val="2"/>
  </w:num>
  <w:num w:numId="9">
    <w:abstractNumId w:val="7"/>
  </w:num>
  <w:num w:numId="10">
    <w:abstractNumId w:val="34"/>
  </w:num>
  <w:num w:numId="11">
    <w:abstractNumId w:val="22"/>
  </w:num>
  <w:num w:numId="12">
    <w:abstractNumId w:val="24"/>
  </w:num>
  <w:num w:numId="13">
    <w:abstractNumId w:val="36"/>
  </w:num>
  <w:num w:numId="14">
    <w:abstractNumId w:val="10"/>
  </w:num>
  <w:num w:numId="15">
    <w:abstractNumId w:val="35"/>
  </w:num>
  <w:num w:numId="16">
    <w:abstractNumId w:val="16"/>
  </w:num>
  <w:num w:numId="17">
    <w:abstractNumId w:val="3"/>
  </w:num>
  <w:num w:numId="18">
    <w:abstractNumId w:val="15"/>
  </w:num>
  <w:num w:numId="19">
    <w:abstractNumId w:val="33"/>
  </w:num>
  <w:num w:numId="20">
    <w:abstractNumId w:val="40"/>
  </w:num>
  <w:num w:numId="21">
    <w:abstractNumId w:val="37"/>
  </w:num>
  <w:num w:numId="22">
    <w:abstractNumId w:val="19"/>
  </w:num>
  <w:num w:numId="23">
    <w:abstractNumId w:val="29"/>
  </w:num>
  <w:num w:numId="24">
    <w:abstractNumId w:val="17"/>
  </w:num>
  <w:num w:numId="25">
    <w:abstractNumId w:val="27"/>
  </w:num>
  <w:num w:numId="26">
    <w:abstractNumId w:val="21"/>
  </w:num>
  <w:num w:numId="27">
    <w:abstractNumId w:val="41"/>
  </w:num>
  <w:num w:numId="28">
    <w:abstractNumId w:val="23"/>
  </w:num>
  <w:num w:numId="29">
    <w:abstractNumId w:val="23"/>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32"/>
  </w:num>
  <w:num w:numId="33">
    <w:abstractNumId w:val="11"/>
  </w:num>
  <w:num w:numId="34">
    <w:abstractNumId w:val="31"/>
  </w:num>
  <w:num w:numId="35">
    <w:abstractNumId w:val="14"/>
  </w:num>
  <w:num w:numId="36">
    <w:abstractNumId w:val="9"/>
  </w:num>
  <w:num w:numId="37">
    <w:abstractNumId w:val="25"/>
  </w:num>
  <w:num w:numId="38">
    <w:abstractNumId w:val="4"/>
  </w:num>
  <w:num w:numId="39">
    <w:abstractNumId w:val="30"/>
  </w:num>
  <w:num w:numId="40">
    <w:abstractNumId w:val="13"/>
  </w:num>
  <w:num w:numId="41">
    <w:abstractNumId w:val="44"/>
  </w:num>
  <w:num w:numId="42">
    <w:abstractNumId w:val="26"/>
  </w:num>
  <w:num w:numId="43">
    <w:abstractNumId w:val="18"/>
  </w:num>
  <w:num w:numId="44">
    <w:abstractNumId w:val="20"/>
  </w:num>
  <w:num w:numId="45">
    <w:abstractNumId w:val="43"/>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3A"/>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a"/>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912206"/>
    <w:rPr>
      <w:rFonts w:ascii="Arial" w:hAnsi="Arial"/>
      <w:sz w:val="28"/>
      <w:lang w:val="en-GB" w:eastAsia="en-US"/>
    </w:rPr>
  </w:style>
  <w:style w:type="table" w:customStyle="1" w:styleId="TableGrid11">
    <w:name w:val="Table Grid11"/>
    <w:basedOn w:val="a1"/>
    <w:next w:val="af"/>
    <w:uiPriority w:val="39"/>
    <w:rsid w:val="00912206"/>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1e/Docs/RP-210915.zip" TargetMode="External"/><Relationship Id="rId18" Type="http://schemas.openxmlformats.org/officeDocument/2006/relationships/hyperlink" Target="file:///C:\Users\wanshic\OneDrive%20-%20Qualcomm\Documents\Standards\3GPP%20Standards\Meeting%20Documents\TSGR1_104b\Docs\R1-2102620.zip" TargetMode="External"/><Relationship Id="rId26" Type="http://schemas.openxmlformats.org/officeDocument/2006/relationships/hyperlink" Target="file:///C:\Users\wanshic\OneDrive%20-%20Qualcomm\Documents\Standards\3GPP%20Standards\Meeting%20Documents\TSGR1_104b\Docs\R1-210307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34.zip"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551.zip" TargetMode="External"/><Relationship Id="rId25" Type="http://schemas.openxmlformats.org/officeDocument/2006/relationships/hyperlink" Target="file:///C:\Users\wanshic\OneDrive%20-%20Qualcomm\Documents\Standards\3GPP%20Standards\Meeting%20Documents\TSGR1_104b\Docs\R1-2103063.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75.zip" TargetMode="External"/><Relationship Id="rId20" Type="http://schemas.openxmlformats.org/officeDocument/2006/relationships/hyperlink" Target="file:///C:\Users\wanshic\OneDrive%20-%20Qualcomm\Documents\Standards\3GPP%20Standards\Meeting%20Documents\TSGR1_104b\Docs\R1-2102757.zip" TargetMode="External"/><Relationship Id="rId29" Type="http://schemas.openxmlformats.org/officeDocument/2006/relationships/hyperlink" Target="file:///C:\Users\wanshic\OneDrive%20-%20Qualcomm\Documents\Standards\3GPP%20Standards\Meeting%20Documents\TSGR1_104b\Docs\R1-21032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975.zip" TargetMode="External"/><Relationship Id="rId32" Type="http://schemas.openxmlformats.org/officeDocument/2006/relationships/hyperlink" Target="file:///C:\Users\wanshic\OneDrive%20-%20Qualcomm\Documents\Standards\3GPP%20Standards\Meeting%20Documents\TSGR1_104b\Docs\R1-2102551.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25.zip" TargetMode="External"/><Relationship Id="rId23" Type="http://schemas.openxmlformats.org/officeDocument/2006/relationships/hyperlink" Target="file:///C:\Users\wanshic\OneDrive%20-%20Qualcomm\Documents\Standards\3GPP%20Standards\Meeting%20Documents\TSGR1_104b\Docs\R1-2102919.zip" TargetMode="External"/><Relationship Id="rId28" Type="http://schemas.openxmlformats.org/officeDocument/2006/relationships/hyperlink" Target="file:///C:\Users\wanshic\OneDrive%20-%20Qualcomm\Documents\Standards\3GPP%20Standards\Meeting%20Documents\TSGR1_104b\Docs\R1-2103269.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738.zip" TargetMode="External"/><Relationship Id="rId31" Type="http://schemas.openxmlformats.org/officeDocument/2006/relationships/hyperlink" Target="file:///C:\Users\wanshic\OneDrive%20-%20Qualcomm\Documents\Standards\3GPP%20Standards\Meeting%20Documents\TSGR1_104b\Docs\R1-21035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46.zip" TargetMode="External"/><Relationship Id="rId22" Type="http://schemas.openxmlformats.org/officeDocument/2006/relationships/hyperlink" Target="file:///C:\Users\wanshic\OneDrive%20-%20Qualcomm\Documents\Standards\3GPP%20Standards\Meeting%20Documents\TSGR1_104b\Docs\R1-2102908.zip" TargetMode="External"/><Relationship Id="rId27" Type="http://schemas.openxmlformats.org/officeDocument/2006/relationships/hyperlink" Target="file:///C:\Users\wanshic\OneDrive%20-%20Qualcomm\Documents\Standards\3GPP%20Standards\Meeting%20Documents\TSGR1_104b\Docs\R1-2103135.zip" TargetMode="External"/><Relationship Id="rId30" Type="http://schemas.openxmlformats.org/officeDocument/2006/relationships/hyperlink" Target="file:///C:\Users\wanshic\OneDrive%20-%20Qualcomm\Documents\Standards\3GPP%20Standards\Meeting%20Documents\TSGR1_104b\Docs\R1-2103321.zip" TargetMode="External"/><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C8CB0-854A-4B42-8BB9-EC4E3575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8444</Words>
  <Characters>48135</Characters>
  <Application>Microsoft Office Word</Application>
  <DocSecurity>0</DocSecurity>
  <Lines>401</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56467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缪德山</cp:lastModifiedBy>
  <cp:revision>4</cp:revision>
  <dcterms:created xsi:type="dcterms:W3CDTF">2021-04-13T15:07:00Z</dcterms:created>
  <dcterms:modified xsi:type="dcterms:W3CDTF">2021-04-13T15:10:00Z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