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CC288" w14:textId="2863FBCB" w:rsidR="003D1563" w:rsidRPr="005E4A1D" w:rsidRDefault="003D1563" w:rsidP="003D156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2"/>
        </w:rPr>
      </w:pPr>
      <w:r w:rsidRPr="005E4A1D">
        <w:rPr>
          <w:rFonts w:ascii="Arial" w:hAnsi="Arial" w:cs="Arial"/>
          <w:b/>
          <w:bCs/>
          <w:sz w:val="24"/>
          <w:szCs w:val="22"/>
        </w:rPr>
        <w:t>3GPP TSG RAN WG1 #104</w:t>
      </w:r>
      <w:r w:rsidR="005A521C" w:rsidRPr="005E4A1D">
        <w:rPr>
          <w:rFonts w:ascii="Arial" w:hAnsi="Arial" w:cs="Arial"/>
          <w:b/>
          <w:bCs/>
          <w:sz w:val="24"/>
          <w:szCs w:val="22"/>
        </w:rPr>
        <w:t>b</w:t>
      </w:r>
      <w:r w:rsidRPr="005E4A1D">
        <w:rPr>
          <w:rFonts w:ascii="Arial" w:hAnsi="Arial" w:cs="Arial"/>
          <w:b/>
          <w:bCs/>
          <w:sz w:val="24"/>
          <w:szCs w:val="22"/>
        </w:rPr>
        <w:t>-e</w:t>
      </w:r>
      <w:r w:rsidRPr="005E4A1D">
        <w:rPr>
          <w:rFonts w:ascii="Arial" w:hAnsi="Arial" w:cs="Arial"/>
          <w:b/>
          <w:bCs/>
          <w:sz w:val="24"/>
          <w:szCs w:val="22"/>
        </w:rPr>
        <w:tab/>
      </w:r>
      <w:r w:rsidRPr="005E4A1D">
        <w:rPr>
          <w:rFonts w:ascii="Arial" w:hAnsi="Arial" w:cs="Arial"/>
          <w:b/>
          <w:bCs/>
          <w:sz w:val="24"/>
          <w:szCs w:val="22"/>
        </w:rPr>
        <w:tab/>
      </w:r>
      <w:r w:rsidR="002B03FB" w:rsidRPr="005E4A1D">
        <w:rPr>
          <w:rFonts w:ascii="Arial" w:hAnsi="Arial" w:cs="Arial"/>
          <w:b/>
          <w:bCs/>
          <w:sz w:val="24"/>
          <w:szCs w:val="22"/>
        </w:rPr>
        <w:t>R1-21</w:t>
      </w:r>
      <w:r w:rsidR="00516B10">
        <w:rPr>
          <w:rFonts w:ascii="Arial" w:hAnsi="Arial" w:cs="Arial"/>
          <w:b/>
          <w:bCs/>
          <w:sz w:val="24"/>
          <w:szCs w:val="22"/>
        </w:rPr>
        <w:t>03641</w:t>
      </w:r>
    </w:p>
    <w:p w14:paraId="2A4FB5FF" w14:textId="435D1320" w:rsidR="003D1563" w:rsidRPr="005E4A1D" w:rsidRDefault="003D1563" w:rsidP="003D156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2"/>
          <w:lang w:eastAsia="ja-JP"/>
        </w:rPr>
      </w:pPr>
      <w:r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e-Meeting, </w:t>
      </w:r>
      <w:r w:rsidR="005A521C"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>Apri</w:t>
      </w:r>
      <w:r w:rsidR="00930BF1"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l </w:t>
      </w:r>
      <w:r w:rsidR="005A521C"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>12</w:t>
      </w:r>
      <w:r w:rsidR="005E4A1D" w:rsidRPr="005E4A1D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 – </w:t>
      </w:r>
      <w:r w:rsidR="005A521C"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>20</w:t>
      </w:r>
      <w:r w:rsidRPr="005E4A1D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>, 2021</w:t>
      </w:r>
    </w:p>
    <w:p w14:paraId="564BD8E9" w14:textId="77777777" w:rsidR="003D1563" w:rsidRPr="000833FA" w:rsidRDefault="003D1563" w:rsidP="003D1563">
      <w:pPr>
        <w:pStyle w:val="Header"/>
      </w:pPr>
    </w:p>
    <w:p w14:paraId="36CD4B18" w14:textId="77777777" w:rsidR="003D1563" w:rsidRPr="0003368D" w:rsidRDefault="003D1563" w:rsidP="003D1563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7CC6B97F" w14:textId="6946B1EF" w:rsidR="003D1563" w:rsidRPr="00E220C0" w:rsidRDefault="003D1563" w:rsidP="003D1563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2B03FB" w:rsidRPr="002B03FB">
        <w:t>Maintenance for Rel-16 MR-DC and CA enhancements</w:t>
      </w:r>
    </w:p>
    <w:p w14:paraId="6EC73EE9" w14:textId="77777777" w:rsidR="003D1563" w:rsidRPr="00E220C0" w:rsidRDefault="003D1563" w:rsidP="003D1563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>
        <w:t>7.2.10</w:t>
      </w:r>
    </w:p>
    <w:p w14:paraId="6CC5618F" w14:textId="77777777" w:rsidR="003D1563" w:rsidRPr="0003368D" w:rsidRDefault="003D1563" w:rsidP="003D1563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6B3CA0F5" w14:textId="77777777" w:rsidR="003D1563" w:rsidRPr="002100D2" w:rsidRDefault="003D1563" w:rsidP="003D1563">
      <w:pPr>
        <w:pBdr>
          <w:bottom w:val="single" w:sz="4" w:space="1" w:color="auto"/>
        </w:pBdr>
        <w:tabs>
          <w:tab w:val="left" w:pos="2552"/>
        </w:tabs>
      </w:pPr>
    </w:p>
    <w:p w14:paraId="0FF7DA82" w14:textId="77777777" w:rsidR="003D1563" w:rsidRDefault="003D1563" w:rsidP="003D1563">
      <w:pPr>
        <w:pStyle w:val="Heading1"/>
        <w:spacing w:before="180"/>
        <w:ind w:left="562" w:hanging="562"/>
      </w:pPr>
      <w:r>
        <w:t>Introduction</w:t>
      </w:r>
    </w:p>
    <w:p w14:paraId="32865850" w14:textId="48317C58" w:rsidR="003D1563" w:rsidRPr="00E537D4" w:rsidRDefault="005A521C" w:rsidP="003D1563">
      <w:pPr>
        <w:pStyle w:val="BodyText"/>
      </w:pPr>
      <w:r>
        <w:t xml:space="preserve">In [1], an LS was received from RAN4 about the parameter </w:t>
      </w:r>
      <w:r w:rsidRPr="005A521C">
        <w:rPr>
          <w:i/>
          <w:iCs/>
        </w:rPr>
        <w:t>p-NR-FR2</w:t>
      </w:r>
      <w:r>
        <w:t xml:space="preserve"> related to NR-DC power control used in RAN1 and RAN2 specs. In this document, we discuss how to handle the RAN4 input from RAN1 spec perspective.</w:t>
      </w:r>
    </w:p>
    <w:p w14:paraId="2E54E658" w14:textId="73459E4C" w:rsidR="003D1563" w:rsidRDefault="003D1563" w:rsidP="003D1563">
      <w:pPr>
        <w:pStyle w:val="Heading1"/>
        <w:tabs>
          <w:tab w:val="num" w:pos="3544"/>
        </w:tabs>
        <w:spacing w:before="180"/>
        <w:ind w:left="562" w:hanging="562"/>
      </w:pPr>
      <w:r>
        <w:t>Discussion</w:t>
      </w:r>
    </w:p>
    <w:p w14:paraId="3255BCF7" w14:textId="4DE33381" w:rsidR="005A521C" w:rsidRDefault="005A521C" w:rsidP="005A521C">
      <w:pPr>
        <w:pStyle w:val="BodyText"/>
      </w:pPr>
      <w:r>
        <w:t>The LS in [1] provides below input and according to the LS -- “RAN4 does not introduce the parameter p-NR-FR2 in Rel16”.</w:t>
      </w:r>
    </w:p>
    <w:p w14:paraId="4ED08E32" w14:textId="6BB30BF7" w:rsidR="005A521C" w:rsidRDefault="005A521C" w:rsidP="005A521C">
      <w:pPr>
        <w:pStyle w:val="BodyText"/>
        <w:jc w:val="center"/>
      </w:pPr>
      <w:r>
        <w:rPr>
          <w:noProof/>
        </w:rPr>
        <w:drawing>
          <wp:inline distT="0" distB="0" distL="0" distR="0" wp14:anchorId="4EDEEE7A" wp14:editId="2BB36A8F">
            <wp:extent cx="4808220" cy="2316659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4491" cy="2324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8124D" w14:textId="3559F80D" w:rsidR="005A521C" w:rsidRDefault="00F02FDB" w:rsidP="006907C7">
      <w:pPr>
        <w:pStyle w:val="BodyText"/>
      </w:pPr>
      <w:r>
        <w:t>The parameter is used 38.213 subclause 7.6.2 as shown in below text excerpt.</w:t>
      </w:r>
    </w:p>
    <w:p w14:paraId="7D290E94" w14:textId="2A170FD5" w:rsidR="005A521C" w:rsidRPr="005A521C" w:rsidRDefault="00F02FDB" w:rsidP="00D81D6C">
      <w:pPr>
        <w:pStyle w:val="BodyText"/>
        <w:ind w:left="720"/>
        <w:jc w:val="left"/>
        <w:rPr>
          <w:lang w:val="en-GB"/>
        </w:rPr>
      </w:pPr>
      <w:r>
        <w:rPr>
          <w:lang w:val="en-GB"/>
        </w:rPr>
        <w:t>“</w:t>
      </w:r>
      <w:r w:rsidR="005A521C" w:rsidRPr="005A521C">
        <w:rPr>
          <w:lang w:val="en-GB"/>
        </w:rPr>
        <w:t xml:space="preserve">If a UE is configured with an MCG and a SCG using </w:t>
      </w:r>
      <w:r w:rsidR="005A521C" w:rsidRPr="005A521C">
        <w:t>NR</w:t>
      </w:r>
      <w:r w:rsidR="005A521C" w:rsidRPr="005A521C">
        <w:rPr>
          <w:lang w:val="en-GB"/>
        </w:rPr>
        <w:t xml:space="preserve"> radio access </w:t>
      </w:r>
      <w:r w:rsidR="005A521C" w:rsidRPr="005A521C">
        <w:t xml:space="preserve">in FR1 and/or in FR2, </w:t>
      </w:r>
      <w:r w:rsidR="005A521C" w:rsidRPr="005A521C">
        <w:rPr>
          <w:lang w:val="en-GB"/>
        </w:rPr>
        <w:t xml:space="preserve">the UE is configured a maximum power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m:rPr>
                <m:nor/>
              </m:rPr>
              <w:rPr>
                <w:lang w:val="en-GB"/>
              </w:rPr>
              <m:t>MCG</m:t>
            </m:r>
            <m:ctrlPr>
              <w:rPr>
                <w:rFonts w:ascii="Cambria Math" w:hAnsi="Cambria Math"/>
                <w:lang w:val="en-GB"/>
              </w:rPr>
            </m:ctrlPr>
          </m:sub>
        </m:sSub>
      </m:oMath>
      <w:r w:rsidR="005A521C" w:rsidRPr="005A521C">
        <w:rPr>
          <w:lang w:val="en-GB"/>
        </w:rPr>
        <w:t xml:space="preserve"> for transmissions on the MCG by </w:t>
      </w:r>
      <w:r w:rsidR="005A521C" w:rsidRPr="005A521C">
        <w:rPr>
          <w:i/>
          <w:lang w:val="en-GB"/>
        </w:rPr>
        <w:t>p-NR-FR1</w:t>
      </w:r>
      <w:r w:rsidR="005A521C" w:rsidRPr="005A521C">
        <w:rPr>
          <w:lang w:val="en-GB"/>
        </w:rPr>
        <w:t xml:space="preserve"> and/or by </w:t>
      </w:r>
      <w:r w:rsidR="005A521C" w:rsidRPr="005A521C">
        <w:rPr>
          <w:i/>
          <w:lang w:val="en-GB"/>
        </w:rPr>
        <w:t>p-NR-FR2</w:t>
      </w:r>
      <w:r w:rsidR="005A521C" w:rsidRPr="005A521C">
        <w:rPr>
          <w:lang w:val="en-GB"/>
        </w:rPr>
        <w:t xml:space="preserve"> and a maximum power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m:rPr>
                <m:nor/>
              </m:rPr>
              <w:rPr>
                <w:lang w:val="en-GB"/>
              </w:rPr>
              <m:t>SCG</m:t>
            </m:r>
            <m:ctrlPr>
              <w:rPr>
                <w:rFonts w:ascii="Cambria Math" w:hAnsi="Cambria Math"/>
                <w:lang w:val="en-GB"/>
              </w:rPr>
            </m:ctrlPr>
          </m:sub>
        </m:sSub>
      </m:oMath>
      <w:r w:rsidR="005A521C" w:rsidRPr="005A521C">
        <w:rPr>
          <w:lang w:val="en-GB"/>
        </w:rPr>
        <w:t xml:space="preserve"> for transmissions on the SCG by </w:t>
      </w:r>
      <w:r w:rsidR="005A521C" w:rsidRPr="005A521C">
        <w:rPr>
          <w:i/>
          <w:lang w:val="en-GB"/>
        </w:rPr>
        <w:t>p-NR-FR1</w:t>
      </w:r>
      <w:r w:rsidR="005A521C" w:rsidRPr="005A521C">
        <w:rPr>
          <w:iCs/>
          <w:lang w:val="en-GB"/>
        </w:rPr>
        <w:t xml:space="preserve"> </w:t>
      </w:r>
      <w:r w:rsidR="005A521C" w:rsidRPr="005A521C">
        <w:rPr>
          <w:lang w:val="en-GB"/>
        </w:rPr>
        <w:t xml:space="preserve">and/or by </w:t>
      </w:r>
      <w:r w:rsidR="005A521C" w:rsidRPr="005A521C">
        <w:rPr>
          <w:i/>
          <w:lang w:val="en-GB"/>
        </w:rPr>
        <w:t>p-NR-FR2</w:t>
      </w:r>
      <w:r w:rsidR="005A521C" w:rsidRPr="005A521C">
        <w:rPr>
          <w:lang w:val="en-GB"/>
        </w:rPr>
        <w:t xml:space="preserve"> and with an inter-CG power sharing mode by </w:t>
      </w:r>
      <w:r w:rsidR="005A521C" w:rsidRPr="005A521C">
        <w:rPr>
          <w:i/>
          <w:iCs/>
          <w:lang w:val="en-GB"/>
        </w:rPr>
        <w:t>nrdc-PCmode-FR1</w:t>
      </w:r>
      <w:r w:rsidR="005A521C" w:rsidRPr="005A521C">
        <w:rPr>
          <w:iCs/>
          <w:lang w:val="en-GB"/>
        </w:rPr>
        <w:t xml:space="preserve"> for FR1 and/or </w:t>
      </w:r>
      <w:r w:rsidR="005A521C" w:rsidRPr="005A521C">
        <w:rPr>
          <w:lang w:val="en-GB"/>
        </w:rPr>
        <w:t xml:space="preserve">by </w:t>
      </w:r>
      <w:r w:rsidR="005A521C" w:rsidRPr="005A521C">
        <w:rPr>
          <w:i/>
          <w:iCs/>
          <w:lang w:val="en-GB"/>
        </w:rPr>
        <w:t>nrdc-PCmode-FR2</w:t>
      </w:r>
      <w:r w:rsidR="005A521C" w:rsidRPr="005A521C">
        <w:rPr>
          <w:iCs/>
          <w:lang w:val="en-GB"/>
        </w:rPr>
        <w:t xml:space="preserve"> for FR2</w:t>
      </w:r>
      <w:r w:rsidR="005A521C" w:rsidRPr="005A521C">
        <w:rPr>
          <w:lang w:val="en-GB"/>
        </w:rPr>
        <w:t>. The UE determines a transmission power on the MCG and a transmission power on the SCG per frequency range.</w:t>
      </w:r>
      <w:r>
        <w:rPr>
          <w:lang w:val="en-GB"/>
        </w:rPr>
        <w:t>”</w:t>
      </w:r>
    </w:p>
    <w:p w14:paraId="7AE4A86E" w14:textId="1424013F" w:rsidR="00D81D6C" w:rsidRDefault="00D81D6C" w:rsidP="00D81D6C">
      <w:pPr>
        <w:pStyle w:val="BodyText"/>
        <w:rPr>
          <w:iCs/>
          <w:lang w:val="en-GB"/>
        </w:rPr>
      </w:pPr>
      <w:r>
        <w:t xml:space="preserve">According to </w:t>
      </w:r>
      <w:r w:rsidR="00F02FDB">
        <w:t>the text</w:t>
      </w:r>
      <w:r>
        <w:t>, if a UE is configured with MCG and SCG using NR radio access in FR2, the maximum power for FR2 for transmissions in MCG (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m:rPr>
                <m:nor/>
              </m:rPr>
              <w:rPr>
                <w:lang w:val="en-GB"/>
              </w:rPr>
              <m:t>MCG</m:t>
            </m:r>
            <m:ctrlPr>
              <w:rPr>
                <w:rFonts w:ascii="Cambria Math" w:hAnsi="Cambria Math"/>
                <w:lang w:val="en-GB"/>
              </w:rPr>
            </m:ctrlPr>
          </m:sub>
        </m:sSub>
      </m:oMath>
      <w:r>
        <w:t xml:space="preserve">) is given </w:t>
      </w:r>
      <w:r w:rsidRPr="005A521C">
        <w:rPr>
          <w:i/>
          <w:lang w:val="en-GB"/>
        </w:rPr>
        <w:t>p-NR-FR2</w:t>
      </w:r>
      <w:r>
        <w:rPr>
          <w:i/>
          <w:lang w:val="en-GB"/>
        </w:rPr>
        <w:t xml:space="preserve"> </w:t>
      </w:r>
      <w:r>
        <w:rPr>
          <w:iCs/>
          <w:lang w:val="en-GB"/>
        </w:rPr>
        <w:t xml:space="preserve">corresponding to MCG, and the </w:t>
      </w:r>
      <w:r>
        <w:t>maximum power for FR2 for transmissions in SCG (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m:rPr>
                <m:nor/>
              </m:rPr>
              <w:rPr>
                <w:lang w:val="en-GB"/>
              </w:rPr>
              <m:t>SCG</m:t>
            </m:r>
            <m:ctrlPr>
              <w:rPr>
                <w:rFonts w:ascii="Cambria Math" w:hAnsi="Cambria Math"/>
                <w:lang w:val="en-GB"/>
              </w:rPr>
            </m:ctrlPr>
          </m:sub>
        </m:sSub>
      </m:oMath>
      <w:r>
        <w:t xml:space="preserve">) is given </w:t>
      </w:r>
      <w:r w:rsidRPr="005A521C">
        <w:rPr>
          <w:i/>
          <w:lang w:val="en-GB"/>
        </w:rPr>
        <w:t>p-NR-FR2</w:t>
      </w:r>
      <w:r>
        <w:rPr>
          <w:i/>
          <w:lang w:val="en-GB"/>
        </w:rPr>
        <w:t xml:space="preserve"> </w:t>
      </w:r>
      <w:r>
        <w:rPr>
          <w:iCs/>
          <w:lang w:val="en-GB"/>
        </w:rPr>
        <w:t xml:space="preserve">corresponding to SCG. </w:t>
      </w:r>
    </w:p>
    <w:p w14:paraId="23C64B55" w14:textId="6ACE3B4B" w:rsidR="00D81D6C" w:rsidRDefault="00D81D6C" w:rsidP="00D81D6C">
      <w:pPr>
        <w:pStyle w:val="BodyText"/>
        <w:rPr>
          <w:iCs/>
        </w:rPr>
      </w:pPr>
      <w:r>
        <w:rPr>
          <w:iCs/>
        </w:rPr>
        <w:t>Whether the case of MCG and SCG having FR2 transmissions is covered by Rel16 NR-</w:t>
      </w:r>
      <w:r w:rsidR="00930BF1">
        <w:rPr>
          <w:iCs/>
        </w:rPr>
        <w:t>D</w:t>
      </w:r>
      <w:r>
        <w:rPr>
          <w:iCs/>
        </w:rPr>
        <w:t>C was discussed in RAN1 and following conclusion and agreement were made in RAN1#99</w:t>
      </w:r>
      <w:r w:rsidR="0017270D">
        <w:rPr>
          <w:iCs/>
        </w:rPr>
        <w:t xml:space="preserve">. </w:t>
      </w:r>
    </w:p>
    <w:p w14:paraId="374D0784" w14:textId="77777777" w:rsidR="00D81D6C" w:rsidRPr="0000017E" w:rsidRDefault="00D81D6C" w:rsidP="0017270D">
      <w:pPr>
        <w:ind w:left="360"/>
        <w:rPr>
          <w:rFonts w:asciiTheme="minorHAnsi" w:hAnsiTheme="minorHAnsi" w:cstheme="minorBidi"/>
          <w:i/>
          <w:iCs/>
          <w:lang w:eastAsia="x-none"/>
        </w:rPr>
      </w:pPr>
      <w:r w:rsidRPr="0000017E">
        <w:rPr>
          <w:b/>
          <w:bCs/>
          <w:i/>
          <w:iCs/>
          <w:u w:val="single"/>
          <w:lang w:eastAsia="x-none"/>
        </w:rPr>
        <w:t>Conclusion</w:t>
      </w:r>
      <w:r w:rsidRPr="0000017E">
        <w:rPr>
          <w:i/>
          <w:iCs/>
          <w:lang w:eastAsia="x-none"/>
        </w:rPr>
        <w:t>:</w:t>
      </w:r>
    </w:p>
    <w:p w14:paraId="21262A66" w14:textId="77777777" w:rsidR="00D81D6C" w:rsidRPr="0000017E" w:rsidRDefault="00D81D6C" w:rsidP="0017270D">
      <w:pPr>
        <w:numPr>
          <w:ilvl w:val="0"/>
          <w:numId w:val="10"/>
        </w:numPr>
        <w:spacing w:line="256" w:lineRule="auto"/>
        <w:ind w:left="720"/>
        <w:rPr>
          <w:i/>
          <w:iCs/>
          <w:lang w:eastAsia="x-none"/>
        </w:rPr>
      </w:pPr>
      <w:r w:rsidRPr="0000017E">
        <w:rPr>
          <w:i/>
          <w:iCs/>
          <w:lang w:eastAsia="x-none"/>
        </w:rPr>
        <w:t>At least from UE power sharing perspective, the cases where one or both CGs have CC[s] over FR1 and FR2 are supported in Rel.16 NR-DC</w:t>
      </w:r>
    </w:p>
    <w:p w14:paraId="50353D8E" w14:textId="77777777" w:rsidR="00D81D6C" w:rsidRPr="0000017E" w:rsidRDefault="00D81D6C" w:rsidP="0017270D">
      <w:pPr>
        <w:ind w:left="360"/>
        <w:rPr>
          <w:i/>
          <w:iCs/>
          <w:lang w:eastAsia="x-none"/>
        </w:rPr>
      </w:pPr>
    </w:p>
    <w:p w14:paraId="25875AC3" w14:textId="77777777" w:rsidR="00D81D6C" w:rsidRPr="0000017E" w:rsidRDefault="00D81D6C" w:rsidP="0017270D">
      <w:pPr>
        <w:ind w:left="360"/>
        <w:rPr>
          <w:i/>
          <w:iCs/>
          <w:lang w:eastAsia="x-none"/>
        </w:rPr>
      </w:pPr>
      <w:r w:rsidRPr="0000017E">
        <w:rPr>
          <w:i/>
          <w:iCs/>
          <w:highlight w:val="green"/>
          <w:lang w:eastAsia="x-none"/>
        </w:rPr>
        <w:t>Agreements</w:t>
      </w:r>
      <w:r w:rsidRPr="0000017E">
        <w:rPr>
          <w:i/>
          <w:iCs/>
          <w:lang w:eastAsia="x-none"/>
        </w:rPr>
        <w:t>:</w:t>
      </w:r>
    </w:p>
    <w:p w14:paraId="54B1AD13" w14:textId="77777777" w:rsidR="00D81D6C" w:rsidRPr="0000017E" w:rsidRDefault="00D81D6C" w:rsidP="0017270D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ind w:left="720"/>
        <w:contextualSpacing/>
        <w:textAlignment w:val="baseline"/>
        <w:rPr>
          <w:bCs/>
          <w:i/>
          <w:iCs/>
          <w:sz w:val="20"/>
          <w:szCs w:val="20"/>
          <w:lang w:eastAsia="zh-CN"/>
        </w:rPr>
      </w:pPr>
      <w:r w:rsidRPr="0000017E">
        <w:rPr>
          <w:bCs/>
          <w:i/>
          <w:iCs/>
          <w:sz w:val="20"/>
          <w:szCs w:val="20"/>
        </w:rPr>
        <w:t xml:space="preserve">Support per FR configuration of parameter NR-DC-PC-mode for NR-DC </w:t>
      </w:r>
    </w:p>
    <w:p w14:paraId="436F2C47" w14:textId="77777777" w:rsidR="00930BF1" w:rsidRDefault="00930BF1" w:rsidP="006907C7">
      <w:pPr>
        <w:pStyle w:val="BodyText"/>
      </w:pPr>
    </w:p>
    <w:p w14:paraId="0317E53F" w14:textId="448F2AF1" w:rsidR="005A521C" w:rsidRDefault="0017270D" w:rsidP="006907C7">
      <w:pPr>
        <w:pStyle w:val="BodyText"/>
        <w:rPr>
          <w:iCs/>
          <w:lang w:val="en-GB"/>
        </w:rPr>
      </w:pPr>
      <w:r>
        <w:t xml:space="preserve">Therefore, the current RAN1 specs are consistent with RAN1 agreements for Rel16. However, according RAN4 LS, it appears that UE performance requirements related to procedures that require </w:t>
      </w:r>
      <w:r w:rsidRPr="005A521C">
        <w:rPr>
          <w:i/>
          <w:lang w:val="en-GB"/>
        </w:rPr>
        <w:t>p-NR-FR2</w:t>
      </w:r>
      <w:r>
        <w:rPr>
          <w:i/>
          <w:lang w:val="en-GB"/>
        </w:rPr>
        <w:t xml:space="preserve"> </w:t>
      </w:r>
      <w:r>
        <w:rPr>
          <w:iCs/>
          <w:lang w:val="en-GB"/>
        </w:rPr>
        <w:t>will not be specified in Rel16 and this has to be reflected in other specs.</w:t>
      </w:r>
    </w:p>
    <w:p w14:paraId="73F7F21F" w14:textId="19ECF873" w:rsidR="0017270D" w:rsidRDefault="0017270D" w:rsidP="006907C7">
      <w:pPr>
        <w:pStyle w:val="BodyText"/>
        <w:rPr>
          <w:iCs/>
          <w:lang w:val="en-GB"/>
        </w:rPr>
      </w:pPr>
      <w:r>
        <w:rPr>
          <w:iCs/>
          <w:lang w:val="en-GB"/>
        </w:rPr>
        <w:lastRenderedPageBreak/>
        <w:t xml:space="preserve">In [2], we proposed to handle this issue in RRC spec as shown below with the understanding that the parameter </w:t>
      </w:r>
      <w:r w:rsidR="0000017E">
        <w:rPr>
          <w:iCs/>
          <w:lang w:val="en-GB"/>
        </w:rPr>
        <w:t>may be</w:t>
      </w:r>
      <w:r>
        <w:rPr>
          <w:iCs/>
          <w:lang w:val="en-GB"/>
        </w:rPr>
        <w:t xml:space="preserve"> needed whenever RAN4 defines the relevant power limits for NR-DC with FR2 transmissions in both MCG and SCG.</w:t>
      </w:r>
    </w:p>
    <w:tbl>
      <w:tblPr>
        <w:tblW w:w="98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5"/>
      </w:tblGrid>
      <w:tr w:rsidR="0017270D" w:rsidRPr="0017270D" w14:paraId="1C4942A7" w14:textId="77777777" w:rsidTr="0017270D">
        <w:trPr>
          <w:trHeight w:val="464"/>
        </w:trPr>
        <w:tc>
          <w:tcPr>
            <w:tcW w:w="9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1846" w14:textId="77777777" w:rsidR="0017270D" w:rsidRPr="0017270D" w:rsidRDefault="0017270D" w:rsidP="00711A6F">
            <w:pPr>
              <w:pStyle w:val="TAL"/>
              <w:rPr>
                <w:b/>
                <w:bCs/>
                <w:i/>
                <w:iCs/>
                <w:sz w:val="18"/>
                <w:szCs w:val="18"/>
                <w:lang w:eastAsia="x-none"/>
              </w:rPr>
            </w:pPr>
            <w:r w:rsidRPr="0017270D">
              <w:rPr>
                <w:b/>
                <w:bCs/>
                <w:i/>
                <w:iCs/>
                <w:sz w:val="18"/>
                <w:szCs w:val="18"/>
                <w:lang w:eastAsia="x-none"/>
              </w:rPr>
              <w:t>p-NR-FR2</w:t>
            </w:r>
          </w:p>
          <w:p w14:paraId="79891DCD" w14:textId="77777777" w:rsidR="0017270D" w:rsidRPr="0017270D" w:rsidRDefault="0017270D" w:rsidP="00711A6F">
            <w:pPr>
              <w:pStyle w:val="TAL"/>
              <w:rPr>
                <w:sz w:val="18"/>
                <w:szCs w:val="18"/>
                <w:lang w:eastAsia="sv-SE"/>
              </w:rPr>
            </w:pPr>
            <w:r w:rsidRPr="0017270D">
              <w:rPr>
                <w:sz w:val="18"/>
                <w:szCs w:val="18"/>
                <w:lang w:eastAsia="sv-SE"/>
              </w:rPr>
              <w:t xml:space="preserve">The maximum total transmit power to be used by the UE in this NR cell group across all serving cells in frequency range 2 (FR2). </w:t>
            </w:r>
            <w:r w:rsidRPr="00C65D0D" w:rsidDel="00AA2616">
              <w:rPr>
                <w:strike/>
                <w:color w:val="C00000"/>
                <w:sz w:val="18"/>
                <w:szCs w:val="18"/>
                <w:lang w:eastAsia="sv-SE"/>
              </w:rPr>
              <w:t xml:space="preserve">The maximum transmit power that the UE may use may be additionally limited by </w:t>
            </w:r>
            <w:r w:rsidRPr="00C65D0D" w:rsidDel="00AA2616">
              <w:rPr>
                <w:i/>
                <w:strike/>
                <w:color w:val="C00000"/>
                <w:sz w:val="18"/>
                <w:szCs w:val="18"/>
                <w:lang w:eastAsia="sv-SE"/>
              </w:rPr>
              <w:t>p-Max</w:t>
            </w:r>
            <w:r w:rsidRPr="00C65D0D" w:rsidDel="00AA2616">
              <w:rPr>
                <w:strike/>
                <w:color w:val="C00000"/>
                <w:sz w:val="18"/>
                <w:szCs w:val="18"/>
                <w:lang w:eastAsia="sv-SE"/>
              </w:rPr>
              <w:t xml:space="preserve"> (configured in </w:t>
            </w:r>
            <w:r w:rsidRPr="00C65D0D" w:rsidDel="00AA2616">
              <w:rPr>
                <w:i/>
                <w:strike/>
                <w:color w:val="C00000"/>
                <w:sz w:val="18"/>
                <w:szCs w:val="18"/>
                <w:lang w:eastAsia="sv-SE"/>
              </w:rPr>
              <w:t>FrequencyInfoUL</w:t>
            </w:r>
            <w:r w:rsidRPr="00C65D0D" w:rsidDel="00AA2616">
              <w:rPr>
                <w:strike/>
                <w:color w:val="C00000"/>
                <w:sz w:val="18"/>
                <w:szCs w:val="18"/>
                <w:lang w:eastAsia="sv-SE"/>
              </w:rPr>
              <w:t xml:space="preserve">) and by </w:t>
            </w:r>
            <w:r w:rsidRPr="00C65D0D" w:rsidDel="00AA2616">
              <w:rPr>
                <w:i/>
                <w:strike/>
                <w:color w:val="C00000"/>
                <w:sz w:val="18"/>
                <w:szCs w:val="18"/>
                <w:lang w:eastAsia="sv-SE"/>
              </w:rPr>
              <w:t>p-UE-FR2</w:t>
            </w:r>
            <w:r w:rsidRPr="00C65D0D" w:rsidDel="00AA2616">
              <w:rPr>
                <w:strike/>
                <w:color w:val="C00000"/>
                <w:sz w:val="18"/>
                <w:szCs w:val="18"/>
                <w:lang w:eastAsia="sv-SE"/>
              </w:rPr>
              <w:t xml:space="preserve"> (configured total for all serving cells operating on FR2).</w:t>
            </w:r>
            <w:r w:rsidRPr="00C65D0D" w:rsidDel="00AA2616">
              <w:rPr>
                <w:color w:val="C00000"/>
                <w:sz w:val="18"/>
                <w:szCs w:val="18"/>
              </w:rPr>
              <w:t xml:space="preserve"> </w:t>
            </w:r>
            <w:r w:rsidRPr="0017270D">
              <w:rPr>
                <w:sz w:val="18"/>
                <w:szCs w:val="18"/>
              </w:rPr>
              <w:t xml:space="preserve">This field is </w:t>
            </w:r>
            <w:r w:rsidRPr="00C65D0D">
              <w:rPr>
                <w:color w:val="C00000"/>
                <w:sz w:val="18"/>
                <w:szCs w:val="18"/>
              </w:rPr>
              <w:t>ignored by the UE in this version of the specification</w:t>
            </w:r>
            <w:r w:rsidRPr="00C65D0D" w:rsidDel="00AA2616">
              <w:rPr>
                <w:strike/>
                <w:color w:val="C00000"/>
                <w:sz w:val="18"/>
                <w:szCs w:val="18"/>
              </w:rPr>
              <w:t>only used in NR-DC</w:t>
            </w:r>
            <w:r w:rsidRPr="0017270D">
              <w:rPr>
                <w:sz w:val="18"/>
                <w:szCs w:val="18"/>
              </w:rPr>
              <w:t>.</w:t>
            </w:r>
          </w:p>
        </w:tc>
      </w:tr>
    </w:tbl>
    <w:p w14:paraId="5EC4F245" w14:textId="77777777" w:rsidR="00930BF1" w:rsidRDefault="00930BF1" w:rsidP="006907C7">
      <w:pPr>
        <w:pStyle w:val="BodyText"/>
        <w:rPr>
          <w:iCs/>
        </w:rPr>
      </w:pPr>
    </w:p>
    <w:p w14:paraId="3105ABC6" w14:textId="64769879" w:rsidR="0017270D" w:rsidRDefault="0017270D" w:rsidP="006907C7">
      <w:pPr>
        <w:pStyle w:val="BodyText"/>
        <w:rPr>
          <w:iCs/>
        </w:rPr>
      </w:pPr>
      <w:r>
        <w:rPr>
          <w:iCs/>
        </w:rPr>
        <w:t xml:space="preserve">We propose similar approach to be used for 38.213 and add a note in 7.6.2 that the UE does not expect to be configured with </w:t>
      </w:r>
      <w:r w:rsidRPr="005A521C">
        <w:rPr>
          <w:i/>
          <w:lang w:val="en-GB"/>
        </w:rPr>
        <w:t>p-NR-FR2</w:t>
      </w:r>
      <w:r>
        <w:rPr>
          <w:i/>
          <w:lang w:val="en-GB"/>
        </w:rPr>
        <w:t xml:space="preserve"> </w:t>
      </w:r>
      <w:r>
        <w:rPr>
          <w:iCs/>
        </w:rPr>
        <w:t xml:space="preserve">in this release of the specification. This should </w:t>
      </w:r>
      <w:r w:rsidR="0000017E">
        <w:rPr>
          <w:iCs/>
        </w:rPr>
        <w:t>reflect</w:t>
      </w:r>
      <w:r>
        <w:rPr>
          <w:iCs/>
        </w:rPr>
        <w:t xml:space="preserve"> RAN4 input without having to revert RAN1 decisions related to NR-DC power control. The note can be removed </w:t>
      </w:r>
      <w:r w:rsidR="0000017E">
        <w:rPr>
          <w:iCs/>
        </w:rPr>
        <w:t>if/</w:t>
      </w:r>
      <w:r>
        <w:rPr>
          <w:iCs/>
        </w:rPr>
        <w:t xml:space="preserve">when RAN4 eventually defines the power limits. Corresponding </w:t>
      </w:r>
      <w:r w:rsidR="005E3133">
        <w:rPr>
          <w:iCs/>
        </w:rPr>
        <w:t xml:space="preserve">TP </w:t>
      </w:r>
      <w:r>
        <w:rPr>
          <w:iCs/>
        </w:rPr>
        <w:t>is shown below</w:t>
      </w:r>
    </w:p>
    <w:p w14:paraId="49010D86" w14:textId="4B5A29C3" w:rsidR="00930BF1" w:rsidRPr="00930BF1" w:rsidRDefault="00930BF1" w:rsidP="00930BF1">
      <w:pPr>
        <w:pStyle w:val="BodyText"/>
        <w:numPr>
          <w:ilvl w:val="0"/>
          <w:numId w:val="10"/>
        </w:numPr>
        <w:rPr>
          <w:b/>
          <w:bCs/>
          <w:iCs/>
        </w:rPr>
      </w:pPr>
      <w:r w:rsidRPr="00930BF1">
        <w:rPr>
          <w:b/>
          <w:bCs/>
          <w:iCs/>
        </w:rPr>
        <w:t>Text Proposal TP1</w:t>
      </w:r>
    </w:p>
    <w:p w14:paraId="634DB9EA" w14:textId="67219787" w:rsidR="0017270D" w:rsidRDefault="0017270D" w:rsidP="0017270D">
      <w:pPr>
        <w:pStyle w:val="BodyText"/>
        <w:jc w:val="center"/>
      </w:pPr>
      <w:r>
        <w:rPr>
          <w:iCs/>
        </w:rPr>
        <w:t xml:space="preserve"> </w:t>
      </w:r>
      <w:r>
        <w:t>--------------- start TP</w:t>
      </w:r>
      <w:r w:rsidR="00F02FDB">
        <w:t>1</w:t>
      </w:r>
      <w:r>
        <w:t xml:space="preserve"> for 38.213 sub-clause 7.6.2 ------------------------</w:t>
      </w:r>
    </w:p>
    <w:p w14:paraId="37E22039" w14:textId="77777777" w:rsidR="0017270D" w:rsidRPr="005A521C" w:rsidRDefault="0017270D" w:rsidP="0017270D">
      <w:pPr>
        <w:ind w:left="720"/>
        <w:rPr>
          <w:rFonts w:ascii="Arial" w:hAnsi="Arial" w:cs="Arial"/>
          <w:sz w:val="28"/>
          <w:szCs w:val="36"/>
        </w:rPr>
      </w:pPr>
      <w:r w:rsidRPr="005A521C">
        <w:rPr>
          <w:rFonts w:ascii="Arial" w:hAnsi="Arial" w:cs="Arial"/>
          <w:sz w:val="28"/>
          <w:szCs w:val="36"/>
        </w:rPr>
        <w:t>7.6.2</w:t>
      </w:r>
      <w:r w:rsidRPr="005A521C">
        <w:rPr>
          <w:rFonts w:ascii="Arial" w:hAnsi="Arial" w:cs="Arial"/>
          <w:sz w:val="28"/>
          <w:szCs w:val="36"/>
        </w:rPr>
        <w:tab/>
        <w:t>NR-DC</w:t>
      </w:r>
    </w:p>
    <w:p w14:paraId="78FAF8DB" w14:textId="16722007" w:rsidR="0017270D" w:rsidRDefault="0017270D" w:rsidP="0017270D">
      <w:pPr>
        <w:pStyle w:val="BodyText"/>
        <w:ind w:left="720"/>
        <w:jc w:val="left"/>
        <w:rPr>
          <w:lang w:val="en-GB"/>
        </w:rPr>
      </w:pPr>
    </w:p>
    <w:p w14:paraId="33436D82" w14:textId="4B6DC7E2" w:rsidR="0017270D" w:rsidRPr="005E3133" w:rsidRDefault="005E3133" w:rsidP="0017270D">
      <w:pPr>
        <w:pStyle w:val="BodyText"/>
        <w:ind w:left="720"/>
        <w:jc w:val="left"/>
        <w:rPr>
          <w:iCs/>
          <w:color w:val="C00000"/>
          <w:lang w:val="en-GB"/>
        </w:rPr>
      </w:pPr>
      <w:r w:rsidRPr="005E3133">
        <w:rPr>
          <w:color w:val="C00000"/>
          <w:lang w:val="en-GB"/>
        </w:rPr>
        <w:t xml:space="preserve">Note: The UE does not expect to be configured with </w:t>
      </w:r>
      <w:r w:rsidRPr="005A521C">
        <w:rPr>
          <w:i/>
          <w:color w:val="C00000"/>
          <w:lang w:val="en-GB"/>
        </w:rPr>
        <w:t>p-NR-FR2</w:t>
      </w:r>
      <w:r w:rsidRPr="005E3133">
        <w:rPr>
          <w:i/>
          <w:color w:val="C00000"/>
          <w:lang w:val="en-GB"/>
        </w:rPr>
        <w:t xml:space="preserve"> </w:t>
      </w:r>
      <w:r w:rsidRPr="005E3133">
        <w:rPr>
          <w:iCs/>
          <w:color w:val="C00000"/>
          <w:lang w:val="en-GB"/>
        </w:rPr>
        <w:t>in this release of the specification</w:t>
      </w:r>
      <w:r w:rsidR="00131F16">
        <w:rPr>
          <w:iCs/>
          <w:color w:val="C00000"/>
          <w:lang w:val="en-GB"/>
        </w:rPr>
        <w:t>.</w:t>
      </w:r>
    </w:p>
    <w:p w14:paraId="4F29D4B5" w14:textId="77777777" w:rsidR="0017270D" w:rsidRPr="005A521C" w:rsidRDefault="0017270D" w:rsidP="0017270D">
      <w:pPr>
        <w:pStyle w:val="BodyText"/>
        <w:ind w:left="720"/>
        <w:jc w:val="left"/>
        <w:rPr>
          <w:lang w:val="en-GB"/>
        </w:rPr>
      </w:pPr>
      <w:r w:rsidRPr="005A521C">
        <w:rPr>
          <w:lang w:val="en-GB"/>
        </w:rPr>
        <w:t xml:space="preserve">If a UE is configured with an MCG using </w:t>
      </w:r>
      <w:r w:rsidRPr="005A521C">
        <w:t>NR</w:t>
      </w:r>
      <w:r w:rsidRPr="005A521C">
        <w:rPr>
          <w:lang w:val="en-GB"/>
        </w:rPr>
        <w:t xml:space="preserve"> radio access </w:t>
      </w:r>
      <w:r w:rsidRPr="005A521C">
        <w:t xml:space="preserve">in FR1 or in FR2 </w:t>
      </w:r>
      <w:r w:rsidRPr="005A521C">
        <w:rPr>
          <w:lang w:val="en-GB"/>
        </w:rPr>
        <w:t>and with a SCG using NR radio access</w:t>
      </w:r>
      <w:r w:rsidRPr="005A521C">
        <w:t xml:space="preserve"> in FR2 or in FR1</w:t>
      </w:r>
      <w:r w:rsidRPr="005A521C">
        <w:rPr>
          <w:lang w:val="en-GB"/>
        </w:rPr>
        <w:t xml:space="preserve">, </w:t>
      </w:r>
      <w:r w:rsidRPr="005A521C">
        <w:t xml:space="preserve">respectively, </w:t>
      </w:r>
      <w:r w:rsidRPr="005A521C">
        <w:rPr>
          <w:lang w:val="en-GB"/>
        </w:rPr>
        <w:t xml:space="preserve">the </w:t>
      </w:r>
      <w:r w:rsidRPr="005A521C">
        <w:t>UE performs transmission power control independently per cell group as described in Clauses 7.1 through 7.5</w:t>
      </w:r>
      <w:r w:rsidRPr="005A521C">
        <w:rPr>
          <w:lang w:val="en-GB"/>
        </w:rPr>
        <w:t>.</w:t>
      </w:r>
    </w:p>
    <w:p w14:paraId="12D1F401" w14:textId="77777777" w:rsidR="0017270D" w:rsidRPr="005A521C" w:rsidRDefault="0017270D" w:rsidP="0017270D">
      <w:pPr>
        <w:pStyle w:val="BodyText"/>
        <w:ind w:left="720"/>
        <w:jc w:val="left"/>
        <w:rPr>
          <w:lang w:val="en-GB"/>
        </w:rPr>
      </w:pPr>
      <w:r w:rsidRPr="005A521C">
        <w:rPr>
          <w:lang w:val="en-GB"/>
        </w:rPr>
        <w:t xml:space="preserve">If a UE is configured with an MCG and a SCG using </w:t>
      </w:r>
      <w:r w:rsidRPr="005A521C">
        <w:t>NR</w:t>
      </w:r>
      <w:r w:rsidRPr="005A521C">
        <w:rPr>
          <w:lang w:val="en-GB"/>
        </w:rPr>
        <w:t xml:space="preserve"> radio access </w:t>
      </w:r>
      <w:r w:rsidRPr="005A521C">
        <w:t xml:space="preserve">in FR1 and/or in FR2, </w:t>
      </w:r>
      <w:r w:rsidRPr="005A521C">
        <w:rPr>
          <w:lang w:val="en-GB"/>
        </w:rPr>
        <w:t xml:space="preserve">the UE is configured a maximum power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m:rPr>
                <m:nor/>
              </m:rPr>
              <w:rPr>
                <w:lang w:val="en-GB"/>
              </w:rPr>
              <m:t>MCG</m:t>
            </m:r>
            <m:ctrlPr>
              <w:rPr>
                <w:rFonts w:ascii="Cambria Math" w:hAnsi="Cambria Math"/>
                <w:lang w:val="en-GB"/>
              </w:rPr>
            </m:ctrlPr>
          </m:sub>
        </m:sSub>
      </m:oMath>
      <w:r w:rsidRPr="005A521C">
        <w:rPr>
          <w:lang w:val="en-GB"/>
        </w:rPr>
        <w:t xml:space="preserve"> for transmissions on the MCG by </w:t>
      </w:r>
      <w:r w:rsidRPr="005A521C">
        <w:rPr>
          <w:i/>
          <w:lang w:val="en-GB"/>
        </w:rPr>
        <w:t>p-NR-FR1</w:t>
      </w:r>
      <w:r w:rsidRPr="005A521C">
        <w:rPr>
          <w:lang w:val="en-GB"/>
        </w:rPr>
        <w:t xml:space="preserve"> and/or by </w:t>
      </w:r>
      <w:r w:rsidRPr="005A521C">
        <w:rPr>
          <w:i/>
          <w:lang w:val="en-GB"/>
        </w:rPr>
        <w:t>p-NR-FR2</w:t>
      </w:r>
      <w:r w:rsidRPr="005A521C">
        <w:rPr>
          <w:lang w:val="en-GB"/>
        </w:rPr>
        <w:t xml:space="preserve"> and a maximum power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m:rPr>
                <m:nor/>
              </m:rPr>
              <w:rPr>
                <w:lang w:val="en-GB"/>
              </w:rPr>
              <m:t>SCG</m:t>
            </m:r>
            <m:ctrlPr>
              <w:rPr>
                <w:rFonts w:ascii="Cambria Math" w:hAnsi="Cambria Math"/>
                <w:lang w:val="en-GB"/>
              </w:rPr>
            </m:ctrlPr>
          </m:sub>
        </m:sSub>
      </m:oMath>
      <w:r w:rsidRPr="005A521C">
        <w:rPr>
          <w:lang w:val="en-GB"/>
        </w:rPr>
        <w:t xml:space="preserve"> for transmissions on the SCG by </w:t>
      </w:r>
      <w:r w:rsidRPr="005A521C">
        <w:rPr>
          <w:i/>
          <w:lang w:val="en-GB"/>
        </w:rPr>
        <w:t>p-NR-FR1</w:t>
      </w:r>
      <w:r w:rsidRPr="005A521C">
        <w:rPr>
          <w:iCs/>
          <w:lang w:val="en-GB"/>
        </w:rPr>
        <w:t xml:space="preserve"> </w:t>
      </w:r>
      <w:r w:rsidRPr="005A521C">
        <w:rPr>
          <w:lang w:val="en-GB"/>
        </w:rPr>
        <w:t xml:space="preserve">and/or by </w:t>
      </w:r>
      <w:r w:rsidRPr="005A521C">
        <w:rPr>
          <w:i/>
          <w:lang w:val="en-GB"/>
        </w:rPr>
        <w:t>p-NR-FR2</w:t>
      </w:r>
      <w:r w:rsidRPr="005A521C">
        <w:rPr>
          <w:lang w:val="en-GB"/>
        </w:rPr>
        <w:t xml:space="preserve"> and with an inter-CG power sharing mode by </w:t>
      </w:r>
      <w:r w:rsidRPr="005A521C">
        <w:rPr>
          <w:i/>
          <w:iCs/>
          <w:lang w:val="en-GB"/>
        </w:rPr>
        <w:t>nrdc-PCmode-FR1</w:t>
      </w:r>
      <w:r w:rsidRPr="005A521C">
        <w:rPr>
          <w:iCs/>
          <w:lang w:val="en-GB"/>
        </w:rPr>
        <w:t xml:space="preserve"> for FR1 and/or </w:t>
      </w:r>
      <w:r w:rsidRPr="005A521C">
        <w:rPr>
          <w:lang w:val="en-GB"/>
        </w:rPr>
        <w:t xml:space="preserve">by </w:t>
      </w:r>
      <w:r w:rsidRPr="005A521C">
        <w:rPr>
          <w:i/>
          <w:iCs/>
          <w:lang w:val="en-GB"/>
        </w:rPr>
        <w:t>nrdc-PCmode-FR2</w:t>
      </w:r>
      <w:r w:rsidRPr="005A521C">
        <w:rPr>
          <w:iCs/>
          <w:lang w:val="en-GB"/>
        </w:rPr>
        <w:t xml:space="preserve"> for FR2</w:t>
      </w:r>
      <w:r w:rsidRPr="005A521C">
        <w:rPr>
          <w:lang w:val="en-GB"/>
        </w:rPr>
        <w:t>. The UE determines a transmission power on the MCG and a transmission power on the SCG per frequency range.</w:t>
      </w:r>
    </w:p>
    <w:p w14:paraId="1B8A9272" w14:textId="77777777" w:rsidR="0017270D" w:rsidRDefault="0017270D" w:rsidP="0017270D">
      <w:pPr>
        <w:pStyle w:val="BodyText"/>
        <w:ind w:left="720"/>
        <w:jc w:val="left"/>
        <w:rPr>
          <w:lang w:val="en-GB"/>
        </w:rPr>
      </w:pPr>
      <w:r w:rsidRPr="005A521C">
        <w:rPr>
          <w:lang w:val="en-GB"/>
        </w:rPr>
        <w:t xml:space="preserve">If a UE is provided </w:t>
      </w:r>
      <w:r w:rsidRPr="005A521C">
        <w:rPr>
          <w:i/>
          <w:lang w:val="en-GB"/>
        </w:rPr>
        <w:t xml:space="preserve">semi-static-mode1 </w:t>
      </w:r>
      <w:r w:rsidRPr="005A521C">
        <w:rPr>
          <w:iCs/>
          <w:lang w:val="en-GB"/>
        </w:rPr>
        <w:t xml:space="preserve">for </w:t>
      </w:r>
      <w:r w:rsidRPr="005A521C">
        <w:rPr>
          <w:i/>
          <w:iCs/>
          <w:lang w:val="en-GB"/>
        </w:rPr>
        <w:t>nrdc-PCmode-FR1</w:t>
      </w:r>
      <w:r w:rsidRPr="005A521C">
        <w:rPr>
          <w:lang w:val="en-GB"/>
        </w:rPr>
        <w:t xml:space="preserve"> or for </w:t>
      </w:r>
      <w:r w:rsidRPr="005A521C">
        <w:rPr>
          <w:i/>
          <w:iCs/>
          <w:lang w:val="en-GB"/>
        </w:rPr>
        <w:t>nrdc-PCmode-FR2</w:t>
      </w:r>
      <w:r w:rsidRPr="005A521C">
        <w:rPr>
          <w:iCs/>
          <w:lang w:val="en-GB"/>
        </w:rPr>
        <w:t>,</w:t>
      </w:r>
      <w:r w:rsidRPr="005A521C">
        <w:rPr>
          <w:i/>
          <w:lang w:val="en-GB"/>
        </w:rPr>
        <w:t xml:space="preserve"> </w:t>
      </w:r>
      <w:r w:rsidRPr="005A521C">
        <w:rPr>
          <w:iCs/>
          <w:lang w:val="en-GB"/>
        </w:rPr>
        <w:t xml:space="preserve">or </w:t>
      </w:r>
      <w:r w:rsidRPr="005A521C">
        <w:rPr>
          <w:i/>
          <w:lang w:val="en-GB"/>
        </w:rPr>
        <w:t xml:space="preserve">semi-static-mode2 </w:t>
      </w:r>
      <w:r w:rsidRPr="005A521C">
        <w:rPr>
          <w:iCs/>
          <w:lang w:val="en-GB"/>
        </w:rPr>
        <w:t xml:space="preserve">for </w:t>
      </w:r>
      <w:r w:rsidRPr="005A521C">
        <w:rPr>
          <w:i/>
          <w:iCs/>
          <w:lang w:val="en-GB"/>
        </w:rPr>
        <w:t>nrdc-PCmode-FR1</w:t>
      </w:r>
      <w:r w:rsidRPr="005A521C">
        <w:rPr>
          <w:lang w:val="en-GB"/>
        </w:rPr>
        <w:t xml:space="preserve"> or for </w:t>
      </w:r>
      <w:r w:rsidRPr="005A521C">
        <w:rPr>
          <w:i/>
          <w:iCs/>
          <w:lang w:val="en-GB"/>
        </w:rPr>
        <w:t>nrdc-PCmode-FR2</w:t>
      </w:r>
      <w:r w:rsidRPr="005A521C">
        <w:rPr>
          <w:iCs/>
          <w:lang w:val="en-GB"/>
        </w:rPr>
        <w:t xml:space="preserve">, the UE does not expect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m:rPr>
                <m:nor/>
              </m:rPr>
              <w:rPr>
                <w:lang w:val="en-GB"/>
              </w:rPr>
              <m:t>MCG</m:t>
            </m:r>
            <m:ctrlPr>
              <w:rPr>
                <w:rFonts w:ascii="Cambria Math" w:hAnsi="Cambria Math"/>
                <w:lang w:val="en-GB"/>
              </w:rPr>
            </m:ctrlPr>
          </m:sub>
        </m:sSub>
      </m:oMath>
      <w:r w:rsidRPr="005A521C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m:rPr>
                <m:nor/>
              </m:rPr>
              <w:rPr>
                <w:lang w:val="en-GB"/>
              </w:rPr>
              <m:t>SCG</m:t>
            </m:r>
            <m:ctrlPr>
              <w:rPr>
                <w:rFonts w:ascii="Cambria Math" w:hAnsi="Cambria Math"/>
                <w:lang w:val="en-GB"/>
              </w:rPr>
            </m:ctrlPr>
          </m:sub>
        </m:sSub>
      </m:oMath>
      <w:r w:rsidRPr="005A521C">
        <w:rPr>
          <w:iCs/>
          <w:lang w:val="en-GB"/>
        </w:rPr>
        <w:t xml:space="preserve"> to be configured such that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lang w:val="en-GB"/>
              </w:rPr>
              <m:t>MCG</m:t>
            </m:r>
            <m:ctrlPr>
              <w:rPr>
                <w:rFonts w:ascii="Cambria Math" w:hAnsi="Cambria Math"/>
                <w:lang w:val="en-GB"/>
              </w:rPr>
            </m:ctrlP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SCG</m:t>
            </m:r>
          </m:sub>
        </m:sSub>
        <m:r>
          <w:rPr>
            <w:rFonts w:ascii="Cambria Math" w:hAnsi="Cambria Math"/>
            <w:lang w:val="en-GB"/>
          </w:rPr>
          <m:t>&gt;</m:t>
        </m:r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Total</m:t>
            </m:r>
          </m:sub>
          <m:sup>
            <m:r>
              <w:rPr>
                <w:rFonts w:ascii="Cambria Math" w:hAnsi="Cambria Math"/>
                <w:lang w:val="en-GB"/>
              </w:rPr>
              <m:t>NR-DC</m:t>
            </m:r>
          </m:sup>
        </m:sSubSup>
      </m:oMath>
      <w:r w:rsidRPr="005A521C">
        <w:rPr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lang w:val="en-GB"/>
              </w:rPr>
              <m:t>MCG</m:t>
            </m:r>
            <m:ctrlPr>
              <w:rPr>
                <w:rFonts w:ascii="Cambria Math" w:hAnsi="Cambria Math"/>
                <w:lang w:val="en-GB"/>
              </w:rPr>
            </m:ctrlPr>
          </m:sub>
        </m:sSub>
      </m:oMath>
      <w:r w:rsidRPr="005A521C">
        <w:rPr>
          <w:lang w:val="en-GB"/>
        </w:rPr>
        <w:t xml:space="preserve"> is the linear value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m:rPr>
                <m:nor/>
              </m:rPr>
              <w:rPr>
                <w:lang w:val="en-GB"/>
              </w:rPr>
              <m:t>MCG</m:t>
            </m:r>
            <m:ctrlPr>
              <w:rPr>
                <w:rFonts w:ascii="Cambria Math" w:hAnsi="Cambria Math"/>
                <w:lang w:val="en-GB"/>
              </w:rPr>
            </m:ctrlPr>
          </m:sub>
        </m:sSub>
      </m:oMath>
      <w:r w:rsidRPr="005A521C">
        <w:rPr>
          <w:lang w:val="en-GB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SCG</m:t>
            </m:r>
          </m:sub>
        </m:sSub>
      </m:oMath>
      <w:r w:rsidRPr="005A521C">
        <w:rPr>
          <w:lang w:val="en-GB"/>
        </w:rPr>
        <w:t xml:space="preserve"> is the linear value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m:rPr>
                <m:nor/>
              </m:rPr>
              <w:rPr>
                <w:lang w:val="en-GB"/>
              </w:rPr>
              <m:t>SCG</m:t>
            </m:r>
            <m:ctrlPr>
              <w:rPr>
                <w:rFonts w:ascii="Cambria Math" w:hAnsi="Cambria Math"/>
                <w:lang w:val="en-GB"/>
              </w:rPr>
            </m:ctrlPr>
          </m:sub>
        </m:sSub>
      </m:oMath>
      <w:r w:rsidRPr="005A521C">
        <w:rPr>
          <w:lang w:val="en-GB"/>
        </w:rPr>
        <w:t xml:space="preserve">, and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Total</m:t>
            </m:r>
          </m:sub>
          <m:sup>
            <m:r>
              <w:rPr>
                <w:rFonts w:ascii="Cambria Math" w:hAnsi="Cambria Math"/>
                <w:lang w:val="en-GB"/>
              </w:rPr>
              <m:t>NR-DC</m:t>
            </m:r>
          </m:sup>
        </m:sSubSup>
      </m:oMath>
      <w:r w:rsidRPr="005A521C">
        <w:rPr>
          <w:lang w:val="en-GB"/>
        </w:rPr>
        <w:t xml:space="preserve"> is the linear value of a configured maximum transmission power for NR-DC operation in FR1 or FR2 as defined in [8-3, TS 38.101-3].</w:t>
      </w:r>
    </w:p>
    <w:p w14:paraId="505257AF" w14:textId="0BC8DFF0" w:rsidR="0017270D" w:rsidRPr="0017270D" w:rsidRDefault="0017270D" w:rsidP="0017270D">
      <w:pPr>
        <w:pStyle w:val="BodyText"/>
        <w:jc w:val="center"/>
        <w:rPr>
          <w:color w:val="4472C4" w:themeColor="accent1"/>
        </w:rPr>
      </w:pPr>
      <w:r w:rsidRPr="0017270D">
        <w:rPr>
          <w:color w:val="4472C4" w:themeColor="accent1"/>
        </w:rPr>
        <w:t>&lt;unchanged parts omitted&gt;</w:t>
      </w:r>
    </w:p>
    <w:p w14:paraId="4085D59D" w14:textId="0EBEFF78" w:rsidR="0017270D" w:rsidRDefault="0017270D" w:rsidP="0017270D">
      <w:pPr>
        <w:pStyle w:val="BodyText"/>
        <w:jc w:val="center"/>
      </w:pPr>
      <w:r>
        <w:t>--------------- end TP</w:t>
      </w:r>
      <w:r w:rsidR="00F02FDB">
        <w:t>1</w:t>
      </w:r>
      <w:r>
        <w:t xml:space="preserve"> ------------------------</w:t>
      </w:r>
    </w:p>
    <w:p w14:paraId="0917D15D" w14:textId="505A2F68" w:rsidR="0017270D" w:rsidRPr="005E3133" w:rsidRDefault="005E3133" w:rsidP="006907C7">
      <w:pPr>
        <w:pStyle w:val="BodyText"/>
        <w:rPr>
          <w:iCs/>
        </w:rPr>
      </w:pPr>
      <w:r>
        <w:rPr>
          <w:iCs/>
        </w:rPr>
        <w:t xml:space="preserve">In [3], it was proposed to specify </w:t>
      </w:r>
      <w:r w:rsidR="00930BF1">
        <w:rPr>
          <w:iCs/>
        </w:rPr>
        <w:t>‘</w:t>
      </w:r>
      <w:r>
        <w:rPr>
          <w:rFonts w:ascii="Times" w:eastAsia="SimSun" w:hAnsi="Times" w:cs="Times"/>
          <w:kern w:val="2"/>
          <w:szCs w:val="20"/>
          <w:lang w:eastAsia="zh-CN"/>
        </w:rPr>
        <w:t>independent power control</w:t>
      </w:r>
      <w:r w:rsidR="00930BF1">
        <w:rPr>
          <w:rFonts w:ascii="Times" w:eastAsia="SimSun" w:hAnsi="Times" w:cs="Times"/>
          <w:kern w:val="2"/>
          <w:szCs w:val="20"/>
          <w:lang w:eastAsia="zh-CN"/>
        </w:rPr>
        <w:t>’</w:t>
      </w:r>
      <w:r>
        <w:rPr>
          <w:rFonts w:ascii="Times" w:eastAsia="SimSun" w:hAnsi="Times" w:cs="Times"/>
          <w:kern w:val="2"/>
          <w:szCs w:val="20"/>
          <w:lang w:eastAsia="zh-CN"/>
        </w:rPr>
        <w:t xml:space="preserve"> for NR-DC FR2+FR2 in Rel-16, if RAN4 does </w:t>
      </w:r>
      <w:r w:rsidR="0000017E">
        <w:rPr>
          <w:rFonts w:ascii="Times" w:eastAsia="SimSun" w:hAnsi="Times" w:cs="Times"/>
          <w:kern w:val="2"/>
          <w:szCs w:val="20"/>
          <w:lang w:eastAsia="zh-CN"/>
        </w:rPr>
        <w:t xml:space="preserve">not </w:t>
      </w:r>
      <w:r>
        <w:rPr>
          <w:rFonts w:ascii="Times" w:eastAsia="SimSun" w:hAnsi="Times" w:cs="Times"/>
          <w:kern w:val="2"/>
          <w:szCs w:val="20"/>
          <w:lang w:eastAsia="zh-CN"/>
        </w:rPr>
        <w:t xml:space="preserve">specify </w:t>
      </w:r>
      <w:r w:rsidRPr="005A521C">
        <w:rPr>
          <w:i/>
          <w:lang w:val="en-GB"/>
        </w:rPr>
        <w:t>p-NR-FR2</w:t>
      </w:r>
      <w:r w:rsidR="0000017E">
        <w:rPr>
          <w:iCs/>
          <w:lang w:val="en-GB"/>
        </w:rPr>
        <w:t xml:space="preserve"> in Rel16.</w:t>
      </w:r>
      <w:r>
        <w:rPr>
          <w:iCs/>
          <w:lang w:val="en-GB"/>
        </w:rPr>
        <w:t xml:space="preserve"> This would </w:t>
      </w:r>
      <w:r w:rsidR="002E07E4">
        <w:rPr>
          <w:iCs/>
          <w:lang w:val="en-GB"/>
        </w:rPr>
        <w:t>not be consistent with</w:t>
      </w:r>
      <w:r>
        <w:rPr>
          <w:iCs/>
          <w:lang w:val="en-GB"/>
        </w:rPr>
        <w:t xml:space="preserve"> previous RAN1 decisions on NR-DC power sharing. Also, it is </w:t>
      </w:r>
      <w:r w:rsidR="00F02FDB">
        <w:rPr>
          <w:iCs/>
          <w:lang w:val="en-GB"/>
        </w:rPr>
        <w:t xml:space="preserve">unclear if such independent power sharing would be consistent with RAN4 requirements related to UE power </w:t>
      </w:r>
      <w:r w:rsidR="00930BF1">
        <w:rPr>
          <w:iCs/>
          <w:lang w:val="en-GB"/>
        </w:rPr>
        <w:t>limits</w:t>
      </w:r>
      <w:r w:rsidR="00F02FDB">
        <w:rPr>
          <w:iCs/>
          <w:lang w:val="en-GB"/>
        </w:rPr>
        <w:t xml:space="preserve"> for FR2</w:t>
      </w:r>
      <w:r w:rsidR="00930BF1">
        <w:rPr>
          <w:iCs/>
          <w:lang w:val="en-GB"/>
        </w:rPr>
        <w:t xml:space="preserve"> transmissions</w:t>
      </w:r>
      <w:r w:rsidR="00A822EE">
        <w:rPr>
          <w:iCs/>
          <w:lang w:val="en-GB"/>
        </w:rPr>
        <w:t xml:space="preserve"> and further input from RAN4 is needed to decide such aspects</w:t>
      </w:r>
      <w:r w:rsidR="00F02FDB">
        <w:rPr>
          <w:iCs/>
          <w:lang w:val="en-GB"/>
        </w:rPr>
        <w:t>. Accordingly, we do not prefer the approaches suggested in [3].</w:t>
      </w:r>
    </w:p>
    <w:p w14:paraId="118FD867" w14:textId="4CBE76E0" w:rsidR="00F02FDB" w:rsidRDefault="00F02FDB" w:rsidP="00F02FDB">
      <w:pPr>
        <w:pStyle w:val="Heading1"/>
        <w:tabs>
          <w:tab w:val="num" w:pos="3544"/>
        </w:tabs>
        <w:spacing w:before="180"/>
        <w:ind w:left="562" w:hanging="562"/>
      </w:pPr>
      <w:r>
        <w:t>Conclusion</w:t>
      </w:r>
    </w:p>
    <w:p w14:paraId="76595DBE" w14:textId="596528C7" w:rsidR="00F02FDB" w:rsidRDefault="00F02FDB" w:rsidP="00F02FDB">
      <w:pPr>
        <w:pStyle w:val="BodyText"/>
      </w:pPr>
      <w:r>
        <w:t>In this document</w:t>
      </w:r>
      <w:r w:rsidR="00930BF1">
        <w:t>,</w:t>
      </w:r>
      <w:r>
        <w:t xml:space="preserve"> we discuss the issues arising from RAN4 LS [1], related to p-</w:t>
      </w:r>
      <w:r w:rsidR="005E4A1D">
        <w:t>N</w:t>
      </w:r>
      <w:r>
        <w:t xml:space="preserve">R-FR2 and propose </w:t>
      </w:r>
      <w:r w:rsidR="00930BF1">
        <w:t>to agree to TP1 given in previous section.</w:t>
      </w:r>
    </w:p>
    <w:p w14:paraId="00AC74B7" w14:textId="77777777" w:rsidR="003D1563" w:rsidRDefault="003D1563" w:rsidP="003D1563">
      <w:pPr>
        <w:pStyle w:val="Heading1"/>
      </w:pPr>
      <w:r>
        <w:t>References</w:t>
      </w:r>
    </w:p>
    <w:p w14:paraId="08E061B0" w14:textId="0E4595B0" w:rsidR="008D3352" w:rsidRDefault="008D3352" w:rsidP="008D3352">
      <w:r>
        <w:t xml:space="preserve">[1] </w:t>
      </w:r>
      <w:r w:rsidR="00930BF1" w:rsidRPr="00930BF1">
        <w:t>R1-2102303</w:t>
      </w:r>
      <w:r>
        <w:t>,</w:t>
      </w:r>
      <w:r w:rsidR="00930BF1">
        <w:t xml:space="preserve"> “</w:t>
      </w:r>
      <w:r w:rsidR="00930BF1" w:rsidRPr="00930BF1">
        <w:t>Further Reply LS on power control for NR-DC</w:t>
      </w:r>
      <w:r>
        <w:t xml:space="preserve">”, </w:t>
      </w:r>
      <w:r w:rsidR="00930BF1">
        <w:t>RAN4 to RAN</w:t>
      </w:r>
      <w:proofErr w:type="gramStart"/>
      <w:r w:rsidR="00930BF1">
        <w:t>1,RAN</w:t>
      </w:r>
      <w:proofErr w:type="gramEnd"/>
      <w:r w:rsidR="00930BF1">
        <w:t>2 LS, RAN1#104b-e</w:t>
      </w:r>
      <w:r>
        <w:t xml:space="preserve">, </w:t>
      </w:r>
      <w:r w:rsidR="00930BF1">
        <w:t>April 2021.</w:t>
      </w:r>
    </w:p>
    <w:p w14:paraId="10853DCF" w14:textId="09D969AC" w:rsidR="003D1563" w:rsidRDefault="008D3352">
      <w:r>
        <w:t>[2] R</w:t>
      </w:r>
      <w:r w:rsidR="00930BF1">
        <w:t>2</w:t>
      </w:r>
      <w:r>
        <w:t>-2</w:t>
      </w:r>
      <w:r w:rsidR="00930BF1">
        <w:t>1xxxxx, “Correction on p-UE-FR2 and p-NR-FR2 for NR-DC power control”, Ericsson, RAN2#113b-e, April 2021.</w:t>
      </w:r>
    </w:p>
    <w:p w14:paraId="39CEA27B" w14:textId="4DD9F02A" w:rsidR="003D1563" w:rsidRDefault="00930BF1">
      <w:r>
        <w:t xml:space="preserve">[3] </w:t>
      </w:r>
      <w:r w:rsidRPr="00930BF1">
        <w:t>R1-2100420</w:t>
      </w:r>
      <w:r>
        <w:t>, “</w:t>
      </w:r>
      <w:r w:rsidRPr="00930BF1">
        <w:t>Maintenance on MR-DC and CA enhancements</w:t>
      </w:r>
      <w:r>
        <w:t>”, vivo, RAN1#104-e, January 2021.</w:t>
      </w:r>
    </w:p>
    <w:sectPr w:rsidR="003D156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B75BA0" w14:textId="77777777" w:rsidR="00FA3462" w:rsidRDefault="00FA3462">
      <w:r>
        <w:separator/>
      </w:r>
    </w:p>
  </w:endnote>
  <w:endnote w:type="continuationSeparator" w:id="0">
    <w:p w14:paraId="35548088" w14:textId="77777777" w:rsidR="00FA3462" w:rsidRDefault="00FA3462">
      <w:r>
        <w:continuationSeparator/>
      </w:r>
    </w:p>
  </w:endnote>
  <w:endnote w:type="continuationNotice" w:id="1">
    <w:p w14:paraId="24A9A9BF" w14:textId="77777777" w:rsidR="00FA3462" w:rsidRDefault="00FA34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FB14F8" w14:textId="77777777" w:rsidR="00741DBD" w:rsidRDefault="003726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601A87" w14:textId="77777777" w:rsidR="00741DBD" w:rsidRDefault="00FA3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5ED74" w14:textId="77777777" w:rsidR="00FA3462" w:rsidRDefault="00FA3462">
      <w:r>
        <w:separator/>
      </w:r>
    </w:p>
  </w:footnote>
  <w:footnote w:type="continuationSeparator" w:id="0">
    <w:p w14:paraId="466B67EF" w14:textId="77777777" w:rsidR="00FA3462" w:rsidRDefault="00FA3462">
      <w:r>
        <w:continuationSeparator/>
      </w:r>
    </w:p>
  </w:footnote>
  <w:footnote w:type="continuationNotice" w:id="1">
    <w:p w14:paraId="264BEB74" w14:textId="77777777" w:rsidR="00FA3462" w:rsidRDefault="00FA34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A3C0B" w14:textId="77777777" w:rsidR="00741DBD" w:rsidRDefault="00FA3462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F33CB"/>
    <w:multiLevelType w:val="multilevel"/>
    <w:tmpl w:val="1FF20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5270354"/>
    <w:multiLevelType w:val="hybridMultilevel"/>
    <w:tmpl w:val="41249230"/>
    <w:lvl w:ilvl="0" w:tplc="D45C8D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362BC"/>
    <w:multiLevelType w:val="multilevel"/>
    <w:tmpl w:val="1B2EF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8426FD1"/>
    <w:multiLevelType w:val="hybridMultilevel"/>
    <w:tmpl w:val="DBAE1C1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A0EEC"/>
    <w:multiLevelType w:val="hybridMultilevel"/>
    <w:tmpl w:val="3836E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FD6C1A"/>
    <w:multiLevelType w:val="multilevel"/>
    <w:tmpl w:val="E34C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C7D37C2"/>
    <w:multiLevelType w:val="hybridMultilevel"/>
    <w:tmpl w:val="C312F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4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563"/>
    <w:rsid w:val="0000017E"/>
    <w:rsid w:val="000957F3"/>
    <w:rsid w:val="00131F16"/>
    <w:rsid w:val="0017270D"/>
    <w:rsid w:val="00293391"/>
    <w:rsid w:val="002B03FB"/>
    <w:rsid w:val="002E07E4"/>
    <w:rsid w:val="003726E3"/>
    <w:rsid w:val="003D1563"/>
    <w:rsid w:val="00516B10"/>
    <w:rsid w:val="005A521C"/>
    <w:rsid w:val="005E3133"/>
    <w:rsid w:val="005E4A1D"/>
    <w:rsid w:val="0067360B"/>
    <w:rsid w:val="00681470"/>
    <w:rsid w:val="006907C7"/>
    <w:rsid w:val="0088163F"/>
    <w:rsid w:val="008D3352"/>
    <w:rsid w:val="00930428"/>
    <w:rsid w:val="00930BF1"/>
    <w:rsid w:val="00946E4E"/>
    <w:rsid w:val="009A3F8A"/>
    <w:rsid w:val="009B4018"/>
    <w:rsid w:val="00A822EE"/>
    <w:rsid w:val="00AE09E1"/>
    <w:rsid w:val="00B2780C"/>
    <w:rsid w:val="00B773B8"/>
    <w:rsid w:val="00C65D0D"/>
    <w:rsid w:val="00D81D6C"/>
    <w:rsid w:val="00E85978"/>
    <w:rsid w:val="00EB7730"/>
    <w:rsid w:val="00F02FDB"/>
    <w:rsid w:val="00FA3462"/>
    <w:rsid w:val="00FC7618"/>
    <w:rsid w:val="00FE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DA0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56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3D1563"/>
    <w:pPr>
      <w:keepNext/>
      <w:numPr>
        <w:numId w:val="1"/>
      </w:numPr>
      <w:tabs>
        <w:tab w:val="left" w:pos="1134"/>
      </w:tabs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3D1563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D1563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3D1563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3D1563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D1563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D1563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D1563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3D1563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3D1563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D1563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D1563"/>
    <w:rPr>
      <w:rFonts w:ascii="Arial" w:eastAsia="MS Mincho" w:hAnsi="Arial" w:cs="Times New Roman"/>
      <w:b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3D15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1563"/>
    <w:rPr>
      <w:rFonts w:ascii="Times New Roman" w:eastAsia="Times New Roman" w:hAnsi="Times New Roman" w:cs="Times New Roman"/>
      <w:sz w:val="20"/>
      <w:szCs w:val="24"/>
    </w:rPr>
  </w:style>
  <w:style w:type="paragraph" w:customStyle="1" w:styleId="Reference">
    <w:name w:val="Reference"/>
    <w:basedOn w:val="BodyText"/>
    <w:rsid w:val="003D156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5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563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aliases w:val="- Bullets,목록 단락,列出段落,?? ??,?????,????,Lista1,中等深浅网格 1 - 着色 21,列出段落1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D1563"/>
    <w:pPr>
      <w:ind w:left="720"/>
    </w:pPr>
    <w:rPr>
      <w:rFonts w:eastAsiaTheme="minorHAnsi"/>
      <w:sz w:val="24"/>
    </w:rPr>
  </w:style>
  <w:style w:type="character" w:customStyle="1" w:styleId="PLChar">
    <w:name w:val="PL Char"/>
    <w:basedOn w:val="DefaultParagraphFont"/>
    <w:link w:val="PL"/>
    <w:locked/>
    <w:rsid w:val="003D1563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rsid w:val="003D1563"/>
    <w:pPr>
      <w:shd w:val="clear" w:color="auto" w:fill="E6E6E6"/>
      <w:overflowPunct w:val="0"/>
      <w:autoSpaceDE w:val="0"/>
      <w:autoSpaceDN w:val="0"/>
    </w:pPr>
    <w:rPr>
      <w:rFonts w:ascii="Courier New" w:eastAsiaTheme="minorHAnsi" w:hAnsi="Courier New" w:cs="Courier New"/>
      <w:sz w:val="22"/>
      <w:szCs w:val="22"/>
      <w:lang w:eastAsia="en-GB"/>
    </w:rPr>
  </w:style>
  <w:style w:type="character" w:customStyle="1" w:styleId="TALCar">
    <w:name w:val="TAL Car"/>
    <w:basedOn w:val="DefaultParagraphFont"/>
    <w:link w:val="TAL"/>
    <w:qFormat/>
    <w:locked/>
    <w:rsid w:val="003D1563"/>
    <w:rPr>
      <w:rFonts w:ascii="Arial" w:hAnsi="Arial" w:cs="Arial"/>
      <w:lang w:eastAsia="ja-JP"/>
    </w:rPr>
  </w:style>
  <w:style w:type="paragraph" w:customStyle="1" w:styleId="TAL">
    <w:name w:val="TAL"/>
    <w:basedOn w:val="Normal"/>
    <w:link w:val="TALCar"/>
    <w:qFormat/>
    <w:rsid w:val="003D1563"/>
    <w:pPr>
      <w:keepNext/>
      <w:overflowPunct w:val="0"/>
      <w:autoSpaceDE w:val="0"/>
      <w:autoSpaceDN w:val="0"/>
    </w:pPr>
    <w:rPr>
      <w:rFonts w:ascii="Arial" w:eastAsiaTheme="minorHAnsi" w:hAnsi="Arial" w:cs="Arial"/>
      <w:sz w:val="22"/>
      <w:szCs w:val="22"/>
      <w:lang w:eastAsia="ja-JP"/>
    </w:rPr>
  </w:style>
  <w:style w:type="character" w:customStyle="1" w:styleId="TAHCar">
    <w:name w:val="TAH Car"/>
    <w:basedOn w:val="DefaultParagraphFont"/>
    <w:link w:val="TAH"/>
    <w:locked/>
    <w:rsid w:val="003D1563"/>
    <w:rPr>
      <w:rFonts w:ascii="Arial" w:hAnsi="Arial" w:cs="Arial"/>
      <w:b/>
      <w:bCs/>
      <w:lang w:eastAsia="ja-JP"/>
    </w:rPr>
  </w:style>
  <w:style w:type="paragraph" w:customStyle="1" w:styleId="TAH">
    <w:name w:val="TAH"/>
    <w:basedOn w:val="Normal"/>
    <w:link w:val="TAHCar"/>
    <w:rsid w:val="003D1563"/>
    <w:pPr>
      <w:keepNext/>
      <w:overflowPunct w:val="0"/>
      <w:autoSpaceDE w:val="0"/>
      <w:autoSpaceDN w:val="0"/>
      <w:jc w:val="center"/>
    </w:pPr>
    <w:rPr>
      <w:rFonts w:ascii="Arial" w:eastAsiaTheme="minorHAnsi" w:hAnsi="Arial" w:cs="Arial"/>
      <w:b/>
      <w:bCs/>
      <w:sz w:val="22"/>
      <w:szCs w:val="22"/>
      <w:lang w:eastAsia="ja-JP"/>
    </w:rPr>
  </w:style>
  <w:style w:type="paragraph" w:customStyle="1" w:styleId="textintend1">
    <w:name w:val="text intend 1"/>
    <w:basedOn w:val="Normal"/>
    <w:rsid w:val="005A521C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出段落1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81D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5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6BFFA9E-6EFB-413D-A6F7-5CC45D8191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57E582-F418-47B3-B59F-3D2AD08A82E7}"/>
</file>

<file path=customXml/itemProps3.xml><?xml version="1.0" encoding="utf-8"?>
<ds:datastoreItem xmlns:ds="http://schemas.openxmlformats.org/officeDocument/2006/customXml" ds:itemID="{73C661BB-C2B3-45D3-BE8E-13A62416D629}"/>
</file>

<file path=customXml/itemProps4.xml><?xml version="1.0" encoding="utf-8"?>
<ds:datastoreItem xmlns:ds="http://schemas.openxmlformats.org/officeDocument/2006/customXml" ds:itemID="{D2B4B9F8-8601-45BB-8927-736C6D5B2F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2021-04-07T05:10:00Z</dcterms:created>
  <dcterms:modified xsi:type="dcterms:W3CDTF">2021-04-07T05:10:00Z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