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2"/>
        <w:rPr>
          <w:lang w:eastAsia="zh-CN"/>
        </w:rPr>
      </w:pPr>
      <w:r>
        <w:rPr>
          <w:lang w:eastAsia="zh-CN"/>
        </w:rPr>
        <w:t xml:space="preserve">2.1 SSB Aspects </w:t>
      </w:r>
    </w:p>
    <w:p w14:paraId="3C38101E" w14:textId="77777777" w:rsidR="00E82F34" w:rsidRDefault="00DB66BB">
      <w:pPr>
        <w:pStyle w:val="3"/>
        <w:rPr>
          <w:lang w:eastAsia="zh-CN"/>
        </w:rPr>
      </w:pPr>
      <w:r>
        <w:rPr>
          <w:lang w:eastAsia="zh-CN"/>
        </w:rPr>
        <w:t>2.1.1 DRS Related Aspects (including potential use of Short Signal Exemption for SSB)</w:t>
      </w:r>
    </w:p>
    <w:p w14:paraId="4DCF2F7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ac"/>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aff3"/>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ac"/>
        <w:spacing w:after="0"/>
        <w:rPr>
          <w:rFonts w:ascii="Times New Roman" w:hAnsi="Times New Roman"/>
          <w:sz w:val="22"/>
          <w:szCs w:val="22"/>
          <w:lang w:eastAsia="zh-CN"/>
        </w:rPr>
      </w:pPr>
    </w:p>
    <w:p w14:paraId="36A3221D" w14:textId="77777777" w:rsidR="00E82F34" w:rsidRDefault="00E82F34">
      <w:pPr>
        <w:pStyle w:val="ac"/>
        <w:spacing w:after="0"/>
        <w:rPr>
          <w:rFonts w:ascii="Times New Roman" w:hAnsi="Times New Roman"/>
          <w:sz w:val="22"/>
          <w:szCs w:val="22"/>
          <w:lang w:eastAsia="zh-CN"/>
        </w:rPr>
      </w:pPr>
    </w:p>
    <w:p w14:paraId="2B6088EE"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76958C9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ac"/>
        <w:spacing w:after="0"/>
        <w:rPr>
          <w:rFonts w:ascii="Times New Roman" w:hAnsi="Times New Roman"/>
          <w:sz w:val="22"/>
          <w:szCs w:val="22"/>
          <w:lang w:eastAsia="zh-CN"/>
        </w:rPr>
      </w:pPr>
    </w:p>
    <w:p w14:paraId="52D1685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BE4D5" w:themeFill="accent2" w:themeFillTint="33"/>
          </w:tcPr>
          <w:p w14:paraId="2E2A4098"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ac"/>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ac"/>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w:t>
            </w:r>
            <w:proofErr w:type="gramStart"/>
            <w:r w:rsidRPr="00E7444D">
              <w:rPr>
                <w:rFonts w:ascii="Times New Roman" w:hAnsi="Times New Roman"/>
                <w:sz w:val="22"/>
                <w:szCs w:val="22"/>
                <w:lang w:eastAsia="zh-CN"/>
              </w:rPr>
              <w:t>actually transmitted</w:t>
            </w:r>
            <w:proofErr w:type="gramEnd"/>
            <w:r w:rsidRPr="00E7444D">
              <w:rPr>
                <w:rFonts w:ascii="Times New Roman" w:hAnsi="Times New Roman"/>
                <w:sz w:val="22"/>
                <w:szCs w:val="22"/>
                <w:lang w:eastAsia="zh-CN"/>
              </w:rPr>
              <w:t xml:space="preserve"> SSBs is large. Hence it would seem relevant to consider LBT mechanism in initial access. </w:t>
            </w:r>
          </w:p>
          <w:p w14:paraId="28B756D6" w14:textId="77777777" w:rsidR="00E7444D" w:rsidRP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ac"/>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ac"/>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364B89E" w14:textId="77777777" w:rsidR="00A1570D" w:rsidRDefault="00A1570D" w:rsidP="00A1570D">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ms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7302A993" w14:textId="1533B2E4" w:rsidR="00A1570D" w:rsidRPr="00A1570D" w:rsidRDefault="00A1570D" w:rsidP="00A1570D">
            <w:pPr>
              <w:pStyle w:val="ac"/>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36D1757" w14:textId="0C52C4E3" w:rsidR="00FC1EB9" w:rsidRDefault="00FC1EB9" w:rsidP="00A1570D">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ac"/>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bl>
    <w:p w14:paraId="5BD1FDB8" w14:textId="77777777" w:rsidR="00E82F34" w:rsidRDefault="00E82F34">
      <w:pPr>
        <w:pStyle w:val="ac"/>
        <w:spacing w:after="0"/>
        <w:rPr>
          <w:rFonts w:ascii="Times New Roman" w:hAnsi="Times New Roman"/>
          <w:sz w:val="22"/>
          <w:szCs w:val="22"/>
          <w:lang w:eastAsia="zh-CN"/>
        </w:rPr>
      </w:pPr>
    </w:p>
    <w:p w14:paraId="21FF7348" w14:textId="77777777" w:rsidR="00E82F34" w:rsidRDefault="00E82F34">
      <w:pPr>
        <w:pStyle w:val="ac"/>
        <w:spacing w:after="0"/>
        <w:rPr>
          <w:rFonts w:ascii="Times New Roman" w:hAnsi="Times New Roman"/>
          <w:sz w:val="22"/>
          <w:szCs w:val="22"/>
          <w:lang w:eastAsia="zh-CN"/>
        </w:rPr>
      </w:pPr>
    </w:p>
    <w:p w14:paraId="5FF65929" w14:textId="77777777" w:rsidR="00E82F34" w:rsidRDefault="00E82F34">
      <w:pPr>
        <w:pStyle w:val="ac"/>
        <w:spacing w:after="0"/>
        <w:rPr>
          <w:rFonts w:ascii="Times New Roman" w:hAnsi="Times New Roman"/>
          <w:sz w:val="22"/>
          <w:szCs w:val="22"/>
          <w:lang w:eastAsia="zh-CN"/>
        </w:rPr>
      </w:pPr>
    </w:p>
    <w:p w14:paraId="08C76918" w14:textId="77777777" w:rsidR="00E82F34" w:rsidRDefault="00DB66BB">
      <w:pPr>
        <w:pStyle w:val="3"/>
        <w:rPr>
          <w:lang w:eastAsia="zh-CN"/>
        </w:rPr>
      </w:pPr>
      <w:r>
        <w:rPr>
          <w:lang w:eastAsia="zh-CN"/>
        </w:rPr>
        <w:t>2.1.2 Supported Numerology</w:t>
      </w:r>
    </w:p>
    <w:p w14:paraId="6517601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B389F8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3A51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aff3"/>
        <w:numPr>
          <w:ilvl w:val="1"/>
          <w:numId w:val="6"/>
        </w:numPr>
        <w:rPr>
          <w:rFonts w:eastAsia="宋体"/>
          <w:lang w:eastAsia="zh-CN"/>
        </w:rPr>
      </w:pPr>
      <w:r>
        <w:rPr>
          <w:rFonts w:eastAsia="宋体"/>
          <w:lang w:eastAsia="zh-CN"/>
        </w:rPr>
        <w:t>Like in Rel-15/16 FR2, for initial access (</w:t>
      </w:r>
      <w:proofErr w:type="spellStart"/>
      <w:r>
        <w:rPr>
          <w:rFonts w:eastAsia="宋体"/>
          <w:lang w:eastAsia="zh-CN"/>
        </w:rPr>
        <w:t>PCell</w:t>
      </w:r>
      <w:proofErr w:type="spellEnd"/>
      <w:r>
        <w:rPr>
          <w:rFonts w:eastAsia="宋体"/>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SS/PBCH block.</w:t>
      </w:r>
    </w:p>
    <w:p w14:paraId="69BBE3A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ac"/>
        <w:spacing w:after="0"/>
        <w:rPr>
          <w:rFonts w:ascii="Times New Roman" w:hAnsi="Times New Roman"/>
          <w:sz w:val="22"/>
          <w:szCs w:val="22"/>
          <w:lang w:eastAsia="zh-CN"/>
        </w:rPr>
      </w:pPr>
    </w:p>
    <w:p w14:paraId="210C24E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ac"/>
        <w:spacing w:after="0"/>
        <w:rPr>
          <w:rFonts w:ascii="Times New Roman" w:hAnsi="Times New Roman"/>
          <w:sz w:val="22"/>
          <w:szCs w:val="22"/>
          <w:lang w:eastAsia="zh-CN"/>
        </w:rPr>
      </w:pPr>
    </w:p>
    <w:p w14:paraId="00E02AF2" w14:textId="77777777" w:rsidR="00E82F34" w:rsidRDefault="00E82F34">
      <w:pPr>
        <w:pStyle w:val="ac"/>
        <w:spacing w:after="0"/>
        <w:rPr>
          <w:rFonts w:ascii="Times New Roman" w:hAnsi="Times New Roman"/>
          <w:sz w:val="22"/>
          <w:szCs w:val="22"/>
          <w:lang w:eastAsia="zh-CN"/>
        </w:rPr>
      </w:pPr>
    </w:p>
    <w:p w14:paraId="32DC30B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E0EBCB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ac"/>
        <w:spacing w:after="0"/>
        <w:rPr>
          <w:rFonts w:ascii="Times New Roman" w:hAnsi="Times New Roman"/>
          <w:sz w:val="22"/>
          <w:szCs w:val="22"/>
          <w:lang w:eastAsia="zh-CN"/>
        </w:rPr>
      </w:pPr>
    </w:p>
    <w:p w14:paraId="6CE30F1C" w14:textId="77777777" w:rsidR="00E82F34" w:rsidRDefault="00E82F34">
      <w:pPr>
        <w:pStyle w:val="ac"/>
        <w:spacing w:after="0"/>
        <w:rPr>
          <w:rFonts w:ascii="Times New Roman" w:hAnsi="Times New Roman"/>
          <w:sz w:val="22"/>
          <w:szCs w:val="22"/>
          <w:lang w:eastAsia="zh-CN"/>
        </w:rPr>
      </w:pPr>
    </w:p>
    <w:p w14:paraId="5DC7A419"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259CC3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1C6F42E9"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58589C4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002AD80B"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0D1C28C1"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82F34" w14:paraId="3815205B" w14:textId="77777777" w:rsidTr="00A1570D">
        <w:tc>
          <w:tcPr>
            <w:tcW w:w="1720" w:type="dxa"/>
          </w:tcPr>
          <w:p w14:paraId="089606D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w:t>
            </w:r>
            <w:proofErr w:type="gramStart"/>
            <w:r w:rsidR="007F40AC">
              <w:rPr>
                <w:rFonts w:ascii="Times New Roman" w:hAnsi="Times New Roman"/>
                <w:sz w:val="22"/>
                <w:szCs w:val="22"/>
                <w:lang w:eastAsia="zh-CN"/>
              </w:rPr>
              <w:t>e.g.</w:t>
            </w:r>
            <w:proofErr w:type="gramEnd"/>
            <w:r w:rsidR="007F40AC">
              <w:rPr>
                <w:rFonts w:ascii="Times New Roman" w:hAnsi="Times New Roman"/>
                <w:sz w:val="22"/>
                <w:szCs w:val="22"/>
                <w:lang w:eastAsia="zh-CN"/>
              </w:rPr>
              <w:t xml:space="preserve">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w:t>
            </w:r>
            <w:r w:rsidR="007F40AC">
              <w:rPr>
                <w:rFonts w:ascii="Times New Roman" w:hAnsi="Times New Roman"/>
                <w:sz w:val="22"/>
                <w:szCs w:val="22"/>
                <w:lang w:eastAsia="zh-CN"/>
              </w:rPr>
              <w:lastRenderedPageBreak/>
              <w:t xml:space="preserve">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ac"/>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2C4AF9F" w14:textId="77777777" w:rsidR="00E7444D" w:rsidRP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w:t>
            </w:r>
            <w:proofErr w:type="gramStart"/>
            <w:r w:rsidRPr="00E7444D">
              <w:rPr>
                <w:rFonts w:ascii="Times New Roman" w:hAnsi="Times New Roman"/>
                <w:sz w:val="22"/>
                <w:szCs w:val="22"/>
                <w:lang w:eastAsia="zh-CN"/>
              </w:rPr>
              <w:t>In order to</w:t>
            </w:r>
            <w:proofErr w:type="gramEnd"/>
            <w:r w:rsidRPr="00E7444D">
              <w:rPr>
                <w:rFonts w:ascii="Times New Roman" w:hAnsi="Times New Roman"/>
                <w:sz w:val="22"/>
                <w:szCs w:val="22"/>
                <w:lang w:eastAsia="zh-CN"/>
              </w:rPr>
              <w:t xml:space="preserve">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ac"/>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ac"/>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ac"/>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ac"/>
              <w:spacing w:after="0"/>
              <w:rPr>
                <w:rFonts w:ascii="Times New Roman" w:hAnsi="Times New Roman" w:hint="eastAsia"/>
                <w:sz w:val="22"/>
                <w:szCs w:val="22"/>
                <w:lang w:eastAsia="zh-CN"/>
              </w:rPr>
            </w:pPr>
            <w:r>
              <w:rPr>
                <w:rFonts w:ascii="Times New Roman" w:hAnsi="Times New Roman"/>
                <w:sz w:val="22"/>
                <w:szCs w:val="22"/>
                <w:lang w:eastAsia="zh-CN"/>
              </w:rPr>
              <w:t xml:space="preserve">For initial access, as mentioned by other companies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bl>
    <w:p w14:paraId="35F2721F" w14:textId="77777777" w:rsidR="00E82F34" w:rsidRDefault="00E82F34">
      <w:pPr>
        <w:pStyle w:val="ac"/>
        <w:spacing w:after="0"/>
        <w:rPr>
          <w:rFonts w:ascii="Times New Roman" w:hAnsi="Times New Roman"/>
          <w:sz w:val="22"/>
          <w:szCs w:val="22"/>
          <w:lang w:eastAsia="zh-CN"/>
        </w:rPr>
      </w:pPr>
    </w:p>
    <w:p w14:paraId="3110DC24" w14:textId="77777777" w:rsidR="00E82F34" w:rsidRDefault="00E82F34">
      <w:pPr>
        <w:pStyle w:val="ac"/>
        <w:spacing w:after="0"/>
        <w:rPr>
          <w:rFonts w:ascii="Times New Roman" w:hAnsi="Times New Roman"/>
          <w:sz w:val="22"/>
          <w:szCs w:val="22"/>
          <w:lang w:eastAsia="zh-CN"/>
        </w:rPr>
      </w:pPr>
    </w:p>
    <w:p w14:paraId="6EDA127D" w14:textId="77777777" w:rsidR="00E82F34" w:rsidRDefault="00E82F34">
      <w:pPr>
        <w:pStyle w:val="ac"/>
        <w:spacing w:after="0"/>
        <w:rPr>
          <w:rFonts w:ascii="Times New Roman" w:hAnsi="Times New Roman"/>
          <w:sz w:val="22"/>
          <w:szCs w:val="22"/>
          <w:lang w:eastAsia="zh-CN"/>
        </w:rPr>
      </w:pPr>
    </w:p>
    <w:p w14:paraId="3F043534" w14:textId="77777777" w:rsidR="00E82F34" w:rsidRDefault="00DB66BB">
      <w:pPr>
        <w:pStyle w:val="3"/>
        <w:rPr>
          <w:lang w:eastAsia="zh-CN"/>
        </w:rPr>
      </w:pPr>
      <w:r>
        <w:rPr>
          <w:lang w:eastAsia="zh-CN"/>
        </w:rPr>
        <w:t>2.1.3 Mixed Numerology between SSB and CORESET#0</w:t>
      </w:r>
    </w:p>
    <w:p w14:paraId="1F79E60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ac"/>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26DBE9B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aff3"/>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78C9524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ac"/>
        <w:spacing w:after="0"/>
        <w:rPr>
          <w:rFonts w:ascii="Times New Roman" w:hAnsi="Times New Roman"/>
          <w:sz w:val="22"/>
          <w:szCs w:val="22"/>
          <w:lang w:eastAsia="zh-CN"/>
        </w:rPr>
      </w:pPr>
    </w:p>
    <w:p w14:paraId="1AA808F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960kHz, CORESET#0 480kHz)</w:t>
      </w:r>
    </w:p>
    <w:p w14:paraId="197B28D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ac"/>
        <w:spacing w:after="0"/>
        <w:rPr>
          <w:rFonts w:ascii="Times New Roman" w:hAnsi="Times New Roman"/>
          <w:sz w:val="22"/>
          <w:szCs w:val="22"/>
          <w:lang w:eastAsia="zh-CN"/>
        </w:rPr>
      </w:pPr>
    </w:p>
    <w:p w14:paraId="18EC6C78" w14:textId="77777777" w:rsidR="00E82F34" w:rsidRDefault="00E82F34">
      <w:pPr>
        <w:pStyle w:val="ac"/>
        <w:spacing w:after="0"/>
        <w:rPr>
          <w:rFonts w:ascii="Times New Roman" w:hAnsi="Times New Roman"/>
          <w:sz w:val="22"/>
          <w:szCs w:val="22"/>
          <w:lang w:eastAsia="zh-CN"/>
        </w:rPr>
      </w:pPr>
    </w:p>
    <w:p w14:paraId="4109E6CD"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7444D" w14:paraId="35E8628E" w14:textId="77777777" w:rsidTr="00A1570D">
        <w:tc>
          <w:tcPr>
            <w:tcW w:w="1720" w:type="dxa"/>
          </w:tcPr>
          <w:p w14:paraId="03DD95CD" w14:textId="1987AF50" w:rsidR="00E7444D"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0C30691E" w14:textId="77777777" w:rsidR="00E7444D" w:rsidRDefault="00E7444D" w:rsidP="00E7444D">
            <w:pPr>
              <w:pStyle w:val="ac"/>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ac"/>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ac"/>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ac"/>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ac"/>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ac"/>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bl>
    <w:p w14:paraId="0BEE218E" w14:textId="77777777" w:rsidR="00E82F34" w:rsidRDefault="00E82F34">
      <w:pPr>
        <w:pStyle w:val="ac"/>
        <w:spacing w:after="0"/>
        <w:rPr>
          <w:rFonts w:ascii="Times New Roman" w:hAnsi="Times New Roman"/>
          <w:sz w:val="22"/>
          <w:szCs w:val="22"/>
          <w:lang w:eastAsia="zh-CN"/>
        </w:rPr>
      </w:pPr>
    </w:p>
    <w:p w14:paraId="4989FE6E" w14:textId="77777777" w:rsidR="00E82F34" w:rsidRDefault="00E82F34">
      <w:pPr>
        <w:pStyle w:val="ac"/>
        <w:spacing w:after="0"/>
        <w:rPr>
          <w:rFonts w:ascii="Times New Roman" w:hAnsi="Times New Roman"/>
          <w:sz w:val="22"/>
          <w:szCs w:val="22"/>
          <w:lang w:eastAsia="zh-CN"/>
        </w:rPr>
      </w:pPr>
    </w:p>
    <w:p w14:paraId="4DF2A47E" w14:textId="77777777" w:rsidR="00E82F34" w:rsidRDefault="00E82F34">
      <w:pPr>
        <w:pStyle w:val="ac"/>
        <w:spacing w:after="0"/>
        <w:rPr>
          <w:rFonts w:ascii="Times New Roman" w:hAnsi="Times New Roman"/>
          <w:sz w:val="22"/>
          <w:szCs w:val="22"/>
          <w:lang w:eastAsia="zh-CN"/>
        </w:rPr>
      </w:pPr>
    </w:p>
    <w:p w14:paraId="709D4A24" w14:textId="77777777" w:rsidR="00E82F34" w:rsidRDefault="00DB66BB">
      <w:pPr>
        <w:pStyle w:val="3"/>
        <w:rPr>
          <w:lang w:eastAsia="zh-CN"/>
        </w:rPr>
      </w:pPr>
      <w:r>
        <w:rPr>
          <w:lang w:eastAsia="zh-CN"/>
        </w:rPr>
        <w:t xml:space="preserve">2.1.4 Initial Access Support for additional Numerologies </w:t>
      </w:r>
    </w:p>
    <w:p w14:paraId="5D32352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numerology operation with 120 kHz for UE which wants to avoid frequency numerology change </w:t>
      </w:r>
      <w:r>
        <w:rPr>
          <w:rFonts w:ascii="Times New Roman" w:hAnsi="Times New Roman"/>
          <w:sz w:val="22"/>
          <w:szCs w:val="22"/>
          <w:lang w:eastAsia="zh-CN"/>
        </w:rPr>
        <w:lastRenderedPageBreak/>
        <w:t>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SS/PBCH block.</w:t>
      </w:r>
    </w:p>
    <w:p w14:paraId="22C07341" w14:textId="77777777" w:rsidR="00E82F34" w:rsidRDefault="00DB66BB">
      <w:pPr>
        <w:pStyle w:val="aff3"/>
        <w:numPr>
          <w:ilvl w:val="1"/>
          <w:numId w:val="6"/>
        </w:numPr>
        <w:rPr>
          <w:rFonts w:eastAsia="宋体"/>
          <w:lang w:eastAsia="zh-CN"/>
        </w:rPr>
      </w:pPr>
      <w:r>
        <w:rPr>
          <w:lang w:eastAsia="zh-CN"/>
        </w:rPr>
        <w:t xml:space="preserve">Observation: </w:t>
      </w:r>
      <w:r>
        <w:rPr>
          <w:rFonts w:eastAsia="宋体"/>
          <w:lang w:eastAsia="zh-CN"/>
        </w:rPr>
        <w:t xml:space="preserve">For basic </w:t>
      </w:r>
      <w:proofErr w:type="spellStart"/>
      <w:r>
        <w:rPr>
          <w:rFonts w:eastAsia="宋体"/>
          <w:lang w:eastAsia="zh-CN"/>
        </w:rPr>
        <w:t>SCell</w:t>
      </w:r>
      <w:proofErr w:type="spellEnd"/>
      <w:r>
        <w:rPr>
          <w:rFonts w:eastAsia="宋体"/>
          <w:lang w:eastAsia="zh-CN"/>
        </w:rPr>
        <w:t xml:space="preserve"> operation, two of the spare bits in IE </w:t>
      </w:r>
      <w:proofErr w:type="spellStart"/>
      <w:r>
        <w:rPr>
          <w:rFonts w:eastAsia="宋体"/>
          <w:lang w:eastAsia="zh-CN"/>
        </w:rPr>
        <w:t>SubcarrierSpacing</w:t>
      </w:r>
      <w:proofErr w:type="spellEnd"/>
      <w:r>
        <w:rPr>
          <w:rFonts w:eastAsia="宋体"/>
          <w:lang w:eastAsia="zh-CN"/>
        </w:rPr>
        <w:t xml:space="preserve"> can be used to indicate either 480 or 960 kHz SCS for a non-initial BWP via dedicated signaling.</w:t>
      </w:r>
    </w:p>
    <w:p w14:paraId="4C12395D" w14:textId="77777777" w:rsidR="00E82F34" w:rsidRDefault="00E82F34">
      <w:pPr>
        <w:pStyle w:val="ac"/>
        <w:spacing w:after="0"/>
        <w:rPr>
          <w:rFonts w:ascii="Times New Roman" w:hAnsi="Times New Roman"/>
          <w:sz w:val="22"/>
          <w:szCs w:val="22"/>
          <w:lang w:eastAsia="zh-CN"/>
        </w:rPr>
      </w:pPr>
    </w:p>
    <w:p w14:paraId="722F79D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ac"/>
        <w:spacing w:after="0"/>
        <w:rPr>
          <w:rFonts w:ascii="Times New Roman" w:hAnsi="Times New Roman"/>
          <w:sz w:val="22"/>
          <w:szCs w:val="22"/>
          <w:lang w:eastAsia="zh-CN"/>
        </w:rPr>
      </w:pPr>
    </w:p>
    <w:p w14:paraId="1550747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ac"/>
        <w:spacing w:after="0"/>
        <w:rPr>
          <w:rFonts w:ascii="Times New Roman" w:hAnsi="Times New Roman"/>
          <w:sz w:val="22"/>
          <w:szCs w:val="22"/>
          <w:lang w:eastAsia="zh-CN"/>
        </w:rPr>
      </w:pPr>
    </w:p>
    <w:p w14:paraId="70FFE586" w14:textId="77777777" w:rsidR="00E82F34" w:rsidRDefault="00E82F34">
      <w:pPr>
        <w:pStyle w:val="ac"/>
        <w:spacing w:after="0"/>
        <w:rPr>
          <w:rFonts w:ascii="Times New Roman" w:hAnsi="Times New Roman"/>
          <w:sz w:val="22"/>
          <w:szCs w:val="22"/>
          <w:lang w:eastAsia="zh-CN"/>
        </w:rPr>
      </w:pPr>
    </w:p>
    <w:p w14:paraId="24154117" w14:textId="77777777" w:rsidR="00E82F34" w:rsidRDefault="00E82F34">
      <w:pPr>
        <w:pStyle w:val="ac"/>
        <w:spacing w:after="0"/>
        <w:rPr>
          <w:rFonts w:ascii="Times New Roman" w:hAnsi="Times New Roman"/>
          <w:sz w:val="22"/>
          <w:szCs w:val="22"/>
          <w:lang w:eastAsia="zh-CN"/>
        </w:rPr>
      </w:pPr>
    </w:p>
    <w:p w14:paraId="5E6EC920" w14:textId="77777777" w:rsidR="00E82F34" w:rsidRDefault="00DB66BB">
      <w:pPr>
        <w:pStyle w:val="3"/>
        <w:rPr>
          <w:lang w:eastAsia="zh-CN"/>
        </w:rPr>
      </w:pPr>
      <w:r>
        <w:rPr>
          <w:lang w:eastAsia="zh-CN"/>
        </w:rPr>
        <w:t>2.1.5 SSB Resource Pattern</w:t>
      </w:r>
    </w:p>
    <w:p w14:paraId="5B26AC3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7B7725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ac"/>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ac"/>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15pt;height:158.25pt" o:ole="">
            <v:imagedata r:id="rId15" o:title=""/>
          </v:shape>
          <o:OLEObject Type="Embed" ProgID="Visio.Drawing.15" ShapeID="_x0000_i1025" DrawAspect="Content" ObjectID="_1673250702" r:id="rId16"/>
        </w:object>
      </w:r>
    </w:p>
    <w:p w14:paraId="52666888" w14:textId="77777777" w:rsidR="00E82F34" w:rsidRDefault="00DB66BB">
      <w:pPr>
        <w:pStyle w:val="ac"/>
        <w:spacing w:after="0"/>
        <w:jc w:val="center"/>
      </w:pPr>
      <w:r>
        <w:object w:dxaOrig="5040" w:dyaOrig="720" w14:anchorId="07731658">
          <v:shape id="_x0000_i1026" type="#_x0000_t75" style="width:252.35pt;height:36.35pt" o:ole="">
            <v:imagedata r:id="rId17" o:title=""/>
          </v:shape>
          <o:OLEObject Type="Embed" ProgID="Visio.Drawing.15" ShapeID="_x0000_i1026" DrawAspect="Content" ObjectID="_1673250703" r:id="rId18"/>
        </w:object>
      </w:r>
    </w:p>
    <w:p w14:paraId="3DC507AB" w14:textId="77777777" w:rsidR="00E82F34" w:rsidRDefault="00DB66BB">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aff3"/>
        <w:numPr>
          <w:ilvl w:val="1"/>
          <w:numId w:val="6"/>
        </w:numPr>
        <w:rPr>
          <w:rFonts w:eastAsia="宋体"/>
          <w:lang w:eastAsia="zh-CN"/>
        </w:rPr>
      </w:pPr>
      <w:r>
        <w:rPr>
          <w:rFonts w:eastAsia="宋体"/>
          <w:lang w:eastAsia="zh-CN"/>
        </w:rPr>
        <w:t xml:space="preserve">At least one symbol gap in time domain between SS/PBCH blocks with different SSB indices should be considered for higher subcarrier spacing (e.g., 960kHz) taking into account a beam </w:t>
      </w:r>
      <w:r>
        <w:rPr>
          <w:rFonts w:eastAsia="宋体"/>
          <w:lang w:eastAsia="zh-CN"/>
        </w:rPr>
        <w:lastRenderedPageBreak/>
        <w:t>switching gap due to a RF interruption time of Tx/Rx beams and/or LBT gap in unlicensed spectrum.</w:t>
      </w:r>
    </w:p>
    <w:p w14:paraId="0836D284" w14:textId="77777777" w:rsidR="00E82F34" w:rsidRDefault="00E82F34">
      <w:pPr>
        <w:pStyle w:val="ac"/>
        <w:spacing w:after="0"/>
        <w:rPr>
          <w:rFonts w:ascii="Times New Roman" w:hAnsi="Times New Roman"/>
          <w:sz w:val="22"/>
          <w:szCs w:val="22"/>
          <w:lang w:eastAsia="zh-CN"/>
        </w:rPr>
      </w:pPr>
    </w:p>
    <w:p w14:paraId="3A36BD0A"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120 kHz, suggest to discuss SSB resource patterns (including whether existing pattern should be applicable).</w:t>
      </w:r>
    </w:p>
    <w:p w14:paraId="7EDC862C" w14:textId="77777777" w:rsidR="00E82F34" w:rsidRDefault="00E82F34">
      <w:pPr>
        <w:pStyle w:val="ac"/>
        <w:spacing w:after="0"/>
        <w:rPr>
          <w:rFonts w:ascii="Times New Roman" w:hAnsi="Times New Roman"/>
          <w:sz w:val="22"/>
          <w:szCs w:val="22"/>
          <w:lang w:eastAsia="zh-CN"/>
        </w:rPr>
      </w:pPr>
    </w:p>
    <w:p w14:paraId="6D143E51"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ac"/>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000BD7B3"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6B0F29E2"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3FC6AAF4"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ac"/>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ac"/>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0C0309" w14:textId="6F56FC76" w:rsidR="00E55FD7" w:rsidRDefault="00E55FD7" w:rsidP="009E18DA">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ac"/>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ac"/>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sidRPr="00D34719">
              <w:rPr>
                <w:rFonts w:ascii="Times New Roman" w:hAnsi="Times New Roman"/>
                <w:sz w:val="22"/>
                <w:szCs w:val="22"/>
                <w:lang w:eastAsia="zh-CN"/>
              </w:rPr>
              <w:t>in order to</w:t>
            </w:r>
            <w:proofErr w:type="gramEnd"/>
            <w:r w:rsidRPr="00D34719">
              <w:rPr>
                <w:rFonts w:ascii="Times New Roman" w:hAnsi="Times New Roman"/>
                <w:sz w:val="22"/>
                <w:szCs w:val="22"/>
                <w:lang w:eastAsia="zh-CN"/>
              </w:rPr>
              <w:t xml:space="preserve"> provide sufficient opportunity for UL transmissions (if slot level gaps are agreed).</w:t>
            </w:r>
          </w:p>
          <w:p w14:paraId="4A0F6F6E" w14:textId="563FC850" w:rsidR="00D34719" w:rsidRPr="00D34719" w:rsidRDefault="00D34719" w:rsidP="00D3471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ac"/>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ac"/>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ac"/>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ac"/>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bl>
    <w:p w14:paraId="0566CF0D" w14:textId="77777777" w:rsidR="00E82F34" w:rsidRDefault="00E82F34">
      <w:pPr>
        <w:pStyle w:val="ac"/>
        <w:spacing w:after="0"/>
        <w:rPr>
          <w:rFonts w:ascii="Times New Roman" w:hAnsi="Times New Roman"/>
          <w:sz w:val="22"/>
          <w:szCs w:val="22"/>
          <w:lang w:eastAsia="zh-CN"/>
        </w:rPr>
      </w:pPr>
    </w:p>
    <w:p w14:paraId="5421D587" w14:textId="77777777" w:rsidR="00E82F34" w:rsidRDefault="00E82F34">
      <w:pPr>
        <w:pStyle w:val="ac"/>
        <w:spacing w:after="0"/>
        <w:rPr>
          <w:rFonts w:ascii="Times New Roman" w:hAnsi="Times New Roman"/>
          <w:sz w:val="22"/>
          <w:szCs w:val="22"/>
          <w:lang w:eastAsia="zh-CN"/>
        </w:rPr>
      </w:pPr>
    </w:p>
    <w:p w14:paraId="3109718A" w14:textId="77777777" w:rsidR="00E82F34" w:rsidRDefault="00E82F34">
      <w:pPr>
        <w:pStyle w:val="ac"/>
        <w:spacing w:after="0"/>
        <w:rPr>
          <w:rFonts w:ascii="Times New Roman" w:hAnsi="Times New Roman"/>
          <w:sz w:val="22"/>
          <w:szCs w:val="22"/>
          <w:lang w:eastAsia="zh-CN"/>
        </w:rPr>
      </w:pPr>
    </w:p>
    <w:p w14:paraId="52557846" w14:textId="77777777" w:rsidR="00E82F34" w:rsidRDefault="00DB66BB">
      <w:pPr>
        <w:pStyle w:val="3"/>
        <w:rPr>
          <w:lang w:eastAsia="zh-CN"/>
        </w:rPr>
      </w:pPr>
      <w:r>
        <w:rPr>
          <w:lang w:eastAsia="zh-CN"/>
        </w:rPr>
        <w:lastRenderedPageBreak/>
        <w:t>2.1.6 SSB and CORESET#0 Multiplexing</w:t>
      </w:r>
    </w:p>
    <w:p w14:paraId="33F3F7A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00A534B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5CE40D5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SSB-Coreset 0 multiplexing patterns are supported for each SCS pair:</w:t>
      </w:r>
    </w:p>
    <w:p w14:paraId="30F4490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a6"/>
        <w:jc w:val="center"/>
        <w:rPr>
          <w:b w:val="0"/>
          <w:bCs w:val="0"/>
        </w:rPr>
      </w:pPr>
      <w:bookmarkStart w:id="1" w:name="_Ref61447449"/>
      <w:r>
        <w:t xml:space="preserve">Table </w:t>
      </w:r>
      <w:fldSimple w:instr=" SEQ Table \* ARABIC ">
        <w:r>
          <w:t>1</w:t>
        </w:r>
      </w:fldSimple>
      <w:bookmarkEnd w:id="0"/>
      <w:bookmarkEnd w:id="1"/>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264F6506" w14:textId="77777777" w:rsidR="00E82F34" w:rsidRDefault="00DB66BB">
      <w:pPr>
        <w:pStyle w:val="ac"/>
        <w:spacing w:after="0"/>
      </w:pPr>
      <w:r>
        <w:object w:dxaOrig="9930" w:dyaOrig="2610" w14:anchorId="652CEDCE">
          <v:shape id="_x0000_i1027" type="#_x0000_t75" style="width:496.15pt;height:131.9pt" o:ole="">
            <v:imagedata r:id="rId19" o:title=""/>
          </v:shape>
          <o:OLEObject Type="Embed" ProgID="Visio.Drawing.15" ShapeID="_x0000_i1027" DrawAspect="Content" ObjectID="_1673250704" r:id="rId20"/>
        </w:object>
      </w:r>
    </w:p>
    <w:p w14:paraId="4EE3622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521E1473" w14:textId="77777777" w:rsidR="00E82F34" w:rsidRDefault="00DB66BB">
      <w:pPr>
        <w:pStyle w:val="ac"/>
        <w:spacing w:after="0"/>
      </w:pPr>
      <w:r>
        <w:object w:dxaOrig="9930" w:dyaOrig="4030" w14:anchorId="07ABEEC0">
          <v:shape id="_x0000_i1028" type="#_x0000_t75" style="width:496.15pt;height:201.75pt" o:ole="">
            <v:imagedata r:id="rId21" o:title=""/>
          </v:shape>
          <o:OLEObject Type="Embed" ProgID="Visio.Drawing.15" ShapeID="_x0000_i1028" DrawAspect="Content" ObjectID="_1673250705" r:id="rId22"/>
        </w:object>
      </w:r>
    </w:p>
    <w:p w14:paraId="6703508C" w14:textId="77777777" w:rsidR="00E82F34" w:rsidRDefault="00DB66BB">
      <w:pPr>
        <w:pStyle w:val="ac"/>
        <w:spacing w:after="0"/>
      </w:pPr>
      <w:r>
        <w:object w:dxaOrig="9930" w:dyaOrig="4030" w14:anchorId="69F2F957">
          <v:shape id="_x0000_i1029" type="#_x0000_t75" style="width:496.15pt;height:201.75pt" o:ole="">
            <v:imagedata r:id="rId23" o:title=""/>
          </v:shape>
          <o:OLEObject Type="Embed" ProgID="Visio.Drawing.15" ShapeID="_x0000_i1029" DrawAspect="Content" ObjectID="_1673250706" r:id="rId24"/>
        </w:object>
      </w:r>
    </w:p>
    <w:p w14:paraId="053603B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ac"/>
        <w:spacing w:after="0"/>
        <w:jc w:val="center"/>
        <w:rPr>
          <w:rFonts w:ascii="Times New Roman" w:hAnsi="Times New Roman"/>
          <w:sz w:val="22"/>
          <w:szCs w:val="22"/>
          <w:lang w:eastAsia="zh-CN"/>
        </w:rPr>
      </w:pPr>
      <w:r>
        <w:object w:dxaOrig="4750" w:dyaOrig="2310" w14:anchorId="29546449">
          <v:shape id="_x0000_i1030" type="#_x0000_t75" style="width:237.4pt;height:116.2pt" o:ole="">
            <v:imagedata r:id="rId25" o:title=""/>
          </v:shape>
          <o:OLEObject Type="Embed" ProgID="Visio.Drawing.15" ShapeID="_x0000_i1030" DrawAspect="Content" ObjectID="_1673250707" r:id="rId26"/>
        </w:object>
      </w:r>
    </w:p>
    <w:p w14:paraId="2D69832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aff3"/>
        <w:numPr>
          <w:ilvl w:val="1"/>
          <w:numId w:val="6"/>
        </w:numPr>
        <w:rPr>
          <w:rFonts w:eastAsia="宋体"/>
          <w:lang w:eastAsia="zh-CN"/>
        </w:rPr>
      </w:pPr>
      <w:r>
        <w:rPr>
          <w:rFonts w:eastAsia="宋体"/>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ac"/>
        <w:spacing w:after="0"/>
        <w:rPr>
          <w:rFonts w:ascii="Times New Roman" w:hAnsi="Times New Roman"/>
          <w:sz w:val="22"/>
          <w:szCs w:val="22"/>
          <w:lang w:eastAsia="zh-CN"/>
        </w:rPr>
      </w:pPr>
    </w:p>
    <w:p w14:paraId="4585289E" w14:textId="77777777" w:rsidR="00E82F34" w:rsidRDefault="00E82F34">
      <w:pPr>
        <w:pStyle w:val="ac"/>
        <w:spacing w:after="0"/>
        <w:rPr>
          <w:rFonts w:ascii="Times New Roman" w:hAnsi="Times New Roman"/>
          <w:sz w:val="22"/>
          <w:szCs w:val="22"/>
          <w:lang w:eastAsia="zh-CN"/>
        </w:rPr>
      </w:pPr>
    </w:p>
    <w:p w14:paraId="20741FA6"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1E8CC32" w14:textId="77777777" w:rsidR="00E82F34" w:rsidRDefault="00E82F34">
      <w:pPr>
        <w:pStyle w:val="ac"/>
        <w:spacing w:after="0"/>
        <w:rPr>
          <w:rFonts w:ascii="Times New Roman" w:hAnsi="Times New Roman"/>
          <w:sz w:val="22"/>
          <w:szCs w:val="22"/>
          <w:lang w:eastAsia="zh-CN"/>
        </w:rPr>
      </w:pPr>
    </w:p>
    <w:p w14:paraId="3AEE884F"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3F00027"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94277D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75FD2CC1"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ac"/>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ac"/>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ac"/>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ac"/>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ac"/>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408A77FD" w14:textId="52F5A73F"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ac"/>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ac"/>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ac"/>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ac"/>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ac"/>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ac"/>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ac"/>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ac"/>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lastRenderedPageBreak/>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297F1DC9" w14:textId="6136E338" w:rsidR="000E331F" w:rsidRPr="005E1A8D" w:rsidRDefault="000E331F" w:rsidP="000E331F">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300D6D" w:rsidRPr="00D34719" w14:paraId="4ED8493A" w14:textId="77777777">
        <w:tc>
          <w:tcPr>
            <w:tcW w:w="1345" w:type="dxa"/>
          </w:tcPr>
          <w:p w14:paraId="7B6D736C" w14:textId="45D53192" w:rsidR="00300D6D" w:rsidRDefault="00300D6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bl>
    <w:p w14:paraId="12F718DF" w14:textId="77777777" w:rsidR="00E82F34" w:rsidRDefault="00E82F34">
      <w:pPr>
        <w:pStyle w:val="ac"/>
        <w:spacing w:after="0"/>
        <w:rPr>
          <w:rFonts w:ascii="Times New Roman" w:hAnsi="Times New Roman"/>
          <w:sz w:val="22"/>
          <w:szCs w:val="22"/>
          <w:lang w:eastAsia="zh-CN"/>
        </w:rPr>
      </w:pPr>
    </w:p>
    <w:p w14:paraId="2C81CEEC" w14:textId="77777777" w:rsidR="00E82F34" w:rsidRDefault="00E82F34">
      <w:pPr>
        <w:pStyle w:val="ac"/>
        <w:spacing w:after="0"/>
        <w:rPr>
          <w:rFonts w:ascii="Times New Roman" w:hAnsi="Times New Roman"/>
          <w:sz w:val="22"/>
          <w:szCs w:val="22"/>
          <w:lang w:eastAsia="zh-CN"/>
        </w:rPr>
      </w:pPr>
    </w:p>
    <w:p w14:paraId="0AEBF826" w14:textId="77777777" w:rsidR="00E82F34" w:rsidRDefault="00E82F34">
      <w:pPr>
        <w:pStyle w:val="ac"/>
        <w:spacing w:after="0"/>
        <w:rPr>
          <w:rFonts w:ascii="Times New Roman" w:hAnsi="Times New Roman"/>
          <w:sz w:val="22"/>
          <w:szCs w:val="22"/>
          <w:lang w:eastAsia="zh-CN"/>
        </w:rPr>
      </w:pPr>
    </w:p>
    <w:p w14:paraId="199B7710" w14:textId="77777777" w:rsidR="00E82F34" w:rsidRDefault="00DB66BB">
      <w:pPr>
        <w:pStyle w:val="3"/>
        <w:rPr>
          <w:lang w:eastAsia="zh-CN"/>
        </w:rPr>
      </w:pPr>
      <w:r>
        <w:rPr>
          <w:lang w:eastAsia="zh-CN"/>
        </w:rPr>
        <w:t>2.1.7 CORESET#0 Configuration</w:t>
      </w:r>
    </w:p>
    <w:p w14:paraId="7C336F8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3AB7C5E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72F5B1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44FE9C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8C97CD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54C751B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7D96E538" w14:textId="77777777" w:rsidR="00E82F34" w:rsidRDefault="00E82F34">
      <w:pPr>
        <w:pStyle w:val="ac"/>
        <w:spacing w:after="0"/>
        <w:rPr>
          <w:rFonts w:ascii="Times New Roman" w:hAnsi="Times New Roman"/>
          <w:sz w:val="22"/>
          <w:szCs w:val="22"/>
          <w:lang w:eastAsia="zh-CN"/>
        </w:rPr>
      </w:pPr>
    </w:p>
    <w:p w14:paraId="20E48C5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4C32FE8B" w14:textId="77777777" w:rsidR="00E82F34" w:rsidRDefault="00E82F34">
      <w:pPr>
        <w:pStyle w:val="ac"/>
        <w:spacing w:after="0"/>
        <w:rPr>
          <w:rFonts w:ascii="Times New Roman" w:hAnsi="Times New Roman"/>
          <w:sz w:val="22"/>
          <w:szCs w:val="22"/>
          <w:lang w:eastAsia="zh-CN"/>
        </w:rPr>
      </w:pPr>
    </w:p>
    <w:p w14:paraId="5B5BFF59" w14:textId="77777777" w:rsidR="00E82F34" w:rsidRDefault="00E82F34">
      <w:pPr>
        <w:pStyle w:val="ac"/>
        <w:spacing w:after="0"/>
        <w:rPr>
          <w:rFonts w:ascii="Times New Roman" w:hAnsi="Times New Roman"/>
          <w:sz w:val="22"/>
          <w:szCs w:val="22"/>
          <w:lang w:eastAsia="zh-CN"/>
        </w:rPr>
      </w:pPr>
    </w:p>
    <w:p w14:paraId="735FE5E6"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5903F1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ac"/>
        <w:spacing w:after="0"/>
        <w:rPr>
          <w:rFonts w:ascii="Times New Roman" w:hAnsi="Times New Roman"/>
          <w:sz w:val="22"/>
          <w:szCs w:val="22"/>
          <w:lang w:eastAsia="zh-CN"/>
        </w:rPr>
      </w:pPr>
    </w:p>
    <w:p w14:paraId="7418BBDE" w14:textId="77777777" w:rsidR="00E82F34" w:rsidRDefault="00E82F34">
      <w:pPr>
        <w:pStyle w:val="ac"/>
        <w:spacing w:after="0"/>
        <w:rPr>
          <w:rFonts w:ascii="Times New Roman" w:hAnsi="Times New Roman"/>
          <w:sz w:val="22"/>
          <w:szCs w:val="22"/>
          <w:lang w:eastAsia="zh-CN"/>
        </w:rPr>
      </w:pPr>
    </w:p>
    <w:p w14:paraId="73EC1B59" w14:textId="77777777" w:rsidR="00E82F34" w:rsidRDefault="00DB66BB">
      <w:pPr>
        <w:pStyle w:val="3"/>
        <w:rPr>
          <w:lang w:eastAsia="zh-CN"/>
        </w:rPr>
      </w:pPr>
      <w:r>
        <w:rPr>
          <w:lang w:eastAsia="zh-CN"/>
        </w:rPr>
        <w:t>2.1.8 Various other aspects on SSB Design</w:t>
      </w:r>
    </w:p>
    <w:p w14:paraId="43E20E2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43EDE9D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1C8E670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ac"/>
        <w:spacing w:after="0"/>
        <w:rPr>
          <w:rFonts w:ascii="Times New Roman" w:hAnsi="Times New Roman"/>
          <w:sz w:val="22"/>
          <w:szCs w:val="22"/>
          <w:lang w:eastAsia="zh-CN"/>
        </w:rPr>
      </w:pPr>
    </w:p>
    <w:p w14:paraId="38CCD8E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3F970D7D" w14:textId="77777777" w:rsidR="00E82F34" w:rsidRDefault="00E82F34">
      <w:pPr>
        <w:pStyle w:val="ac"/>
        <w:spacing w:after="0"/>
        <w:rPr>
          <w:rFonts w:ascii="Times New Roman" w:hAnsi="Times New Roman"/>
          <w:sz w:val="22"/>
          <w:szCs w:val="22"/>
          <w:lang w:eastAsia="zh-CN"/>
        </w:rPr>
      </w:pPr>
    </w:p>
    <w:p w14:paraId="20ED582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ms, and there is no issue with that. </w:t>
            </w:r>
          </w:p>
          <w:p w14:paraId="617577FC"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23951CB6"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ms could be beneficial to reduce UE monitoring burden, as described in [28]. </w:t>
            </w:r>
          </w:p>
          <w:p w14:paraId="1E6AC7DB"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ac"/>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ac"/>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ac"/>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ac"/>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ac"/>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ac"/>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lastRenderedPageBreak/>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1C37E9A3" w14:textId="77777777" w:rsidR="000E331F" w:rsidRDefault="000E331F" w:rsidP="000E331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bl>
    <w:p w14:paraId="6D756B29" w14:textId="77777777" w:rsidR="00E82F34" w:rsidRDefault="00E82F34">
      <w:pPr>
        <w:pStyle w:val="ac"/>
        <w:spacing w:after="0"/>
        <w:rPr>
          <w:rFonts w:ascii="Times New Roman" w:hAnsi="Times New Roman"/>
          <w:sz w:val="22"/>
          <w:szCs w:val="22"/>
          <w:lang w:eastAsia="zh-CN"/>
        </w:rPr>
      </w:pPr>
    </w:p>
    <w:p w14:paraId="4C9CFF9A" w14:textId="77777777" w:rsidR="00E82F34" w:rsidRDefault="00E82F34">
      <w:pPr>
        <w:pStyle w:val="ac"/>
        <w:spacing w:after="0"/>
        <w:rPr>
          <w:rFonts w:ascii="Times New Roman" w:hAnsi="Times New Roman"/>
          <w:sz w:val="22"/>
          <w:szCs w:val="22"/>
          <w:lang w:eastAsia="zh-CN"/>
        </w:rPr>
      </w:pPr>
    </w:p>
    <w:p w14:paraId="3E069821" w14:textId="77777777" w:rsidR="00E82F34" w:rsidRDefault="00E82F34">
      <w:pPr>
        <w:pStyle w:val="ac"/>
        <w:spacing w:after="0"/>
        <w:rPr>
          <w:rFonts w:ascii="Times New Roman" w:hAnsi="Times New Roman"/>
          <w:sz w:val="22"/>
          <w:szCs w:val="22"/>
          <w:lang w:eastAsia="zh-CN"/>
        </w:rPr>
      </w:pPr>
    </w:p>
    <w:p w14:paraId="1E06F405" w14:textId="77777777" w:rsidR="00E82F34" w:rsidRDefault="00DB66BB">
      <w:pPr>
        <w:pStyle w:val="2"/>
        <w:rPr>
          <w:lang w:eastAsia="zh-CN"/>
        </w:rPr>
      </w:pPr>
      <w:r>
        <w:rPr>
          <w:lang w:eastAsia="zh-CN"/>
        </w:rPr>
        <w:t xml:space="preserve">2.2 PRACH Aspects </w:t>
      </w:r>
    </w:p>
    <w:p w14:paraId="0BCC28FB" w14:textId="77777777" w:rsidR="00E82F34" w:rsidRDefault="00DB66BB">
      <w:pPr>
        <w:pStyle w:val="3"/>
        <w:rPr>
          <w:lang w:eastAsia="zh-CN"/>
        </w:rPr>
      </w:pPr>
      <w:r>
        <w:rPr>
          <w:lang w:eastAsia="zh-CN"/>
        </w:rPr>
        <w:t>2.2.1 PRACH BW and Sequence Length</w:t>
      </w:r>
    </w:p>
    <w:p w14:paraId="324CCB6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w:t>
      </w:r>
      <w:r>
        <w:rPr>
          <w:rFonts w:ascii="Times New Roman" w:hAnsi="Times New Roman"/>
          <w:sz w:val="22"/>
          <w:szCs w:val="22"/>
          <w:lang w:eastAsia="zh-CN"/>
        </w:rPr>
        <w:lastRenderedPageBreak/>
        <w:t xml:space="preserve">existing PRACH sequences with the existing sequence lengths 571 and 1151 can be reused for with existing SCS.   </w:t>
      </w:r>
    </w:p>
    <w:p w14:paraId="6B590FE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aff3"/>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aff3"/>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11D54B0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ac"/>
        <w:spacing w:after="0"/>
        <w:rPr>
          <w:rFonts w:ascii="Times New Roman" w:hAnsi="Times New Roman"/>
          <w:sz w:val="22"/>
          <w:szCs w:val="22"/>
          <w:lang w:eastAsia="zh-CN"/>
        </w:rPr>
      </w:pPr>
    </w:p>
    <w:p w14:paraId="490AA88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ac"/>
        <w:spacing w:after="0"/>
        <w:rPr>
          <w:rFonts w:ascii="Times New Roman" w:hAnsi="Times New Roman"/>
          <w:sz w:val="22"/>
          <w:szCs w:val="22"/>
          <w:lang w:eastAsia="zh-CN"/>
        </w:rPr>
      </w:pPr>
    </w:p>
    <w:p w14:paraId="40B84285" w14:textId="77777777" w:rsidR="00E82F34" w:rsidRDefault="00E82F34">
      <w:pPr>
        <w:pStyle w:val="ac"/>
        <w:spacing w:after="0"/>
        <w:rPr>
          <w:rFonts w:ascii="Times New Roman" w:hAnsi="Times New Roman"/>
          <w:sz w:val="22"/>
          <w:szCs w:val="22"/>
          <w:lang w:eastAsia="zh-CN"/>
        </w:rPr>
      </w:pPr>
    </w:p>
    <w:p w14:paraId="77DCC90C"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FC0E65C"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ac"/>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w:t>
            </w:r>
            <w:proofErr w:type="gramStart"/>
            <w:r w:rsidRPr="004C2E3A">
              <w:rPr>
                <w:rFonts w:ascii="Times New Roman" w:hAnsi="Times New Roman"/>
                <w:sz w:val="22"/>
                <w:szCs w:val="22"/>
                <w:lang w:eastAsia="zh-CN"/>
              </w:rPr>
              <w:t>all of</w:t>
            </w:r>
            <w:proofErr w:type="gramEnd"/>
            <w:r w:rsidRPr="004C2E3A">
              <w:rPr>
                <w:rFonts w:ascii="Times New Roman" w:hAnsi="Times New Roman"/>
                <w:sz w:val="22"/>
                <w:szCs w:val="22"/>
                <w:lang w:eastAsia="zh-CN"/>
              </w:rPr>
              <w:t xml:space="preserve"> these lengths of PRACH sequence are required in the licensed band where regulatory requirements are not defined on PSD limit.</w:t>
            </w:r>
          </w:p>
          <w:p w14:paraId="203B2762" w14:textId="77777777" w:rsidR="007701AF" w:rsidRPr="00FE0491" w:rsidRDefault="007701AF" w:rsidP="007701A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ac"/>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ac"/>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FE19A6" w14:paraId="4A381149" w14:textId="77777777">
        <w:tc>
          <w:tcPr>
            <w:tcW w:w="1345" w:type="dxa"/>
          </w:tcPr>
          <w:p w14:paraId="6519B266" w14:textId="08D41649" w:rsidR="00FE19A6" w:rsidRDefault="00FE19A6" w:rsidP="00793B9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ac"/>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ac"/>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ac"/>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w:t>
            </w:r>
            <w:r w:rsidR="004A1017">
              <w:rPr>
                <w:rFonts w:ascii="Times New Roman" w:hAnsi="Times New Roman"/>
                <w:sz w:val="22"/>
                <w:szCs w:val="22"/>
                <w:lang w:eastAsia="zh-CN"/>
              </w:rPr>
              <w:lastRenderedPageBreak/>
              <w:t xml:space="preserve">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ac"/>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11E4EEB" w14:textId="5DCF5577" w:rsidR="000E331F" w:rsidRPr="004C11F7" w:rsidRDefault="000E331F" w:rsidP="000E33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580304">
        <w:tc>
          <w:tcPr>
            <w:tcW w:w="1345" w:type="dxa"/>
          </w:tcPr>
          <w:p w14:paraId="295AC0A9" w14:textId="77777777" w:rsidR="00B434BC" w:rsidRPr="006818F8" w:rsidRDefault="00B434BC" w:rsidP="00580304">
            <w:pPr>
              <w:pStyle w:val="ac"/>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580304">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580304">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580304">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bl>
    <w:p w14:paraId="18EB7BB0" w14:textId="77777777" w:rsidR="00E82F34" w:rsidRDefault="00E82F34">
      <w:pPr>
        <w:pStyle w:val="ac"/>
        <w:spacing w:after="0"/>
        <w:rPr>
          <w:rFonts w:ascii="Times New Roman" w:hAnsi="Times New Roman"/>
          <w:sz w:val="22"/>
          <w:szCs w:val="22"/>
          <w:lang w:eastAsia="zh-CN"/>
        </w:rPr>
      </w:pPr>
    </w:p>
    <w:p w14:paraId="1CF4DB11" w14:textId="77777777" w:rsidR="00E82F34" w:rsidRDefault="00E82F34">
      <w:pPr>
        <w:pStyle w:val="ac"/>
        <w:spacing w:after="0"/>
        <w:rPr>
          <w:rFonts w:ascii="Times New Roman" w:hAnsi="Times New Roman"/>
          <w:sz w:val="22"/>
          <w:szCs w:val="22"/>
          <w:lang w:eastAsia="zh-CN"/>
        </w:rPr>
      </w:pPr>
    </w:p>
    <w:p w14:paraId="7884E3A1" w14:textId="77777777" w:rsidR="00E82F34" w:rsidRDefault="00E82F34">
      <w:pPr>
        <w:pStyle w:val="ac"/>
        <w:spacing w:after="0"/>
        <w:rPr>
          <w:rFonts w:ascii="Times New Roman" w:hAnsi="Times New Roman"/>
          <w:sz w:val="22"/>
          <w:szCs w:val="22"/>
          <w:lang w:eastAsia="zh-CN"/>
        </w:rPr>
      </w:pPr>
    </w:p>
    <w:p w14:paraId="1D1D8A22" w14:textId="77777777" w:rsidR="00E82F34" w:rsidRDefault="00DB66BB">
      <w:pPr>
        <w:pStyle w:val="3"/>
        <w:rPr>
          <w:lang w:eastAsia="zh-CN"/>
        </w:rPr>
      </w:pPr>
      <w:r>
        <w:rPr>
          <w:lang w:eastAsia="zh-CN"/>
        </w:rPr>
        <w:t>2.2.2 Supported PRACH Numerology</w:t>
      </w:r>
    </w:p>
    <w:p w14:paraId="1148EA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PRACH</w:t>
      </w:r>
    </w:p>
    <w:p w14:paraId="056488D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ac"/>
        <w:spacing w:after="0"/>
        <w:rPr>
          <w:rFonts w:ascii="Times New Roman" w:hAnsi="Times New Roman"/>
          <w:sz w:val="22"/>
          <w:szCs w:val="22"/>
          <w:lang w:eastAsia="zh-CN"/>
        </w:rPr>
      </w:pPr>
    </w:p>
    <w:p w14:paraId="5D6ADE7F" w14:textId="77777777" w:rsidR="00E82F34" w:rsidRDefault="00E82F34">
      <w:pPr>
        <w:pStyle w:val="ac"/>
        <w:spacing w:after="0"/>
        <w:rPr>
          <w:rFonts w:ascii="Times New Roman" w:hAnsi="Times New Roman"/>
          <w:sz w:val="22"/>
          <w:szCs w:val="22"/>
          <w:lang w:eastAsia="zh-CN"/>
        </w:rPr>
      </w:pPr>
    </w:p>
    <w:p w14:paraId="67E6871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0F4CF5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5AC44C9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ac"/>
        <w:spacing w:after="0"/>
        <w:rPr>
          <w:rFonts w:ascii="Times New Roman" w:hAnsi="Times New Roman"/>
          <w:sz w:val="22"/>
          <w:szCs w:val="22"/>
          <w:lang w:eastAsia="zh-CN"/>
        </w:rPr>
      </w:pPr>
    </w:p>
    <w:p w14:paraId="3050731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ac"/>
        <w:numPr>
          <w:ilvl w:val="0"/>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together with supported sequence lengths.</w:t>
      </w:r>
    </w:p>
    <w:p w14:paraId="694B32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ac"/>
        <w:spacing w:after="0"/>
        <w:rPr>
          <w:rFonts w:ascii="Times New Roman" w:hAnsi="Times New Roman"/>
          <w:sz w:val="22"/>
          <w:szCs w:val="22"/>
          <w:lang w:eastAsia="zh-CN"/>
        </w:rPr>
      </w:pPr>
    </w:p>
    <w:p w14:paraId="114F037C" w14:textId="77777777" w:rsidR="00E82F34" w:rsidRDefault="00E82F34">
      <w:pPr>
        <w:pStyle w:val="ac"/>
        <w:spacing w:after="0"/>
        <w:rPr>
          <w:rFonts w:ascii="Times New Roman" w:hAnsi="Times New Roman"/>
          <w:sz w:val="22"/>
          <w:szCs w:val="22"/>
          <w:lang w:eastAsia="zh-CN"/>
        </w:rPr>
      </w:pPr>
    </w:p>
    <w:p w14:paraId="1F456F56" w14:textId="77777777" w:rsidR="00E82F34" w:rsidRDefault="00E82F34">
      <w:pPr>
        <w:pStyle w:val="ac"/>
        <w:spacing w:after="0"/>
        <w:rPr>
          <w:rFonts w:ascii="Times New Roman" w:hAnsi="Times New Roman"/>
          <w:sz w:val="22"/>
          <w:szCs w:val="22"/>
          <w:lang w:eastAsia="zh-CN"/>
        </w:rPr>
      </w:pPr>
    </w:p>
    <w:p w14:paraId="45CCEE10" w14:textId="77777777" w:rsidR="00E82F34" w:rsidRDefault="00DB66BB">
      <w:pPr>
        <w:pStyle w:val="3"/>
        <w:rPr>
          <w:lang w:eastAsia="zh-CN"/>
        </w:rPr>
      </w:pPr>
      <w:r>
        <w:rPr>
          <w:lang w:eastAsia="zh-CN"/>
        </w:rPr>
        <w:t>2.2.3 PRACH Format</w:t>
      </w:r>
    </w:p>
    <w:p w14:paraId="61D5C20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ac"/>
        <w:spacing w:after="0"/>
        <w:rPr>
          <w:rFonts w:ascii="Times New Roman" w:hAnsi="Times New Roman"/>
          <w:sz w:val="22"/>
          <w:szCs w:val="22"/>
          <w:lang w:eastAsia="zh-CN"/>
        </w:rPr>
      </w:pPr>
    </w:p>
    <w:p w14:paraId="5F9986B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54CD5D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ac"/>
        <w:spacing w:after="0"/>
        <w:rPr>
          <w:rFonts w:ascii="Times New Roman" w:hAnsi="Times New Roman"/>
          <w:sz w:val="22"/>
          <w:szCs w:val="22"/>
          <w:lang w:eastAsia="zh-CN"/>
        </w:rPr>
      </w:pPr>
    </w:p>
    <w:p w14:paraId="7267050D" w14:textId="77777777" w:rsidR="00E82F34" w:rsidRDefault="00E82F34">
      <w:pPr>
        <w:pStyle w:val="ac"/>
        <w:spacing w:after="0"/>
        <w:rPr>
          <w:rFonts w:ascii="Times New Roman" w:hAnsi="Times New Roman"/>
          <w:sz w:val="22"/>
          <w:szCs w:val="22"/>
          <w:lang w:eastAsia="zh-CN"/>
        </w:rPr>
      </w:pPr>
    </w:p>
    <w:p w14:paraId="7539BFA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ac"/>
        <w:numPr>
          <w:ilvl w:val="0"/>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together with supported sequence lengths.</w:t>
      </w:r>
    </w:p>
    <w:p w14:paraId="470087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ac"/>
        <w:spacing w:after="0"/>
        <w:rPr>
          <w:rFonts w:ascii="Times New Roman" w:hAnsi="Times New Roman"/>
          <w:sz w:val="22"/>
          <w:szCs w:val="22"/>
          <w:lang w:eastAsia="zh-CN"/>
        </w:rPr>
      </w:pPr>
    </w:p>
    <w:p w14:paraId="3980B473" w14:textId="77777777" w:rsidR="00E82F34" w:rsidRDefault="00E82F34">
      <w:pPr>
        <w:pStyle w:val="ac"/>
        <w:spacing w:after="0"/>
        <w:rPr>
          <w:rFonts w:ascii="Times New Roman" w:hAnsi="Times New Roman"/>
          <w:sz w:val="22"/>
          <w:szCs w:val="22"/>
          <w:lang w:eastAsia="zh-CN"/>
        </w:rPr>
      </w:pPr>
    </w:p>
    <w:p w14:paraId="19977CC4" w14:textId="77777777" w:rsidR="00E82F34" w:rsidRDefault="00DB66BB">
      <w:pPr>
        <w:pStyle w:val="3"/>
        <w:rPr>
          <w:lang w:eastAsia="zh-CN"/>
        </w:rPr>
      </w:pPr>
      <w:r>
        <w:rPr>
          <w:lang w:eastAsia="zh-CN"/>
        </w:rPr>
        <w:t>2.2.4 RACH Occasion Resources</w:t>
      </w:r>
    </w:p>
    <w:p w14:paraId="639A2EA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1F77483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9DCD1F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76EEAC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6AB2F1D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aff3"/>
        <w:numPr>
          <w:ilvl w:val="1"/>
          <w:numId w:val="6"/>
        </w:numPr>
        <w:rPr>
          <w:rFonts w:eastAsia="宋体"/>
          <w:lang w:eastAsia="zh-CN"/>
        </w:rPr>
      </w:pPr>
      <w:r>
        <w:rPr>
          <w:rFonts w:eastAsia="宋体"/>
          <w:lang w:eastAsia="zh-CN"/>
        </w:rPr>
        <w:lastRenderedPageBreak/>
        <w:t>For 480/960 kHz PRACH, support PRACH configurations that allow maintaining the same PRACH processing load (operations/unit time) as for 120 kHz PRACH configurations.</w:t>
      </w:r>
    </w:p>
    <w:p w14:paraId="2362F12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ac"/>
        <w:spacing w:after="0"/>
        <w:rPr>
          <w:rFonts w:ascii="Times New Roman" w:hAnsi="Times New Roman"/>
          <w:sz w:val="22"/>
          <w:szCs w:val="22"/>
          <w:lang w:eastAsia="zh-CN"/>
        </w:rPr>
      </w:pPr>
    </w:p>
    <w:p w14:paraId="2AA68B71"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support of non-contiguous RO.</w:t>
      </w:r>
    </w:p>
    <w:p w14:paraId="479FCE4A" w14:textId="77777777" w:rsidR="00E82F34" w:rsidRDefault="00E82F34">
      <w:pPr>
        <w:pStyle w:val="ac"/>
        <w:spacing w:after="0"/>
        <w:rPr>
          <w:rFonts w:ascii="Times New Roman" w:hAnsi="Times New Roman"/>
          <w:sz w:val="22"/>
          <w:szCs w:val="22"/>
          <w:lang w:eastAsia="zh-CN"/>
        </w:rPr>
      </w:pPr>
    </w:p>
    <w:p w14:paraId="58B9B7A9" w14:textId="77777777" w:rsidR="00E82F34" w:rsidRDefault="00E82F34">
      <w:pPr>
        <w:pStyle w:val="ac"/>
        <w:spacing w:after="0"/>
        <w:rPr>
          <w:rFonts w:ascii="Times New Roman" w:hAnsi="Times New Roman"/>
          <w:sz w:val="22"/>
          <w:szCs w:val="22"/>
          <w:lang w:eastAsia="zh-CN"/>
        </w:rPr>
      </w:pPr>
    </w:p>
    <w:p w14:paraId="67C7B2DF"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ac"/>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w:t>
            </w:r>
            <w:proofErr w:type="gramStart"/>
            <w:r w:rsidRPr="004C2E3A">
              <w:rPr>
                <w:rFonts w:ascii="Times New Roman" w:hAnsi="Times New Roman"/>
                <w:sz w:val="22"/>
                <w:szCs w:val="22"/>
                <w:lang w:eastAsia="zh-CN"/>
              </w:rPr>
              <w:t>to insert</w:t>
            </w:r>
            <w:proofErr w:type="gramEnd"/>
            <w:r w:rsidRPr="004C2E3A">
              <w:rPr>
                <w:rFonts w:ascii="Times New Roman" w:hAnsi="Times New Roman"/>
                <w:sz w:val="22"/>
                <w:szCs w:val="22"/>
                <w:lang w:eastAsia="zh-CN"/>
              </w:rPr>
              <w:t xml:space="preserve">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ac"/>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ac"/>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ac"/>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93B91" w14:paraId="5FE9C7E5" w14:textId="77777777" w:rsidTr="00793B91">
        <w:tc>
          <w:tcPr>
            <w:tcW w:w="1720" w:type="dxa"/>
          </w:tcPr>
          <w:p w14:paraId="267FC758" w14:textId="7611EFB0"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ac"/>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B434BC" w14:paraId="16CB90F1" w14:textId="77777777" w:rsidTr="00793B91">
        <w:tc>
          <w:tcPr>
            <w:tcW w:w="1720" w:type="dxa"/>
          </w:tcPr>
          <w:p w14:paraId="573763FA" w14:textId="3A6BCD2F" w:rsidR="00B434BC" w:rsidRPr="00B434BC" w:rsidRDefault="00B434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bl>
    <w:p w14:paraId="15710DEC" w14:textId="45E60370" w:rsidR="00E82F34" w:rsidRDefault="00E82F34">
      <w:pPr>
        <w:pStyle w:val="ac"/>
        <w:spacing w:after="0"/>
        <w:rPr>
          <w:rFonts w:ascii="Times New Roman" w:hAnsi="Times New Roman"/>
          <w:sz w:val="22"/>
          <w:szCs w:val="22"/>
          <w:lang w:eastAsia="zh-CN"/>
        </w:rPr>
      </w:pPr>
    </w:p>
    <w:p w14:paraId="2D2FD06E" w14:textId="77777777" w:rsidR="00E82F34" w:rsidRDefault="00E82F34">
      <w:pPr>
        <w:pStyle w:val="ac"/>
        <w:spacing w:after="0"/>
        <w:rPr>
          <w:rFonts w:ascii="Times New Roman" w:hAnsi="Times New Roman"/>
          <w:sz w:val="22"/>
          <w:szCs w:val="22"/>
          <w:lang w:eastAsia="zh-CN"/>
        </w:rPr>
      </w:pPr>
    </w:p>
    <w:p w14:paraId="1E5BE08F" w14:textId="77777777" w:rsidR="00E82F34" w:rsidRDefault="00DB66BB">
      <w:pPr>
        <w:pStyle w:val="3"/>
        <w:rPr>
          <w:lang w:eastAsia="zh-CN"/>
        </w:rPr>
      </w:pPr>
      <w:r>
        <w:rPr>
          <w:lang w:eastAsia="zh-CN"/>
        </w:rPr>
        <w:lastRenderedPageBreak/>
        <w:t>2.2.5 RA Preamble ID calculation</w:t>
      </w:r>
    </w:p>
    <w:p w14:paraId="45C284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ac"/>
        <w:spacing w:after="0"/>
        <w:rPr>
          <w:rFonts w:ascii="Times New Roman" w:hAnsi="Times New Roman"/>
          <w:sz w:val="22"/>
          <w:szCs w:val="22"/>
          <w:lang w:eastAsia="zh-CN"/>
        </w:rPr>
      </w:pPr>
    </w:p>
    <w:p w14:paraId="789168FB"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ac"/>
        <w:spacing w:after="0"/>
        <w:rPr>
          <w:rFonts w:ascii="Times New Roman" w:hAnsi="Times New Roman"/>
          <w:sz w:val="22"/>
          <w:szCs w:val="22"/>
          <w:lang w:eastAsia="zh-CN"/>
        </w:rPr>
      </w:pPr>
    </w:p>
    <w:p w14:paraId="0CBC35CE" w14:textId="77777777" w:rsidR="00E82F34" w:rsidRDefault="00E82F34">
      <w:pPr>
        <w:pStyle w:val="ac"/>
        <w:spacing w:after="0"/>
        <w:rPr>
          <w:rFonts w:ascii="Times New Roman" w:hAnsi="Times New Roman"/>
          <w:sz w:val="22"/>
          <w:szCs w:val="22"/>
          <w:lang w:eastAsia="zh-CN"/>
        </w:rPr>
      </w:pPr>
    </w:p>
    <w:p w14:paraId="2B68E88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798A3476" w14:textId="04759D7F"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ac"/>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bl>
    <w:p w14:paraId="120BD6C7" w14:textId="77777777" w:rsidR="00E82F34" w:rsidRDefault="00E82F34">
      <w:pPr>
        <w:pStyle w:val="ac"/>
        <w:spacing w:after="0"/>
        <w:rPr>
          <w:rFonts w:ascii="Times New Roman" w:hAnsi="Times New Roman"/>
          <w:sz w:val="22"/>
          <w:szCs w:val="22"/>
          <w:lang w:eastAsia="zh-CN"/>
        </w:rPr>
      </w:pPr>
    </w:p>
    <w:p w14:paraId="6B3B55AD" w14:textId="77777777" w:rsidR="00E82F34" w:rsidRDefault="00E82F34">
      <w:pPr>
        <w:pStyle w:val="ac"/>
        <w:spacing w:after="0"/>
        <w:rPr>
          <w:rFonts w:ascii="Times New Roman" w:hAnsi="Times New Roman"/>
          <w:sz w:val="22"/>
          <w:szCs w:val="22"/>
          <w:lang w:eastAsia="zh-CN"/>
        </w:rPr>
      </w:pPr>
    </w:p>
    <w:p w14:paraId="5E52AF54" w14:textId="77777777" w:rsidR="00E82F34" w:rsidRDefault="00E82F34">
      <w:pPr>
        <w:pStyle w:val="ac"/>
        <w:spacing w:after="0"/>
        <w:rPr>
          <w:rFonts w:ascii="Times New Roman" w:hAnsi="Times New Roman"/>
          <w:sz w:val="22"/>
          <w:szCs w:val="22"/>
          <w:lang w:eastAsia="zh-CN"/>
        </w:rPr>
      </w:pPr>
    </w:p>
    <w:p w14:paraId="251D0F7F" w14:textId="77777777" w:rsidR="00E82F34" w:rsidRDefault="00DB66BB">
      <w:pPr>
        <w:pStyle w:val="3"/>
        <w:rPr>
          <w:lang w:eastAsia="zh-CN"/>
        </w:rPr>
      </w:pPr>
      <w:r>
        <w:rPr>
          <w:lang w:eastAsia="zh-CN"/>
        </w:rPr>
        <w:t>2.2.5 Short Signal Exception for PRACH</w:t>
      </w:r>
    </w:p>
    <w:p w14:paraId="66E836C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aff3"/>
        <w:numPr>
          <w:ilvl w:val="1"/>
          <w:numId w:val="6"/>
        </w:numPr>
        <w:rPr>
          <w:rFonts w:eastAsia="宋体"/>
          <w:lang w:eastAsia="zh-CN"/>
        </w:rPr>
      </w:pPr>
      <w:r>
        <w:rPr>
          <w:rFonts w:eastAsia="宋体"/>
          <w:lang w:eastAsia="zh-CN"/>
        </w:rPr>
        <w:t>Consider applying short control signal exemption to PRACH transmission by the UE.</w:t>
      </w:r>
    </w:p>
    <w:p w14:paraId="6C05F2EA" w14:textId="77777777" w:rsidR="00E82F34" w:rsidRDefault="00DB66BB">
      <w:pPr>
        <w:pStyle w:val="aff3"/>
        <w:numPr>
          <w:ilvl w:val="0"/>
          <w:numId w:val="6"/>
        </w:numPr>
        <w:rPr>
          <w:rFonts w:eastAsia="宋体"/>
          <w:lang w:eastAsia="zh-CN"/>
        </w:rPr>
      </w:pPr>
      <w:r>
        <w:rPr>
          <w:rFonts w:eastAsia="宋体"/>
          <w:lang w:eastAsia="zh-CN"/>
        </w:rPr>
        <w:t>From [22] Ericsson:</w:t>
      </w:r>
    </w:p>
    <w:p w14:paraId="3B44FAD6" w14:textId="77777777" w:rsidR="00E82F34" w:rsidRDefault="00DB66BB">
      <w:pPr>
        <w:pStyle w:val="aff3"/>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ac"/>
        <w:spacing w:after="0"/>
        <w:rPr>
          <w:rFonts w:ascii="Times New Roman" w:hAnsi="Times New Roman"/>
          <w:sz w:val="22"/>
          <w:szCs w:val="22"/>
          <w:lang w:eastAsia="zh-CN"/>
        </w:rPr>
      </w:pPr>
    </w:p>
    <w:p w14:paraId="20645690"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7CAA8E33" w14:textId="77777777" w:rsidR="00E82F34" w:rsidRDefault="00E82F34">
      <w:pPr>
        <w:pStyle w:val="ac"/>
        <w:spacing w:after="0"/>
        <w:rPr>
          <w:rFonts w:ascii="Times New Roman" w:hAnsi="Times New Roman"/>
          <w:sz w:val="22"/>
          <w:szCs w:val="22"/>
          <w:lang w:eastAsia="zh-CN"/>
        </w:rPr>
      </w:pPr>
    </w:p>
    <w:p w14:paraId="361E358F" w14:textId="77777777" w:rsidR="00E82F34" w:rsidRDefault="00E82F34">
      <w:pPr>
        <w:pStyle w:val="ac"/>
        <w:spacing w:after="0"/>
        <w:rPr>
          <w:rFonts w:ascii="Times New Roman" w:hAnsi="Times New Roman"/>
          <w:sz w:val="22"/>
          <w:szCs w:val="22"/>
          <w:lang w:eastAsia="zh-CN"/>
        </w:rPr>
      </w:pPr>
    </w:p>
    <w:p w14:paraId="3FF992AE"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w:t>
            </w:r>
            <w:proofErr w:type="gramStart"/>
            <w:r>
              <w:rPr>
                <w:rFonts w:ascii="Times New Roman" w:eastAsiaTheme="minorEastAsia" w:hAnsi="Times New Roman"/>
                <w:sz w:val="22"/>
                <w:szCs w:val="22"/>
                <w:lang w:eastAsia="ko-KR"/>
              </w:rPr>
              <w:t>transmitting</w:t>
            </w:r>
            <w:r w:rsidRPr="001D49B1">
              <w:rPr>
                <w:rFonts w:ascii="Times New Roman" w:eastAsiaTheme="minorEastAsia" w:hAnsi="Times New Roman"/>
                <w:sz w:val="22"/>
                <w:szCs w:val="22"/>
                <w:lang w:eastAsia="ko-KR"/>
              </w:rPr>
              <w:t xml:space="preserve">  information</w:t>
            </w:r>
            <w:proofErr w:type="gramEnd"/>
            <w:r w:rsidRPr="001D49B1">
              <w:rPr>
                <w:rFonts w:ascii="Times New Roman" w:eastAsiaTheme="minorEastAsia" w:hAnsi="Times New Roman"/>
                <w:sz w:val="22"/>
                <w:szCs w:val="22"/>
                <w:lang w:eastAsia="ko-KR"/>
              </w:rPr>
              <w:t xml:space="preserve">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45A069B" w14:textId="355BA4D9" w:rsidR="004B4A72" w:rsidRDefault="004B4A72" w:rsidP="00D0363D">
            <w:pPr>
              <w:pStyle w:val="ac"/>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ac"/>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ac"/>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bl>
    <w:p w14:paraId="473E747D" w14:textId="77777777" w:rsidR="00E82F34" w:rsidRDefault="00E82F34">
      <w:pPr>
        <w:pStyle w:val="ac"/>
        <w:spacing w:after="0"/>
        <w:rPr>
          <w:rFonts w:ascii="Times New Roman" w:hAnsi="Times New Roman"/>
          <w:sz w:val="22"/>
          <w:szCs w:val="22"/>
          <w:lang w:eastAsia="zh-CN"/>
        </w:rPr>
      </w:pPr>
    </w:p>
    <w:p w14:paraId="4207BCA0" w14:textId="77777777" w:rsidR="00E82F34" w:rsidRDefault="00E82F34">
      <w:pPr>
        <w:pStyle w:val="ac"/>
        <w:spacing w:after="0"/>
        <w:rPr>
          <w:rFonts w:ascii="Times New Roman" w:hAnsi="Times New Roman"/>
          <w:sz w:val="22"/>
          <w:szCs w:val="22"/>
          <w:lang w:eastAsia="zh-CN"/>
        </w:rPr>
      </w:pPr>
    </w:p>
    <w:p w14:paraId="3DDC0F1B" w14:textId="77777777" w:rsidR="00E82F34" w:rsidRDefault="00E82F34">
      <w:pPr>
        <w:pStyle w:val="ac"/>
        <w:spacing w:after="0"/>
        <w:rPr>
          <w:rFonts w:ascii="Times New Roman" w:hAnsi="Times New Roman"/>
          <w:sz w:val="22"/>
          <w:szCs w:val="22"/>
          <w:lang w:eastAsia="zh-CN"/>
        </w:rPr>
      </w:pPr>
    </w:p>
    <w:p w14:paraId="3E3C5580" w14:textId="77777777" w:rsidR="00E82F34" w:rsidRDefault="00DB66BB">
      <w:pPr>
        <w:pStyle w:val="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ac"/>
        <w:spacing w:after="0"/>
        <w:rPr>
          <w:rFonts w:ascii="Times New Roman" w:hAnsi="Times New Roman"/>
          <w:sz w:val="22"/>
          <w:szCs w:val="22"/>
          <w:lang w:eastAsia="zh-CN"/>
        </w:rPr>
      </w:pPr>
    </w:p>
    <w:p w14:paraId="00E97E55" w14:textId="77777777" w:rsidR="00E82F34" w:rsidRDefault="00E82F34">
      <w:pPr>
        <w:pStyle w:val="ac"/>
        <w:spacing w:after="0"/>
        <w:rPr>
          <w:rFonts w:ascii="Times New Roman" w:hAnsi="Times New Roman"/>
          <w:sz w:val="22"/>
          <w:szCs w:val="22"/>
          <w:lang w:eastAsia="zh-CN"/>
        </w:rPr>
      </w:pPr>
    </w:p>
    <w:p w14:paraId="18A022BA" w14:textId="77777777" w:rsidR="00E82F34" w:rsidRDefault="00DB66BB">
      <w:pPr>
        <w:pStyle w:val="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ac"/>
        <w:spacing w:after="0"/>
        <w:rPr>
          <w:rFonts w:ascii="Times New Roman" w:hAnsi="Times New Roman"/>
          <w:sz w:val="22"/>
          <w:szCs w:val="22"/>
          <w:lang w:eastAsia="zh-CN"/>
        </w:rPr>
      </w:pPr>
    </w:p>
    <w:p w14:paraId="2E658A71" w14:textId="77777777" w:rsidR="00E82F34" w:rsidRDefault="00DB66BB">
      <w:pPr>
        <w:pStyle w:val="1"/>
        <w:textAlignment w:val="auto"/>
        <w:rPr>
          <w:rFonts w:cs="Arial"/>
          <w:sz w:val="32"/>
          <w:szCs w:val="32"/>
          <w:lang w:val="en-US"/>
        </w:rPr>
      </w:pPr>
      <w:r>
        <w:rPr>
          <w:rFonts w:cs="Arial"/>
          <w:sz w:val="32"/>
          <w:szCs w:val="32"/>
          <w:lang w:val="en-US"/>
        </w:rPr>
        <w:t>Reference</w:t>
      </w:r>
    </w:p>
    <w:p w14:paraId="087CCF9F" w14:textId="77777777" w:rsidR="00E82F34" w:rsidRDefault="00DB66BB">
      <w:pPr>
        <w:pStyle w:val="aff3"/>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aff3"/>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aff3"/>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aff3"/>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aff3"/>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aff3"/>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aff3"/>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aff3"/>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aff3"/>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aff3"/>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aff3"/>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aff3"/>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aff3"/>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aff3"/>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aff3"/>
        <w:numPr>
          <w:ilvl w:val="0"/>
          <w:numId w:val="10"/>
        </w:numPr>
        <w:ind w:left="540" w:hanging="540"/>
        <w:rPr>
          <w:rFonts w:eastAsia="Calibri"/>
          <w:lang w:eastAsia="zh-CN"/>
        </w:rPr>
      </w:pPr>
      <w:r>
        <w:rPr>
          <w:rFonts w:eastAsia="Calibri"/>
          <w:lang w:eastAsia="zh-CN"/>
        </w:rPr>
        <w:lastRenderedPageBreak/>
        <w:t>R1-2101109, “On initial access aspects for NR from 52.6GHz to 71GHz,” Xiaomi</w:t>
      </w:r>
    </w:p>
    <w:p w14:paraId="1902A143" w14:textId="77777777" w:rsidR="00E82F34" w:rsidRDefault="00DB66BB">
      <w:pPr>
        <w:pStyle w:val="aff3"/>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aff3"/>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aff3"/>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aff3"/>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aff3"/>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aff3"/>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D1D87" w14:textId="77777777" w:rsidR="001426C4" w:rsidRDefault="001426C4">
      <w:pPr>
        <w:spacing w:after="0" w:line="240" w:lineRule="auto"/>
      </w:pPr>
      <w:r>
        <w:separator/>
      </w:r>
    </w:p>
  </w:endnote>
  <w:endnote w:type="continuationSeparator" w:id="0">
    <w:p w14:paraId="1E4FBEED" w14:textId="77777777" w:rsidR="001426C4" w:rsidRDefault="0014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01F8" w14:textId="77777777" w:rsidR="00AA3BF1" w:rsidRDefault="00AA3BF1">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059D7026" w14:textId="77777777" w:rsidR="00AA3BF1" w:rsidRDefault="00AA3BF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54" w14:textId="1D1D8012" w:rsidR="00AA3BF1" w:rsidRDefault="00AA3BF1">
    <w:pPr>
      <w:pStyle w:val="af1"/>
      <w:ind w:right="360"/>
    </w:pPr>
    <w:r>
      <w:rPr>
        <w:rStyle w:val="afd"/>
      </w:rPr>
      <w:fldChar w:fldCharType="begin"/>
    </w:r>
    <w:r>
      <w:rPr>
        <w:rStyle w:val="afd"/>
      </w:rPr>
      <w:instrText xml:space="preserve"> PAGE </w:instrText>
    </w:r>
    <w:r>
      <w:rPr>
        <w:rStyle w:val="afd"/>
      </w:rPr>
      <w:fldChar w:fldCharType="separate"/>
    </w:r>
    <w:r>
      <w:rPr>
        <w:rStyle w:val="afd"/>
        <w:noProof/>
      </w:rPr>
      <w:t>36</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38</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4F422" w14:textId="77777777" w:rsidR="001426C4" w:rsidRDefault="001426C4">
      <w:pPr>
        <w:spacing w:after="0" w:line="240" w:lineRule="auto"/>
      </w:pPr>
      <w:r>
        <w:separator/>
      </w:r>
    </w:p>
  </w:footnote>
  <w:footnote w:type="continuationSeparator" w:id="0">
    <w:p w14:paraId="305AF646" w14:textId="77777777" w:rsidR="001426C4" w:rsidRDefault="0014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4BB1" w14:textId="77777777" w:rsidR="00AA3BF1" w:rsidRDefault="00AA3B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微软雅黑" w:eastAsia="微软雅黑" w:hAnsi="微软雅黑" w:cs="微软雅黑"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微软雅黑" w:eastAsia="微软雅黑" w:hAnsi="微软雅黑" w:cs="微软雅黑"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3"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5"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16"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2"/>
  </w:num>
  <w:num w:numId="7">
    <w:abstractNumId w:val="15"/>
  </w:num>
  <w:num w:numId="8">
    <w:abstractNumId w:val="5"/>
  </w:num>
  <w:num w:numId="9">
    <w:abstractNumId w:val="14"/>
  </w:num>
  <w:num w:numId="10">
    <w:abstractNumId w:val="17"/>
  </w:num>
  <w:num w:numId="11">
    <w:abstractNumId w:val="9"/>
  </w:num>
  <w:num w:numId="12">
    <w:abstractNumId w:val="1"/>
  </w:num>
  <w:num w:numId="13">
    <w:abstractNumId w:val="7"/>
  </w:num>
  <w:num w:numId="14">
    <w:abstractNumId w:val="4"/>
  </w:num>
  <w:num w:numId="15">
    <w:abstractNumId w:val="12"/>
  </w:num>
  <w:num w:numId="16">
    <w:abstractNumId w:val="3"/>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8087C"/>
    <w:rsid w:val="009F3E69"/>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676"/>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5F8E7-0B8B-4FCF-8928-82B6A1959CE6}">
  <ds:schemaRefs>
    <ds:schemaRef ds:uri="http://schemas.openxmlformats.org/officeDocument/2006/bibliography"/>
  </ds:schemaRefs>
</ds:datastoreItem>
</file>

<file path=customXml/itemProps6.xml><?xml version="1.0" encoding="utf-8"?>
<ds:datastoreItem xmlns:ds="http://schemas.openxmlformats.org/officeDocument/2006/customXml" ds:itemID="{5EC68117-2478-4767-9509-3DEE099F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108</TotalTime>
  <Pages>39</Pages>
  <Words>13554</Words>
  <Characters>77260</Characters>
  <Application>Microsoft Office Word</Application>
  <DocSecurity>0</DocSecurity>
  <Lines>643</Lines>
  <Paragraphs>181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90633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琴艳</cp:lastModifiedBy>
  <cp:revision>51</cp:revision>
  <cp:lastPrinted>2011-11-09T07:49:00Z</cp:lastPrinted>
  <dcterms:created xsi:type="dcterms:W3CDTF">2021-01-26T20:19:00Z</dcterms:created>
  <dcterms:modified xsi:type="dcterms:W3CDTF">2021-01-27T03:05:00Z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