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63CB4" w14:textId="77777777"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January 25 – February 05, 2020</w:t>
          </w:r>
        </w:p>
      </w:sdtContent>
    </w:sdt>
    <w:p w14:paraId="75F61524" w14:textId="77777777" w:rsidR="00E82F34" w:rsidRDefault="00E82F34">
      <w:pPr>
        <w:spacing w:after="0"/>
        <w:ind w:left="1988" w:hanging="1988"/>
        <w:jc w:val="both"/>
        <w:rPr>
          <w:rFonts w:ascii="Arial" w:hAnsi="Arial" w:cs="Arial"/>
          <w:b/>
          <w:sz w:val="24"/>
        </w:rPr>
      </w:pPr>
    </w:p>
    <w:p w14:paraId="7C95ECBA" w14:textId="77777777"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1E355682" w14:textId="77777777"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spacing w:after="0"/>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BAF74C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3FF67D6" w14:textId="77777777" w:rsidR="00E82F34" w:rsidRDefault="00DB66BB">
      <w:pPr>
        <w:pStyle w:val="ListParagraph"/>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76958C9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w:t>
      </w:r>
      <w:proofErr w:type="spellStart"/>
      <w:r>
        <w:rPr>
          <w:rFonts w:ascii="Times New Roman" w:eastAsia="Calibri" w:hAnsi="Times New Roman"/>
          <w:sz w:val="22"/>
          <w:szCs w:val="22"/>
          <w:lang w:eastAsia="zh-CN"/>
        </w:rPr>
        <w:t>Sanechips</w:t>
      </w:r>
      <w:proofErr w:type="spellEnd"/>
      <w:r>
        <w:rPr>
          <w:rFonts w:ascii="Times New Roman" w:eastAsia="Calibri" w:hAnsi="Times New Roman"/>
          <w:sz w:val="22"/>
          <w:szCs w:val="22"/>
          <w:lang w:eastAsia="zh-CN"/>
        </w:rPr>
        <w:t xml:space="preserve">, OPPO, Huawei, </w:t>
      </w:r>
      <w:proofErr w:type="spellStart"/>
      <w:r>
        <w:rPr>
          <w:rFonts w:ascii="Times New Roman" w:eastAsia="Calibri" w:hAnsi="Times New Roman"/>
          <w:sz w:val="22"/>
          <w:szCs w:val="22"/>
          <w:lang w:eastAsia="zh-CN"/>
        </w:rPr>
        <w:t>HiSilicon</w:t>
      </w:r>
      <w:proofErr w:type="spellEnd"/>
      <w:r>
        <w:rPr>
          <w:rFonts w:ascii="Times New Roman" w:eastAsia="Calibri" w:hAnsi="Times New Roman"/>
          <w:sz w:val="22"/>
          <w:szCs w:val="22"/>
          <w:lang w:eastAsia="zh-CN"/>
        </w:rPr>
        <w:t xml:space="preserve">, CATT, Intel, </w:t>
      </w:r>
      <w:r>
        <w:rPr>
          <w:rFonts w:ascii="Times New Roman" w:hAnsi="Times New Roman"/>
          <w:sz w:val="22"/>
          <w:szCs w:val="22"/>
          <w:lang w:eastAsia="zh-CN"/>
        </w:rPr>
        <w:t xml:space="preserve">Spreadtrum,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26998A6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1620"/>
        <w:gridCol w:w="6997"/>
      </w:tblGrid>
      <w:tr w:rsidR="00E82F34" w14:paraId="25FCCA0F" w14:textId="77777777">
        <w:tc>
          <w:tcPr>
            <w:tcW w:w="1345" w:type="dxa"/>
            <w:shd w:val="clear" w:color="auto" w:fill="FBE4D5" w:themeFill="accent2" w:themeFillTint="33"/>
          </w:tcPr>
          <w:p w14:paraId="6C99A2D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620" w:type="dxa"/>
            <w:shd w:val="clear" w:color="auto" w:fill="FBE4D5" w:themeFill="accent2" w:themeFillTint="33"/>
          </w:tcPr>
          <w:p w14:paraId="5D089ADF"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997" w:type="dxa"/>
            <w:shd w:val="clear" w:color="auto" w:fill="FBE4D5" w:themeFill="accent2" w:themeFillTint="33"/>
          </w:tcPr>
          <w:p w14:paraId="2E2A409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tc>
          <w:tcPr>
            <w:tcW w:w="1345" w:type="dxa"/>
          </w:tcPr>
          <w:p w14:paraId="6DE055D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620" w:type="dxa"/>
          </w:tcPr>
          <w:p w14:paraId="5249583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997" w:type="dxa"/>
          </w:tcPr>
          <w:p w14:paraId="62CA2A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tc>
          <w:tcPr>
            <w:tcW w:w="1345" w:type="dxa"/>
          </w:tcPr>
          <w:p w14:paraId="0EDBEB6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620" w:type="dxa"/>
          </w:tcPr>
          <w:p w14:paraId="25E263B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997" w:type="dxa"/>
          </w:tcPr>
          <w:p w14:paraId="79179F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tc>
          <w:tcPr>
            <w:tcW w:w="1345" w:type="dxa"/>
          </w:tcPr>
          <w:p w14:paraId="42E9E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620" w:type="dxa"/>
          </w:tcPr>
          <w:p w14:paraId="22B3FB0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997" w:type="dxa"/>
          </w:tcPr>
          <w:p w14:paraId="6DB166C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tc>
          <w:tcPr>
            <w:tcW w:w="1345"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620"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997"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tc>
          <w:tcPr>
            <w:tcW w:w="1345"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620"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997"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tc>
          <w:tcPr>
            <w:tcW w:w="1345" w:type="dxa"/>
          </w:tcPr>
          <w:p w14:paraId="57ADDBE7" w14:textId="5CF19EDC" w:rsidR="00567B85" w:rsidRDefault="00567B85" w:rsidP="00567B85">
            <w:pPr>
              <w:pStyle w:val="BodyText"/>
              <w:spacing w:after="0"/>
              <w:rPr>
                <w:rFonts w:ascii="Times New Roman" w:eastAsiaTheme="minorEastAsia" w:hAnsi="Times New Roman" w:hint="eastAsia"/>
                <w:sz w:val="22"/>
                <w:szCs w:val="22"/>
                <w:lang w:eastAsia="ko-KR"/>
              </w:rPr>
            </w:pPr>
            <w:r>
              <w:rPr>
                <w:rFonts w:ascii="Times New Roman" w:eastAsia="MS Mincho" w:hAnsi="Times New Roman"/>
                <w:sz w:val="22"/>
                <w:szCs w:val="22"/>
                <w:lang w:eastAsia="ja-JP"/>
              </w:rPr>
              <w:t>Spreadtrum</w:t>
            </w:r>
          </w:p>
        </w:tc>
        <w:tc>
          <w:tcPr>
            <w:tcW w:w="1620" w:type="dxa"/>
          </w:tcPr>
          <w:p w14:paraId="43DA13A5" w14:textId="3C6854D5" w:rsidR="00567B85" w:rsidRDefault="00567B85" w:rsidP="00567B85">
            <w:pPr>
              <w:pStyle w:val="BodyText"/>
              <w:spacing w:after="0"/>
              <w:rPr>
                <w:rFonts w:ascii="Times New Roman" w:eastAsiaTheme="minorEastAsia" w:hAnsi="Times New Roman" w:hint="eastAsia"/>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997" w:type="dxa"/>
          </w:tcPr>
          <w:p w14:paraId="20307BE8" w14:textId="77777777" w:rsidR="00567B85" w:rsidRDefault="00567B85" w:rsidP="00567B85">
            <w:pPr>
              <w:pStyle w:val="BodyText"/>
              <w:spacing w:after="0"/>
              <w:rPr>
                <w:rFonts w:ascii="Times New Roman" w:eastAsiaTheme="minorEastAsia" w:hAnsi="Times New Roman" w:hint="eastAsia"/>
                <w:sz w:val="22"/>
                <w:szCs w:val="22"/>
                <w:lang w:eastAsia="ko-KR"/>
              </w:rPr>
            </w:pPr>
          </w:p>
        </w:tc>
      </w:tr>
    </w:tbl>
    <w:p w14:paraId="5BD1FDB8" w14:textId="77777777" w:rsidR="00E82F34" w:rsidRDefault="00E82F34">
      <w:pPr>
        <w:pStyle w:val="BodyText"/>
        <w:spacing w:after="0"/>
        <w:rPr>
          <w:rFonts w:ascii="Times New Roman" w:hAnsi="Times New Roman"/>
          <w:sz w:val="22"/>
          <w:szCs w:val="22"/>
          <w:lang w:eastAsia="zh-CN"/>
        </w:rPr>
      </w:pPr>
    </w:p>
    <w:p w14:paraId="21FF7348" w14:textId="77777777" w:rsidR="00E82F34" w:rsidRDefault="00E82F34">
      <w:pPr>
        <w:pStyle w:val="BodyText"/>
        <w:spacing w:after="0"/>
        <w:rPr>
          <w:rFonts w:ascii="Times New Roman" w:hAnsi="Times New Roman"/>
          <w:sz w:val="22"/>
          <w:szCs w:val="22"/>
          <w:lang w:eastAsia="zh-CN"/>
        </w:rPr>
      </w:pPr>
    </w:p>
    <w:p w14:paraId="5FF65929" w14:textId="77777777" w:rsidR="00E82F34" w:rsidRDefault="00E82F34">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and discuss of 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design with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SCS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frequency domain offset estimation during SSB detection, using SSB with low SCS such as </w:t>
      </w:r>
      <w:proofErr w:type="gramStart"/>
      <w:r>
        <w:rPr>
          <w:rFonts w:ascii="Times New Roman" w:hAnsi="Times New Roman"/>
          <w:sz w:val="22"/>
          <w:szCs w:val="22"/>
          <w:lang w:eastAsia="zh-CN"/>
        </w:rPr>
        <w:t>120K/240KHz</w:t>
      </w:r>
      <w:proofErr w:type="gramEnd"/>
      <w:r>
        <w:rPr>
          <w:rFonts w:ascii="Times New Roman" w:hAnsi="Times New Roman"/>
          <w:sz w:val="22"/>
          <w:szCs w:val="22"/>
          <w:lang w:eastAsia="zh-CN"/>
        </w:rPr>
        <w:t xml:space="preserve">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宋体"/>
          <w:lang w:eastAsia="zh-CN"/>
        </w:rPr>
      </w:pPr>
      <w:r>
        <w:rPr>
          <w:rFonts w:eastAsia="宋体"/>
          <w:lang w:eastAsia="zh-CN"/>
        </w:rPr>
        <w:t>Like in Rel-15/16 FR2, for initial access (</w:t>
      </w:r>
      <w:proofErr w:type="spellStart"/>
      <w:r>
        <w:rPr>
          <w:rFonts w:eastAsia="宋体"/>
          <w:lang w:eastAsia="zh-CN"/>
        </w:rPr>
        <w:t>PCell</w:t>
      </w:r>
      <w:proofErr w:type="spellEnd"/>
      <w:r>
        <w:rPr>
          <w:rFonts w:eastAsia="宋体"/>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宋体"/>
          <w:lang w:eastAsia="zh-CN"/>
        </w:rPr>
      </w:pPr>
      <w:r>
        <w:rPr>
          <w:rFonts w:eastAsia="宋体"/>
          <w:lang w:eastAsia="zh-CN"/>
        </w:rPr>
        <w:t xml:space="preserve">For cases other than initial access (e.g. for </w:t>
      </w:r>
      <w:proofErr w:type="gramStart"/>
      <w:r>
        <w:rPr>
          <w:rFonts w:eastAsia="宋体"/>
          <w:lang w:eastAsia="zh-CN"/>
        </w:rPr>
        <w:t>an</w:t>
      </w:r>
      <w:proofErr w:type="gramEnd"/>
      <w:r>
        <w:rPr>
          <w:rFonts w:eastAsia="宋体"/>
          <w:lang w:eastAsia="zh-CN"/>
        </w:rPr>
        <w:t xml:space="preserve"> </w:t>
      </w:r>
      <w:proofErr w:type="spellStart"/>
      <w:r>
        <w:rPr>
          <w:rFonts w:eastAsia="宋体"/>
          <w:lang w:eastAsia="zh-CN"/>
        </w:rPr>
        <w:t>SCell</w:t>
      </w:r>
      <w:proofErr w:type="spellEnd"/>
      <w:r>
        <w:rPr>
          <w:rFonts w:eastAsia="宋体"/>
          <w:lang w:eastAsia="zh-CN"/>
        </w:rPr>
        <w:t>),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40C9D69" w14:textId="77777777">
        <w:tc>
          <w:tcPr>
            <w:tcW w:w="1345" w:type="dxa"/>
            <w:shd w:val="clear" w:color="auto" w:fill="FBE4D5" w:themeFill="accent2" w:themeFillTint="33"/>
          </w:tcPr>
          <w:p w14:paraId="0C542FD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14BBCF4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tc>
          <w:tcPr>
            <w:tcW w:w="1345" w:type="dxa"/>
          </w:tcPr>
          <w:p w14:paraId="72FF6FD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80" w:type="dxa"/>
          </w:tcPr>
          <w:p w14:paraId="4C72EC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tc>
          <w:tcPr>
            <w:tcW w:w="1345" w:type="dxa"/>
          </w:tcPr>
          <w:p w14:paraId="089606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80" w:type="dxa"/>
          </w:tcPr>
          <w:p w14:paraId="7E91BD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tc>
          <w:tcPr>
            <w:tcW w:w="1345" w:type="dxa"/>
          </w:tcPr>
          <w:p w14:paraId="1D8705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5FE01E1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tc>
          <w:tcPr>
            <w:tcW w:w="1345"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80"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tc>
          <w:tcPr>
            <w:tcW w:w="1345"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567B85" w14:paraId="35821E76" w14:textId="77777777">
        <w:tc>
          <w:tcPr>
            <w:tcW w:w="1345" w:type="dxa"/>
          </w:tcPr>
          <w:p w14:paraId="3E6D5258" w14:textId="069260BE" w:rsidR="00567B85" w:rsidRDefault="00567B85" w:rsidP="00567B85">
            <w:pPr>
              <w:pStyle w:val="BodyText"/>
              <w:spacing w:after="0"/>
              <w:rPr>
                <w:rFonts w:ascii="Times New Roman" w:eastAsiaTheme="minorEastAsia" w:hAnsi="Times New Roman" w:hint="eastAsia"/>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02FCC0EE" w14:textId="6B3A551F" w:rsidR="00567B85" w:rsidRDefault="00567B85" w:rsidP="00567B85">
            <w:pPr>
              <w:pStyle w:val="BodyText"/>
              <w:spacing w:after="0"/>
              <w:rPr>
                <w:rFonts w:ascii="Times New Roman" w:eastAsiaTheme="minorEastAsia" w:hAnsi="Times New Roman" w:hint="eastAsia"/>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w:t>
            </w:r>
            <w:r>
              <w:rPr>
                <w:rFonts w:ascii="Times New Roman" w:hAnsi="Times New Roman"/>
                <w:sz w:val="22"/>
                <w:szCs w:val="22"/>
                <w:lang w:eastAsia="zh-CN"/>
              </w:rPr>
              <w:t xml:space="preserve"> For CSI-RS based measurement, in our view, CSI-RS validation is not well supported in NR-U.</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77777777" w:rsidR="00E82F34" w:rsidRDefault="00E82F34">
      <w:pPr>
        <w:pStyle w:val="BodyText"/>
        <w:spacing w:after="0"/>
        <w:rPr>
          <w:rFonts w:ascii="Times New Roman" w:hAnsi="Times New Roman"/>
          <w:sz w:val="22"/>
          <w:szCs w:val="22"/>
          <w:lang w:eastAsia="zh-CN"/>
        </w:rPr>
      </w:pPr>
    </w:p>
    <w:p w14:paraId="6EDA127D" w14:textId="77777777" w:rsidR="00E82F34" w:rsidRDefault="00E82F34">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宋体"/>
          <w:lang w:eastAsia="zh-CN"/>
        </w:rPr>
      </w:pPr>
      <w:r>
        <w:rPr>
          <w:rFonts w:eastAsia="宋体"/>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78B4A2C6"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14158AD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5A2E701" w14:textId="77777777">
        <w:tc>
          <w:tcPr>
            <w:tcW w:w="1345" w:type="dxa"/>
            <w:shd w:val="clear" w:color="auto" w:fill="FBE4D5" w:themeFill="accent2" w:themeFillTint="33"/>
          </w:tcPr>
          <w:p w14:paraId="36DD076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5871825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tc>
          <w:tcPr>
            <w:tcW w:w="1345" w:type="dxa"/>
          </w:tcPr>
          <w:p w14:paraId="2584D4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3CD834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tc>
          <w:tcPr>
            <w:tcW w:w="1345" w:type="dxa"/>
          </w:tcPr>
          <w:p w14:paraId="40DE458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80" w:type="dxa"/>
          </w:tcPr>
          <w:p w14:paraId="2A1DB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tc>
          <w:tcPr>
            <w:tcW w:w="1345" w:type="dxa"/>
          </w:tcPr>
          <w:p w14:paraId="63A2714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69E1D40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tc>
          <w:tcPr>
            <w:tcW w:w="1345"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tc>
          <w:tcPr>
            <w:tcW w:w="1345"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tc>
          <w:tcPr>
            <w:tcW w:w="1345" w:type="dxa"/>
          </w:tcPr>
          <w:p w14:paraId="2A97CA2C" w14:textId="5C2730FC" w:rsidR="00567B85" w:rsidRDefault="00567B85" w:rsidP="00567B85">
            <w:pPr>
              <w:pStyle w:val="BodyText"/>
              <w:spacing w:after="0"/>
              <w:rPr>
                <w:rFonts w:ascii="Times New Roman" w:eastAsiaTheme="minorEastAsia" w:hAnsi="Times New Roman" w:hint="eastAsia"/>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80" w:type="dxa"/>
          </w:tcPr>
          <w:p w14:paraId="1C33BCF9" w14:textId="668F0B5C" w:rsidR="00567B85" w:rsidRDefault="00567B85" w:rsidP="00567B85">
            <w:pPr>
              <w:pStyle w:val="BodyText"/>
              <w:spacing w:after="0"/>
              <w:rPr>
                <w:rFonts w:ascii="Times New Roman" w:eastAsiaTheme="minorEastAsia" w:hAnsi="Times New Roman" w:hint="eastAsia"/>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4DF2A47E" w14:textId="77777777" w:rsidR="00E82F34" w:rsidRDefault="00E82F34">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宋体"/>
          <w:lang w:eastAsia="zh-CN"/>
        </w:rPr>
      </w:pPr>
      <w:r>
        <w:rPr>
          <w:rFonts w:eastAsia="宋体"/>
          <w:lang w:eastAsia="zh-CN"/>
        </w:rPr>
        <w:lastRenderedPageBreak/>
        <w:t xml:space="preserve">For cases other than initial access (e.g. for </w:t>
      </w:r>
      <w:proofErr w:type="gramStart"/>
      <w:r>
        <w:rPr>
          <w:rFonts w:eastAsia="宋体"/>
          <w:lang w:eastAsia="zh-CN"/>
        </w:rPr>
        <w:t>an</w:t>
      </w:r>
      <w:proofErr w:type="gramEnd"/>
      <w:r>
        <w:rPr>
          <w:rFonts w:eastAsia="宋体"/>
          <w:lang w:eastAsia="zh-CN"/>
        </w:rPr>
        <w:t xml:space="preserve"> </w:t>
      </w:r>
      <w:proofErr w:type="spellStart"/>
      <w:r>
        <w:rPr>
          <w:rFonts w:eastAsia="宋体"/>
          <w:lang w:eastAsia="zh-CN"/>
        </w:rPr>
        <w:t>SCell</w:t>
      </w:r>
      <w:proofErr w:type="spellEnd"/>
      <w:r>
        <w:rPr>
          <w:rFonts w:eastAsia="宋体"/>
          <w:lang w:eastAsia="zh-CN"/>
        </w:rPr>
        <w:t>), support 480 and 960 kHz SCS for SS/PBCH block.</w:t>
      </w:r>
    </w:p>
    <w:p w14:paraId="22C07341" w14:textId="77777777" w:rsidR="00E82F34" w:rsidRDefault="00DB66BB">
      <w:pPr>
        <w:pStyle w:val="ListParagraph"/>
        <w:numPr>
          <w:ilvl w:val="1"/>
          <w:numId w:val="6"/>
        </w:numPr>
        <w:rPr>
          <w:rFonts w:eastAsia="宋体"/>
          <w:lang w:eastAsia="zh-CN"/>
        </w:rPr>
      </w:pPr>
      <w:r>
        <w:rPr>
          <w:lang w:eastAsia="zh-CN"/>
        </w:rPr>
        <w:t xml:space="preserve">Observation: </w:t>
      </w:r>
      <w:r>
        <w:rPr>
          <w:rFonts w:eastAsia="宋体"/>
          <w:lang w:eastAsia="zh-CN"/>
        </w:rPr>
        <w:t xml:space="preserve">For basic </w:t>
      </w:r>
      <w:proofErr w:type="spellStart"/>
      <w:r>
        <w:rPr>
          <w:rFonts w:eastAsia="宋体"/>
          <w:lang w:eastAsia="zh-CN"/>
        </w:rPr>
        <w:t>SCell</w:t>
      </w:r>
      <w:proofErr w:type="spellEnd"/>
      <w:r>
        <w:rPr>
          <w:rFonts w:eastAsia="宋体"/>
          <w:lang w:eastAsia="zh-CN"/>
        </w:rPr>
        <w:t xml:space="preserve"> operation, two of the spare bits in IE </w:t>
      </w:r>
      <w:proofErr w:type="spellStart"/>
      <w:r>
        <w:rPr>
          <w:rFonts w:eastAsia="宋体"/>
          <w:lang w:eastAsia="zh-CN"/>
        </w:rPr>
        <w:t>SubcarrierSpacing</w:t>
      </w:r>
      <w:proofErr w:type="spellEnd"/>
      <w:r>
        <w:rPr>
          <w:rFonts w:eastAsia="宋体"/>
          <w:lang w:eastAsia="zh-CN"/>
        </w:rPr>
        <w:t xml:space="preserve">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60GHz shared spectrum, consider the support of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the SSB design of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480 kHz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based SSB positions in a slot with SSB symbols 2, 3, 4, 5 and 9, 10, 11, 12 in a slot.</w:t>
      </w:r>
    </w:p>
    <w:p w14:paraId="5FB40B0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Extending the current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to accommodate explicit SSB beam switching gaps, a new SSB pattern may be required for larger SSB SCS (SCS = 480 kHz and 960 kHz)</w:t>
      </w:r>
    </w:p>
    <w:p w14:paraId="4ACB1DF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BodyText"/>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58.25pt" o:ole="">
            <v:imagedata r:id="rId15" o:title=""/>
          </v:shape>
          <o:OLEObject Type="Embed" ProgID="Visio.Drawing.15" ShapeID="_x0000_i1025" DrawAspect="Content" ObjectID="_1673187370" r:id="rId16"/>
        </w:object>
      </w:r>
    </w:p>
    <w:p w14:paraId="52666888" w14:textId="77777777" w:rsidR="00E82F34" w:rsidRDefault="00DB66BB">
      <w:pPr>
        <w:pStyle w:val="BodyText"/>
        <w:spacing w:after="0"/>
        <w:jc w:val="center"/>
      </w:pPr>
      <w:r>
        <w:object w:dxaOrig="5040" w:dyaOrig="720" w14:anchorId="07731658">
          <v:shape id="_x0000_i1026" type="#_x0000_t75" style="width:252pt;height:36pt" o:ole="">
            <v:imagedata r:id="rId17" o:title=""/>
          </v:shape>
          <o:OLEObject Type="Embed" ProgID="Visio.Drawing.15" ShapeID="_x0000_i1026" DrawAspect="Content" ObjectID="_1673187371" r:id="rId18"/>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宋体"/>
          <w:lang w:eastAsia="zh-CN"/>
        </w:rPr>
      </w:pPr>
      <w:r>
        <w:rPr>
          <w:rFonts w:eastAsia="宋体"/>
          <w:lang w:eastAsia="zh-CN"/>
        </w:rPr>
        <w:t xml:space="preserve">At least one symbol gap in time domain between SS/PBCH blocks with different SSB indices should be considered for higher subcarrier spacing (e.g., 960kHz) taking into account a beam switching gap due to a RF interruption time of </w:t>
      </w:r>
      <w:proofErr w:type="spellStart"/>
      <w:r>
        <w:rPr>
          <w:rFonts w:eastAsia="宋体"/>
          <w:lang w:eastAsia="zh-CN"/>
        </w:rPr>
        <w:t>Tx</w:t>
      </w:r>
      <w:proofErr w:type="spellEnd"/>
      <w:r>
        <w:rPr>
          <w:rFonts w:eastAsia="宋体"/>
          <w:lang w:eastAsia="zh-CN"/>
        </w:rPr>
        <w:t>/Rx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Summary of Email Discussions</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60D4749" w14:textId="77777777" w:rsidR="00E82F34" w:rsidRDefault="00DB66BB">
            <w:pPr>
              <w:pStyle w:val="BodyText"/>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14:paraId="691369FC" w14:textId="77777777"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bl>
    <w:p w14:paraId="0566CF0D" w14:textId="77777777" w:rsidR="00E82F34" w:rsidRDefault="00E82F34">
      <w:pPr>
        <w:pStyle w:val="BodyText"/>
        <w:spacing w:after="0"/>
        <w:rPr>
          <w:rFonts w:ascii="Times New Roman" w:hAnsi="Times New Roman"/>
          <w:sz w:val="22"/>
          <w:szCs w:val="22"/>
          <w:lang w:eastAsia="zh-CN"/>
        </w:rPr>
      </w:pPr>
    </w:p>
    <w:p w14:paraId="5421D587" w14:textId="77777777" w:rsidR="00E82F34" w:rsidRDefault="00E82F34">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30F4490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Type0-PDCCH CSS may utilize symbols {0</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0" w:name="_Ref61337114"/>
    </w:p>
    <w:p w14:paraId="2B5B8F57" w14:textId="77777777" w:rsidR="00E82F34" w:rsidRDefault="00DB66BB">
      <w:pPr>
        <w:pStyle w:val="Caption"/>
        <w:jc w:val="center"/>
        <w:rPr>
          <w:b w:val="0"/>
          <w:bCs w:val="0"/>
        </w:rPr>
      </w:pPr>
      <w:bookmarkStart w:id="1" w:name="_Ref61447449"/>
      <w:r>
        <w:t xml:space="preserve">Table </w:t>
      </w:r>
      <w:fldSimple w:instr=" SEQ Table \* ARABIC ">
        <w:r>
          <w:t>1</w:t>
        </w:r>
      </w:fldSimple>
      <w:bookmarkEnd w:id="0"/>
      <w:bookmarkEnd w:id="1"/>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5B5EA86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BodyText"/>
        <w:spacing w:after="0"/>
      </w:pPr>
      <w:r>
        <w:object w:dxaOrig="9930" w:dyaOrig="2610" w14:anchorId="652CEDCE">
          <v:shape id="_x0000_i1027" type="#_x0000_t75" style="width:496.5pt;height:131.25pt" o:ole="">
            <v:imagedata r:id="rId19" o:title=""/>
          </v:shape>
          <o:OLEObject Type="Embed" ProgID="Visio.Drawing.15" ShapeID="_x0000_i1027" DrawAspect="Content" ObjectID="_1673187372" r:id="rId20"/>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BodyText"/>
        <w:spacing w:after="0"/>
      </w:pPr>
      <w:r>
        <w:object w:dxaOrig="9930" w:dyaOrig="4030" w14:anchorId="07ABEEC0">
          <v:shape id="_x0000_i1028" type="#_x0000_t75" style="width:496.5pt;height:201.75pt" o:ole="">
            <v:imagedata r:id="rId21" o:title=""/>
          </v:shape>
          <o:OLEObject Type="Embed" ProgID="Visio.Drawing.15" ShapeID="_x0000_i1028" DrawAspect="Content" ObjectID="_1673187373" r:id="rId22"/>
        </w:object>
      </w:r>
    </w:p>
    <w:p w14:paraId="6703508C" w14:textId="77777777" w:rsidR="00E82F34" w:rsidRDefault="00DB66BB">
      <w:pPr>
        <w:pStyle w:val="BodyText"/>
        <w:spacing w:after="0"/>
      </w:pPr>
      <w:r>
        <w:object w:dxaOrig="9930" w:dyaOrig="4030" w14:anchorId="69F2F957">
          <v:shape id="_x0000_i1029" type="#_x0000_t75" style="width:496.5pt;height:201.75pt" o:ole="">
            <v:imagedata r:id="rId23" o:title=""/>
          </v:shape>
          <o:OLEObject Type="Embed" ProgID="Visio.Drawing.15" ShapeID="_x0000_i1029" DrawAspect="Content" ObjectID="_1673187374" r:id="rId24"/>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BodyText"/>
        <w:spacing w:after="0"/>
        <w:jc w:val="center"/>
        <w:rPr>
          <w:rFonts w:ascii="Times New Roman" w:hAnsi="Times New Roman"/>
          <w:sz w:val="22"/>
          <w:szCs w:val="22"/>
          <w:lang w:eastAsia="zh-CN"/>
        </w:rPr>
      </w:pPr>
      <w:r>
        <w:object w:dxaOrig="4750" w:dyaOrig="2310" w14:anchorId="29546449">
          <v:shape id="_x0000_i1030" type="#_x0000_t75" style="width:237pt;height:116.25pt" o:ole="">
            <v:imagedata r:id="rId25" o:title=""/>
          </v:shape>
          <o:OLEObject Type="Embed" ProgID="Visio.Drawing.15" ShapeID="_x0000_i1030" DrawAspect="Content" ObjectID="_1673187375" r:id="rId26"/>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宋体"/>
          <w:lang w:eastAsia="zh-CN"/>
        </w:rPr>
      </w:pPr>
      <w:r>
        <w:rPr>
          <w:rFonts w:eastAsia="宋体"/>
          <w:lang w:eastAsia="zh-CN"/>
        </w:rPr>
        <w:t xml:space="preserve">We propose that SS/PBCH block and CORESET#0/RMSI can be multiplexed in TDM/FDM within a slot considering multi-beam operation and it can be closely located without the gap </w:t>
      </w:r>
      <w:r>
        <w:rPr>
          <w:rFonts w:eastAsia="宋体"/>
          <w:lang w:eastAsia="zh-CN"/>
        </w:rPr>
        <w:lastRenderedPageBreak/>
        <w:t>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F1C79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lastRenderedPageBreak/>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can be supported.</w:t>
      </w:r>
    </w:p>
    <w:p w14:paraId="26F369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can be supported.</w:t>
      </w:r>
    </w:p>
    <w:p w14:paraId="633277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400MHz,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pPr>
        <w:pStyle w:val="BodyText"/>
        <w:numPr>
          <w:ilvl w:val="2"/>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17 should be studied for NR operation from 52.6 to 71 GHz.  </w:t>
      </w:r>
    </w:p>
    <w:p w14:paraId="6F7379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C010B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5A990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62BEE5E7" w14:textId="77777777">
        <w:tc>
          <w:tcPr>
            <w:tcW w:w="1345" w:type="dxa"/>
            <w:shd w:val="clear" w:color="auto" w:fill="FBE4D5" w:themeFill="accent2" w:themeFillTint="33"/>
          </w:tcPr>
          <w:p w14:paraId="120B1D9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F7BFDA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tc>
          <w:tcPr>
            <w:tcW w:w="1345" w:type="dxa"/>
          </w:tcPr>
          <w:p w14:paraId="5086C0E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A28281"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There</w:t>
            </w:r>
            <w:proofErr w:type="gramEnd"/>
            <w:r>
              <w:rPr>
                <w:rFonts w:ascii="Times New Roman" w:hAnsi="Times New Roman"/>
                <w:sz w:val="22"/>
                <w:szCs w:val="22"/>
                <w:lang w:eastAsia="zh-CN"/>
              </w:rPr>
              <w:t xml:space="preserv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17577FC"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BB907E7"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tc>
          <w:tcPr>
            <w:tcW w:w="1345" w:type="dxa"/>
          </w:tcPr>
          <w:p w14:paraId="02B5F18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8FFF3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tc>
          <w:tcPr>
            <w:tcW w:w="1345" w:type="dxa"/>
          </w:tcPr>
          <w:p w14:paraId="5232C05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0008E52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tc>
          <w:tcPr>
            <w:tcW w:w="1345"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77777777" w:rsidR="00E82F34" w:rsidRDefault="00E82F34">
      <w:pPr>
        <w:pStyle w:val="BodyText"/>
        <w:spacing w:after="0"/>
        <w:rPr>
          <w:rFonts w:ascii="Times New Roman" w:hAnsi="Times New Roman"/>
          <w:sz w:val="22"/>
          <w:szCs w:val="22"/>
          <w:lang w:eastAsia="zh-CN"/>
        </w:rPr>
      </w:pPr>
    </w:p>
    <w:p w14:paraId="3E069821" w14:textId="77777777" w:rsidR="00E82F34" w:rsidRDefault="00E82F34">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宋体"/>
          <w:lang w:eastAsia="zh-CN"/>
        </w:rPr>
      </w:pPr>
      <w:r>
        <w:rPr>
          <w:rFonts w:eastAsia="宋体"/>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ListParagraph"/>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8E4D301"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hint="eastAsia"/>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77777777" w:rsidR="00E82F34" w:rsidRDefault="00E82F34">
      <w:pPr>
        <w:pStyle w:val="BodyText"/>
        <w:spacing w:after="0"/>
        <w:rPr>
          <w:rFonts w:ascii="Times New Roman" w:hAnsi="Times New Roman"/>
          <w:sz w:val="22"/>
          <w:szCs w:val="22"/>
          <w:lang w:eastAsia="zh-CN"/>
        </w:rPr>
      </w:pPr>
    </w:p>
    <w:p w14:paraId="7884E3A1" w14:textId="77777777" w:rsidR="00E82F34" w:rsidRDefault="00E82F34">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only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Select combinations of SCS and sequence length for PRACH for initial access at least considering maximum mandatory bandwidth of UE.</w:t>
      </w:r>
    </w:p>
    <w:p w14:paraId="0063E7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13AECD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宋体"/>
          <w:lang w:eastAsia="zh-CN"/>
        </w:rPr>
      </w:pPr>
      <w:r>
        <w:rPr>
          <w:rFonts w:eastAsia="宋体"/>
          <w:lang w:eastAsia="zh-CN"/>
        </w:rPr>
        <w:t xml:space="preserve">For cases other than initial access (e.g. for an </w:t>
      </w:r>
      <w:proofErr w:type="spellStart"/>
      <w:r>
        <w:rPr>
          <w:rFonts w:eastAsia="宋体"/>
          <w:lang w:eastAsia="zh-CN"/>
        </w:rPr>
        <w:t>SCell</w:t>
      </w:r>
      <w:proofErr w:type="spellEnd"/>
      <w:r>
        <w:rPr>
          <w:rFonts w:eastAsia="宋体"/>
          <w:lang w:eastAsia="zh-CN"/>
        </w:rPr>
        <w:t>),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D8D50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w:t>
      </w:r>
      <w:proofErr w:type="gramStart"/>
      <w:r>
        <w:rPr>
          <w:rFonts w:ascii="Times New Roman" w:hAnsi="Times New Roman"/>
          <w:sz w:val="22"/>
          <w:szCs w:val="22"/>
          <w:lang w:eastAsia="zh-CN"/>
        </w:rPr>
        <w:t>specific  SCS</w:t>
      </w:r>
      <w:proofErr w:type="gramEnd"/>
      <w:r>
        <w:rPr>
          <w:rFonts w:ascii="Times New Roman" w:hAnsi="Times New Roman"/>
          <w:sz w:val="22"/>
          <w:szCs w:val="22"/>
          <w:lang w:eastAsia="zh-CN"/>
        </w:rPr>
        <w:t xml:space="preserve">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xml:space="preserve">, Ericsson (non-initial access cases), Qualcomm, NTT </w:t>
      </w:r>
      <w:proofErr w:type="spellStart"/>
      <w:r>
        <w:rPr>
          <w:rFonts w:ascii="Times New Roman" w:hAnsi="Times New Roman"/>
          <w:sz w:val="22"/>
          <w:szCs w:val="22"/>
          <w:lang w:eastAsia="zh-CN"/>
        </w:rPr>
        <w:t>Docomo</w:t>
      </w:r>
      <w:proofErr w:type="spellEnd"/>
    </w:p>
    <w:p w14:paraId="37BA6DC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195B940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37A54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set</w:t>
      </w:r>
      <w:proofErr w:type="gramEnd"/>
      <w:r>
        <w:rPr>
          <w:rFonts w:ascii="Times New Roman" w:hAnsi="Times New Roman"/>
          <w:sz w:val="22"/>
          <w:szCs w:val="22"/>
          <w:lang w:eastAsia="zh-CN"/>
        </w:rPr>
        <w:t xml:space="preserve">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1A2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the introduction of larger SCS in 52.6-71GHz, such as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how to configure time domain ROs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51ED3D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maximum of 4 FD multiplexed ROs for SCS = 120 kHz and sequence length = 571. For all other SCS and sequence length combinations, a maximum of 8 FD multiplexed ROs can be used</w:t>
      </w:r>
    </w:p>
    <w:p w14:paraId="45AD3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0B7644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2635"/>
        <w:gridCol w:w="6084"/>
      </w:tblGrid>
      <w:tr w:rsidR="00E82F34" w14:paraId="06FE1C3F" w14:textId="77777777">
        <w:tc>
          <w:tcPr>
            <w:tcW w:w="1226" w:type="dxa"/>
            <w:shd w:val="clear" w:color="auto" w:fill="FBE4D5" w:themeFill="accent2" w:themeFillTint="33"/>
          </w:tcPr>
          <w:p w14:paraId="264AE1A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639" w:type="dxa"/>
            <w:shd w:val="clear" w:color="auto" w:fill="FBE4D5" w:themeFill="accent2" w:themeFillTint="33"/>
          </w:tcPr>
          <w:p w14:paraId="21BF21F4"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6097" w:type="dxa"/>
            <w:shd w:val="clear" w:color="auto" w:fill="FBE4D5" w:themeFill="accent2" w:themeFillTint="33"/>
          </w:tcPr>
          <w:p w14:paraId="3C864B2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tc>
          <w:tcPr>
            <w:tcW w:w="1226" w:type="dxa"/>
          </w:tcPr>
          <w:p w14:paraId="5D8E40C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639" w:type="dxa"/>
          </w:tcPr>
          <w:p w14:paraId="3557EC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097" w:type="dxa"/>
          </w:tcPr>
          <w:p w14:paraId="091345A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tc>
          <w:tcPr>
            <w:tcW w:w="1226" w:type="dxa"/>
          </w:tcPr>
          <w:p w14:paraId="534A58D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639" w:type="dxa"/>
          </w:tcPr>
          <w:p w14:paraId="66404A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097" w:type="dxa"/>
          </w:tcPr>
          <w:p w14:paraId="4B79513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tc>
          <w:tcPr>
            <w:tcW w:w="1226" w:type="dxa"/>
          </w:tcPr>
          <w:p w14:paraId="403410F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639" w:type="dxa"/>
          </w:tcPr>
          <w:p w14:paraId="287BA7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6097" w:type="dxa"/>
          </w:tcPr>
          <w:p w14:paraId="2ACA36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tc>
          <w:tcPr>
            <w:tcW w:w="1226"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639"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097" w:type="dxa"/>
          </w:tcPr>
          <w:p w14:paraId="2C9AA61F" w14:textId="77777777" w:rsidR="00DB66BB" w:rsidRDefault="00DB66BB" w:rsidP="00DB66BB">
            <w:pPr>
              <w:pStyle w:val="BodyText"/>
              <w:spacing w:after="0" w:line="280" w:lineRule="atLeast"/>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tc>
          <w:tcPr>
            <w:tcW w:w="1226"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639"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6097" w:type="dxa"/>
          </w:tcPr>
          <w:p w14:paraId="5AF27144" w14:textId="47E8B2CE" w:rsidR="00E17F78" w:rsidRPr="00DB66BB" w:rsidRDefault="00E17F78" w:rsidP="00E17F7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to insert CCA gap between adjacent RACH occasions in time domain (e.g. X </w:t>
            </w:r>
            <w:proofErr w:type="spellStart"/>
            <w:r w:rsidRPr="004C2E3A">
              <w:rPr>
                <w:rFonts w:ascii="Times New Roman" w:hAnsi="Times New Roman"/>
                <w:sz w:val="22"/>
                <w:szCs w:val="22"/>
                <w:lang w:eastAsia="zh-CN"/>
              </w:rPr>
              <w:t>usec</w:t>
            </w:r>
            <w:proofErr w:type="spellEnd"/>
            <w:r w:rsidRPr="004C2E3A">
              <w:rPr>
                <w:rFonts w:ascii="Times New Roman" w:hAnsi="Times New Roman"/>
                <w:sz w:val="22"/>
                <w:szCs w:val="22"/>
                <w:lang w:eastAsia="zh-CN"/>
              </w:rPr>
              <w:t xml:space="preserve"> or Y symbol) to avoid inter-UE LBT blocking due to the propagation delay of PRACH transmitted in an earlier RO.</w:t>
            </w:r>
          </w:p>
        </w:tc>
      </w:tr>
      <w:tr w:rsidR="00567B85" w14:paraId="0EDE0A2D" w14:textId="77777777">
        <w:tc>
          <w:tcPr>
            <w:tcW w:w="1226" w:type="dxa"/>
          </w:tcPr>
          <w:p w14:paraId="75C724EF" w14:textId="0530427C" w:rsidR="00567B85" w:rsidRDefault="00567B85" w:rsidP="00567B85">
            <w:pPr>
              <w:pStyle w:val="BodyText"/>
              <w:spacing w:after="0"/>
              <w:rPr>
                <w:rFonts w:ascii="Times New Roman" w:eastAsiaTheme="minorEastAsia" w:hAnsi="Times New Roman" w:hint="eastAsia"/>
                <w:sz w:val="22"/>
                <w:szCs w:val="22"/>
                <w:lang w:eastAsia="ko-KR"/>
              </w:rPr>
            </w:pPr>
            <w:bookmarkStart w:id="2" w:name="_GoBack" w:colFirst="0" w:colLast="0"/>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639" w:type="dxa"/>
          </w:tcPr>
          <w:p w14:paraId="73E0E925" w14:textId="277341ED" w:rsidR="00567B85" w:rsidRDefault="00567B85" w:rsidP="00567B85">
            <w:pPr>
              <w:pStyle w:val="BodyText"/>
              <w:spacing w:after="0"/>
              <w:rPr>
                <w:rFonts w:ascii="Times New Roman" w:eastAsiaTheme="minorEastAsia" w:hAnsi="Times New Roman" w:hint="eastAsia"/>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6097" w:type="dxa"/>
          </w:tcPr>
          <w:p w14:paraId="165D2841" w14:textId="77777777" w:rsidR="00567B85" w:rsidRDefault="00567B85" w:rsidP="00567B85">
            <w:pPr>
              <w:pStyle w:val="BodyText"/>
              <w:spacing w:after="0" w:line="280" w:lineRule="atLeast"/>
              <w:rPr>
                <w:rFonts w:ascii="Times New Roman" w:hAnsi="Times New Roman"/>
                <w:sz w:val="22"/>
                <w:szCs w:val="22"/>
                <w:lang w:eastAsia="zh-CN"/>
              </w:rPr>
            </w:pPr>
          </w:p>
        </w:tc>
      </w:tr>
      <w:bookmarkEnd w:id="2"/>
    </w:tbl>
    <w:p w14:paraId="15710DEC" w14:textId="77777777" w:rsidR="00E82F34" w:rsidRDefault="00E82F34">
      <w:pPr>
        <w:pStyle w:val="BodyText"/>
        <w:spacing w:after="0"/>
        <w:rPr>
          <w:rFonts w:ascii="Times New Roman" w:hAnsi="Times New Roman"/>
          <w:sz w:val="22"/>
          <w:szCs w:val="22"/>
          <w:lang w:eastAsia="zh-CN"/>
        </w:rPr>
      </w:pPr>
    </w:p>
    <w:p w14:paraId="2D2FD06E" w14:textId="77777777" w:rsidR="00E82F34" w:rsidRDefault="00E82F34">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lastRenderedPageBreak/>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6"/>
        <w:gridCol w:w="8669"/>
      </w:tblGrid>
      <w:tr w:rsidR="00E82F34" w14:paraId="02052C77" w14:textId="77777777">
        <w:tc>
          <w:tcPr>
            <w:tcW w:w="1226" w:type="dxa"/>
            <w:shd w:val="clear" w:color="auto" w:fill="FBE4D5" w:themeFill="accent2" w:themeFillTint="33"/>
          </w:tcPr>
          <w:p w14:paraId="249C858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tc>
          <w:tcPr>
            <w:tcW w:w="1226" w:type="dxa"/>
          </w:tcPr>
          <w:p w14:paraId="1B8780A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tc>
          <w:tcPr>
            <w:tcW w:w="1226" w:type="dxa"/>
          </w:tcPr>
          <w:p w14:paraId="6E08C8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20007F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tc>
          <w:tcPr>
            <w:tcW w:w="1226"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tc>
          <w:tcPr>
            <w:tcW w:w="1226"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bl>
    <w:p w14:paraId="120BD6C7" w14:textId="77777777" w:rsidR="00E82F34" w:rsidRDefault="00E82F34">
      <w:pPr>
        <w:pStyle w:val="BodyText"/>
        <w:spacing w:after="0"/>
        <w:rPr>
          <w:rFonts w:ascii="Times New Roman" w:hAnsi="Times New Roman"/>
          <w:sz w:val="22"/>
          <w:szCs w:val="22"/>
          <w:lang w:eastAsia="zh-CN"/>
        </w:rPr>
      </w:pPr>
    </w:p>
    <w:p w14:paraId="6B3B55AD" w14:textId="77777777" w:rsidR="00E82F34" w:rsidRDefault="00E82F34">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77777777" w:rsidR="00E82F34" w:rsidRDefault="00DB66BB">
      <w:pPr>
        <w:pStyle w:val="Heading3"/>
        <w:rPr>
          <w:lang w:eastAsia="zh-CN"/>
        </w:rPr>
      </w:pPr>
      <w:r>
        <w:rPr>
          <w:lang w:eastAsia="zh-CN"/>
        </w:rPr>
        <w:t>2.2.5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For 120 kHz,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8A92539" w14:textId="77777777" w:rsidR="00E82F34" w:rsidRDefault="00DB66BB">
      <w:pPr>
        <w:pStyle w:val="ListParagraph"/>
        <w:numPr>
          <w:ilvl w:val="1"/>
          <w:numId w:val="6"/>
        </w:numPr>
        <w:rPr>
          <w:rFonts w:eastAsia="宋体"/>
          <w:lang w:eastAsia="zh-CN"/>
        </w:rPr>
      </w:pPr>
      <w:r>
        <w:rPr>
          <w:rFonts w:eastAsia="宋体"/>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宋体"/>
          <w:lang w:eastAsia="zh-CN"/>
        </w:rPr>
      </w:pPr>
      <w:r>
        <w:rPr>
          <w:rFonts w:eastAsia="宋体"/>
          <w:lang w:eastAsia="zh-CN"/>
        </w:rPr>
        <w:t>From [22] Ericsson:</w:t>
      </w:r>
    </w:p>
    <w:p w14:paraId="3B44FAD6" w14:textId="77777777" w:rsidR="00E82F34" w:rsidRDefault="00DB66BB">
      <w:pPr>
        <w:pStyle w:val="ListParagraph"/>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6"/>
        <w:gridCol w:w="8669"/>
      </w:tblGrid>
      <w:tr w:rsidR="00E82F34" w14:paraId="6FDA6FBC" w14:textId="77777777">
        <w:tc>
          <w:tcPr>
            <w:tcW w:w="1226" w:type="dxa"/>
            <w:shd w:val="clear" w:color="auto" w:fill="FBE4D5" w:themeFill="accent2" w:themeFillTint="33"/>
          </w:tcPr>
          <w:p w14:paraId="72C2124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1A454E52"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tc>
          <w:tcPr>
            <w:tcW w:w="1226" w:type="dxa"/>
          </w:tcPr>
          <w:p w14:paraId="29FD783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7BFA4F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tc>
          <w:tcPr>
            <w:tcW w:w="1226" w:type="dxa"/>
          </w:tcPr>
          <w:p w14:paraId="66DF29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669" w:type="dxa"/>
          </w:tcPr>
          <w:p w14:paraId="1A42AB8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tc>
          <w:tcPr>
            <w:tcW w:w="1226" w:type="dxa"/>
          </w:tcPr>
          <w:p w14:paraId="6F34D2F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588ECC6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tc>
          <w:tcPr>
            <w:tcW w:w="1226"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tc>
          <w:tcPr>
            <w:tcW w:w="1226"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669"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bl>
    <w:p w14:paraId="473E747D" w14:textId="77777777" w:rsidR="00E82F34" w:rsidRDefault="00E82F34">
      <w:pPr>
        <w:pStyle w:val="BodyText"/>
        <w:spacing w:after="0"/>
        <w:rPr>
          <w:rFonts w:ascii="Times New Roman" w:hAnsi="Times New Roman"/>
          <w:sz w:val="22"/>
          <w:szCs w:val="22"/>
          <w:lang w:eastAsia="zh-CN"/>
        </w:rPr>
      </w:pPr>
    </w:p>
    <w:p w14:paraId="4207BCA0" w14:textId="77777777" w:rsidR="00E82F34" w:rsidRDefault="00E82F34">
      <w:pPr>
        <w:pStyle w:val="BodyText"/>
        <w:spacing w:after="0"/>
        <w:rPr>
          <w:rFonts w:ascii="Times New Roman" w:hAnsi="Times New Roman"/>
          <w:sz w:val="22"/>
          <w:szCs w:val="22"/>
          <w:lang w:eastAsia="zh-CN"/>
        </w:rPr>
      </w:pPr>
    </w:p>
    <w:p w14:paraId="3DDC0F1B" w14:textId="77777777" w:rsidR="00E82F34" w:rsidRDefault="00E82F34">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2BA8EF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BodyText"/>
        <w:spacing w:after="0"/>
        <w:rPr>
          <w:rFonts w:ascii="Times New Roman" w:hAnsi="Times New Roman"/>
          <w:sz w:val="22"/>
          <w:szCs w:val="22"/>
          <w:lang w:eastAsia="zh-CN"/>
        </w:rPr>
      </w:pPr>
    </w:p>
    <w:p w14:paraId="00E97E55" w14:textId="77777777" w:rsidR="00E82F34" w:rsidRDefault="00E82F34">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lastRenderedPageBreak/>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R1-2100607, “Initial access aspects for NR operations in 52.6-71 GHz,” </w:t>
      </w:r>
      <w:proofErr w:type="spellStart"/>
      <w:r>
        <w:rPr>
          <w:rFonts w:eastAsia="Calibri"/>
          <w:lang w:eastAsia="zh-CN"/>
        </w:rPr>
        <w:t>MediaTek</w:t>
      </w:r>
      <w:proofErr w:type="spellEnd"/>
      <w:r>
        <w:rPr>
          <w:rFonts w:eastAsia="Calibri"/>
          <w:lang w:eastAsia="zh-CN"/>
        </w:rPr>
        <w:t xml:space="preserve">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R1-2100825, “Discussion on initial access aspects for NR from 52.6GHz to 71GHz,” Spreadtrum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7"/>
      <w:footerReference w:type="even" r:id="rId28"/>
      <w:footerReference w:type="defaul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9DE09" w14:textId="77777777" w:rsidR="00DC1785" w:rsidRDefault="00DC1785">
      <w:pPr>
        <w:spacing w:after="0" w:line="240" w:lineRule="auto"/>
      </w:pPr>
      <w:r>
        <w:separator/>
      </w:r>
    </w:p>
  </w:endnote>
  <w:endnote w:type="continuationSeparator" w:id="0">
    <w:p w14:paraId="3D2F27A5" w14:textId="77777777" w:rsidR="00DC1785" w:rsidRDefault="00DC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901F8" w14:textId="77777777" w:rsidR="00E82F34" w:rsidRDefault="00DB66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E82F34" w:rsidRDefault="00E82F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D1354" w14:textId="546752D9" w:rsidR="00E82F34" w:rsidRDefault="00DB66BB">
    <w:pPr>
      <w:pStyle w:val="Footer"/>
      <w:ind w:right="360"/>
    </w:pPr>
    <w:r>
      <w:rPr>
        <w:rStyle w:val="PageNumber"/>
      </w:rPr>
      <w:fldChar w:fldCharType="begin"/>
    </w:r>
    <w:r>
      <w:rPr>
        <w:rStyle w:val="PageNumber"/>
      </w:rPr>
      <w:instrText xml:space="preserve"> PAGE </w:instrText>
    </w:r>
    <w:r>
      <w:rPr>
        <w:rStyle w:val="PageNumber"/>
      </w:rPr>
      <w:fldChar w:fldCharType="separate"/>
    </w:r>
    <w:r w:rsidR="00567B85">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7B85">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DB4E4" w14:textId="77777777" w:rsidR="00DC1785" w:rsidRDefault="00DC1785">
      <w:pPr>
        <w:spacing w:after="0" w:line="240" w:lineRule="auto"/>
      </w:pPr>
      <w:r>
        <w:separator/>
      </w:r>
    </w:p>
  </w:footnote>
  <w:footnote w:type="continuationSeparator" w:id="0">
    <w:p w14:paraId="516E4D65" w14:textId="77777777" w:rsidR="00DC1785" w:rsidRDefault="00DC1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54BB1" w14:textId="77777777" w:rsidR="00E82F34" w:rsidRDefault="00DB66B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4F5233"/>
    <w:multiLevelType w:val="singleLevel"/>
    <w:tmpl w:val="2C4F5233"/>
    <w:lvl w:ilvl="0">
      <w:start w:val="1"/>
      <w:numFmt w:val="bullet"/>
      <w:lvlText w:val="-"/>
      <w:lvlJc w:val="left"/>
      <w:pPr>
        <w:tabs>
          <w:tab w:val="left" w:pos="840"/>
        </w:tabs>
        <w:ind w:left="1260" w:hanging="420"/>
      </w:pPr>
      <w:rPr>
        <w:rFonts w:ascii="微软雅黑" w:eastAsia="微软雅黑" w:hAnsi="微软雅黑" w:cs="微软雅黑"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8"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8"/>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B85"/>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98E"/>
    <w:rsid w:val="009F06F6"/>
    <w:rsid w:val="009F078E"/>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C1F"/>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__222.vsdx"/><Relationship Id="rId26" Type="http://schemas.openxmlformats.org/officeDocument/2006/relationships/package" Target="embeddings/Microsoft_Visio___666.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package" Target="embeddings/Microsoft_Visio___111.vsdx"/><Relationship Id="rId20" Type="http://schemas.openxmlformats.org/officeDocument/2006/relationships/package" Target="embeddings/Microsoft_Visio___333.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__555.vsd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__444.vsdx"/><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221E"/>
    <w:rsid w:val="00067BB9"/>
    <w:rsid w:val="000A3BCD"/>
    <w:rsid w:val="000E4A7C"/>
    <w:rsid w:val="000E5B23"/>
    <w:rsid w:val="00107CBB"/>
    <w:rsid w:val="00125956"/>
    <w:rsid w:val="00135A55"/>
    <w:rsid w:val="001530CB"/>
    <w:rsid w:val="00161CEF"/>
    <w:rsid w:val="001824B7"/>
    <w:rsid w:val="0018681A"/>
    <w:rsid w:val="001C175A"/>
    <w:rsid w:val="001D3889"/>
    <w:rsid w:val="001D5C63"/>
    <w:rsid w:val="001E1B2F"/>
    <w:rsid w:val="00211011"/>
    <w:rsid w:val="00217778"/>
    <w:rsid w:val="002479A1"/>
    <w:rsid w:val="002904B9"/>
    <w:rsid w:val="002A43B7"/>
    <w:rsid w:val="002A7F29"/>
    <w:rsid w:val="002B05C2"/>
    <w:rsid w:val="002C1D0B"/>
    <w:rsid w:val="002C4BC4"/>
    <w:rsid w:val="002E2970"/>
    <w:rsid w:val="0033341A"/>
    <w:rsid w:val="00347EB9"/>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E3038"/>
    <w:rsid w:val="0090443B"/>
    <w:rsid w:val="0093396E"/>
    <w:rsid w:val="00956D8C"/>
    <w:rsid w:val="009701FC"/>
    <w:rsid w:val="009F3E69"/>
    <w:rsid w:val="00A07E60"/>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pPr>
      <w:spacing w:after="160" w:line="259" w:lineRule="auto"/>
    </w:pPr>
    <w:rPr>
      <w:sz w:val="22"/>
      <w:szCs w:val="22"/>
      <w:lang w:eastAsia="en-US"/>
    </w:rPr>
  </w:style>
  <w:style w:type="paragraph" w:customStyle="1" w:styleId="A84560F56EB54A7886D372877B013E29">
    <w:name w:val="A84560F56EB54A7886D372877B013E29"/>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0B82AE3-805E-4105-9005-6E4357C2734E}">
  <ds:schemaRefs>
    <ds:schemaRef ds:uri="http://schemas.openxmlformats.org/officeDocument/2006/bibliography"/>
  </ds:schemaRefs>
</ds:datastoreItem>
</file>

<file path=customXml/itemProps6.xml><?xml version="1.0" encoding="utf-8"?>
<ds:datastoreItem xmlns:ds="http://schemas.openxmlformats.org/officeDocument/2006/customXml" ds:itemID="{3C28B608-1314-4496-B989-A4385C45B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30</Pages>
  <Words>10217</Words>
  <Characters>58238</Characters>
  <Application>Microsoft Office Word</Application>
  <DocSecurity>0</DocSecurity>
  <Lines>485</Lines>
  <Paragraphs>136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68319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Spreadtrum</cp:lastModifiedBy>
  <cp:revision>3</cp:revision>
  <cp:lastPrinted>2011-11-09T07:49:00Z</cp:lastPrinted>
  <dcterms:created xsi:type="dcterms:W3CDTF">2021-01-26T09:25:00Z</dcterms:created>
  <dcterms:modified xsi:type="dcterms:W3CDTF">2021-01-26T09:29:00Z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