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693" w:rsidRDefault="006750BB">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rsidR="00CD1693" w:rsidRDefault="006750BB">
      <w:pPr>
        <w:pStyle w:val="ad"/>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rsidR="00CD1693" w:rsidRDefault="006750BB">
      <w:pPr>
        <w:pStyle w:val="1"/>
        <w:rPr>
          <w:rFonts w:cs="Arial"/>
        </w:rPr>
      </w:pPr>
      <w:r>
        <w:rPr>
          <w:rFonts w:cs="Arial"/>
          <w:lang w:eastAsia="zh-TW"/>
        </w:rPr>
        <w:t>Introduction</w:t>
      </w:r>
    </w:p>
    <w:p w:rsidR="00CD1693" w:rsidRDefault="006750BB">
      <w:pPr>
        <w:pStyle w:val="a9"/>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rsidR="00CD1693" w:rsidRDefault="00CD1693">
      <w:pPr>
        <w:pStyle w:val="a9"/>
      </w:pPr>
    </w:p>
    <w:p w:rsidR="00CD1693" w:rsidRDefault="006750BB">
      <w:pPr>
        <w:pStyle w:val="1"/>
        <w:rPr>
          <w:lang w:val="en-US"/>
        </w:rPr>
      </w:pPr>
      <w:r>
        <w:rPr>
          <w:lang w:val="en-US"/>
        </w:rPr>
        <w:t>Enhancements to time and frequency synchronization common to NR NTN and IoT NTN</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rsidR="00CD1693" w:rsidRDefault="00CD1693">
      <w:pPr>
        <w:snapToGrid w:val="0"/>
        <w:spacing w:beforeLines="50" w:before="120" w:afterLines="50" w:after="120"/>
        <w:rPr>
          <w:rFonts w:eastAsiaTheme="minorEastAsia"/>
          <w:lang w:eastAsia="zh-CN"/>
        </w:rPr>
      </w:pPr>
    </w:p>
    <w:p w:rsidR="00CD1693" w:rsidRDefault="006750BB">
      <w:pPr>
        <w:pStyle w:val="2"/>
        <w:rPr>
          <w:lang w:eastAsia="zh-CN"/>
        </w:rPr>
      </w:pPr>
      <w:r>
        <w:rPr>
          <w:lang w:eastAsia="zh-CN"/>
        </w:rPr>
        <w:t>TP#1 Proposal 1 for TR 36.763</w:t>
      </w:r>
    </w:p>
    <w:p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rsidR="00CD1693" w:rsidRDefault="00CD1693">
      <w:pPr>
        <w:pStyle w:val="a9"/>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trPr>
          <w:trHeight w:val="398"/>
          <w:jc w:val="center"/>
        </w:trPr>
        <w:tc>
          <w:tcPr>
            <w:tcW w:w="1559" w:type="dxa"/>
            <w:shd w:val="clear" w:color="auto" w:fill="auto"/>
            <w:vAlign w:val="center"/>
          </w:tcPr>
          <w:p w:rsidR="00CD1693" w:rsidRDefault="00584850">
            <w:pPr>
              <w:snapToGrid w:val="0"/>
              <w:spacing w:after="0"/>
              <w:rPr>
                <w:lang w:eastAsia="zh-CN"/>
              </w:rPr>
            </w:pPr>
            <w:r>
              <w:rPr>
                <w:lang w:eastAsia="zh-CN"/>
              </w:rPr>
              <w:t>Huawei</w:t>
            </w:r>
          </w:p>
        </w:tc>
        <w:tc>
          <w:tcPr>
            <w:tcW w:w="8080" w:type="dxa"/>
            <w:vAlign w:val="center"/>
          </w:tcPr>
          <w:p w:rsidR="00CD1693" w:rsidRPr="00584850" w:rsidRDefault="00584850">
            <w:pPr>
              <w:spacing w:before="120"/>
              <w:rPr>
                <w:rFonts w:eastAsiaTheme="minorEastAsia" w:hint="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pStyle w:val="a9"/>
        <w:spacing w:after="0"/>
        <w:jc w:val="both"/>
      </w:pPr>
    </w:p>
    <w:p w:rsidR="00CD1693" w:rsidRDefault="006750BB">
      <w:pPr>
        <w:pStyle w:val="2"/>
        <w:rPr>
          <w:lang w:eastAsia="zh-CN"/>
        </w:rPr>
      </w:pPr>
      <w:r>
        <w:rPr>
          <w:lang w:eastAsia="zh-CN"/>
        </w:rPr>
        <w:t>TP#2 Proposal 1 for TR 36.763</w:t>
      </w:r>
    </w:p>
    <w:p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rsidR="00CD1693" w:rsidRDefault="006750BB">
      <w:pPr>
        <w:numPr>
          <w:ilvl w:val="1"/>
          <w:numId w:val="3"/>
        </w:numPr>
        <w:spacing w:after="0"/>
        <w:rPr>
          <w:b/>
          <w:i/>
          <w:color w:val="000000"/>
          <w:lang w:val="en-US" w:eastAsia="ko-KR"/>
        </w:rPr>
      </w:pPr>
      <w:r>
        <w:rPr>
          <w:b/>
          <w:i/>
          <w:color w:val="000000"/>
          <w:lang w:val="en-US" w:eastAsia="ko-KR"/>
        </w:rPr>
        <w:t>FFS: A common timing drift rate</w:t>
      </w:r>
    </w:p>
    <w:p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rsidR="00CD1693" w:rsidRDefault="006750BB">
      <w:pPr>
        <w:pStyle w:val="af7"/>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rsidR="00CD1693" w:rsidRDefault="006750BB">
      <w:pPr>
        <w:pStyle w:val="af7"/>
        <w:spacing w:before="120"/>
        <w:rPr>
          <w:b/>
          <w:i/>
          <w:color w:val="000000"/>
          <w:lang w:eastAsia="ko-KR"/>
        </w:rPr>
      </w:pPr>
      <w:r>
        <w:rPr>
          <w:b/>
          <w:i/>
          <w:color w:val="000000"/>
          <w:lang w:eastAsia="ko-KR"/>
        </w:rPr>
        <w:t>where:</w:t>
      </w:r>
    </w:p>
    <w:p w:rsidR="00CD1693" w:rsidRDefault="006406E3">
      <w:pPr>
        <w:pStyle w:val="af7"/>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rsidR="00CD1693" w:rsidRDefault="006750BB">
      <w:pPr>
        <w:pStyle w:val="af7"/>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rsidR="00CD1693" w:rsidRDefault="006406E3">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rsidR="00CD1693" w:rsidRDefault="006406E3">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rsidR="00CD1693" w:rsidRDefault="006750BB">
      <w:pPr>
        <w:numPr>
          <w:ilvl w:val="0"/>
          <w:numId w:val="3"/>
        </w:numPr>
        <w:spacing w:after="0"/>
        <w:rPr>
          <w:b/>
          <w:i/>
          <w:color w:val="000000"/>
          <w:lang w:val="en-US" w:eastAsia="ko-KR"/>
        </w:rPr>
      </w:pPr>
      <w:r>
        <w:rPr>
          <w:b/>
          <w:i/>
          <w:color w:val="000000"/>
          <w:lang w:val="en-US" w:eastAsia="ko-KR"/>
        </w:rPr>
        <w:lastRenderedPageBreak/>
        <w:t>Note: UE will not assume that the RTT between UE and gNB is equal to the calculated TA for Msg1/Msg A.</w:t>
      </w:r>
    </w:p>
    <w:p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trPr>
          <w:trHeight w:val="398"/>
          <w:jc w:val="center"/>
        </w:trPr>
        <w:tc>
          <w:tcPr>
            <w:tcW w:w="1559" w:type="dxa"/>
            <w:shd w:val="clear" w:color="auto" w:fill="auto"/>
            <w:vAlign w:val="center"/>
          </w:tcPr>
          <w:p w:rsidR="00CD1693" w:rsidRPr="002B70CD" w:rsidRDefault="002B70CD">
            <w:pPr>
              <w:snapToGrid w:val="0"/>
              <w:spacing w:after="0"/>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rsidR="00CD1693" w:rsidRPr="002B70CD" w:rsidRDefault="002B70CD">
            <w:pPr>
              <w:spacing w:before="120"/>
              <w:rPr>
                <w:rFonts w:eastAsiaTheme="minorEastAsia" w:hint="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Pr="000C29A7" w:rsidRDefault="00CD1693" w:rsidP="000C29A7">
            <w:pPr>
              <w:overflowPunct w:val="0"/>
              <w:autoSpaceDE w:val="0"/>
              <w:autoSpaceDN w:val="0"/>
              <w:adjustRightInd w:val="0"/>
              <w:jc w:val="both"/>
              <w:textAlignment w:val="baseline"/>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Theme="minorEastAsia"/>
          <w:lang w:eastAsia="zh-CN"/>
        </w:rPr>
      </w:pPr>
    </w:p>
    <w:p w:rsidR="00CD1693" w:rsidRDefault="006750BB">
      <w:pPr>
        <w:pStyle w:val="2"/>
        <w:rPr>
          <w:lang w:eastAsia="zh-CN"/>
        </w:rPr>
      </w:pPr>
      <w:r>
        <w:rPr>
          <w:lang w:eastAsia="zh-CN"/>
        </w:rPr>
        <w:t>NR NTN WI time and frequency synchronization issues</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w:t>
      </w:r>
      <w:r>
        <w:rPr>
          <w:rFonts w:eastAsiaTheme="minorEastAsia"/>
          <w:lang w:eastAsia="zh-CN"/>
        </w:rPr>
        <w:lastRenderedPageBreak/>
        <w:t>satellite ephemeris. To the moderator understanding the GNSS antenna configuration and more generally GNSS module design is not specified in 3GPP and is an implementation consideration.</w:t>
      </w:r>
    </w:p>
    <w:p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rsidR="00CD1693" w:rsidRDefault="00CD1693">
      <w:pPr>
        <w:spacing w:line="276" w:lineRule="auto"/>
        <w:rPr>
          <w:rFonts w:eastAsia="宋体"/>
          <w:lang w:val="en-US"/>
        </w:rPr>
      </w:pPr>
    </w:p>
    <w:p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trPr>
          <w:trHeight w:val="398"/>
          <w:jc w:val="center"/>
        </w:trPr>
        <w:tc>
          <w:tcPr>
            <w:tcW w:w="1559" w:type="dxa"/>
            <w:shd w:val="clear" w:color="auto" w:fill="auto"/>
            <w:vAlign w:val="center"/>
          </w:tcPr>
          <w:p w:rsidR="00CD1693" w:rsidRPr="00437107" w:rsidRDefault="00437107">
            <w:pPr>
              <w:snapToGrid w:val="0"/>
              <w:spacing w:after="0"/>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rsidR="00CD1693" w:rsidRPr="00437107" w:rsidRDefault="00437107" w:rsidP="00437107">
            <w:pPr>
              <w:spacing w:before="120"/>
              <w:rPr>
                <w:rFonts w:eastAsiaTheme="minorEastAsia" w:hint="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pacing w:line="276" w:lineRule="auto"/>
        <w:rPr>
          <w:rFonts w:eastAsia="宋体"/>
          <w:lang w:val="en-US"/>
        </w:rPr>
      </w:pPr>
    </w:p>
    <w:p w:rsidR="00CD1693" w:rsidRDefault="006750BB">
      <w:pPr>
        <w:pStyle w:val="1"/>
        <w:rPr>
          <w:lang w:val="en-US"/>
        </w:rPr>
      </w:pPr>
      <w:r>
        <w:rPr>
          <w:lang w:val="en-US"/>
        </w:rPr>
        <w:lastRenderedPageBreak/>
        <w:t>IoT NTN specific enhancements to time and frequency synchronization</w:t>
      </w:r>
    </w:p>
    <w:p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rsidR="00CD1693" w:rsidRDefault="00CD1693">
      <w:pPr>
        <w:snapToGrid w:val="0"/>
        <w:spacing w:beforeLines="50" w:before="120" w:afterLines="50" w:after="120"/>
        <w:rPr>
          <w:rFonts w:eastAsiaTheme="minorEastAsia"/>
          <w:i/>
          <w:sz w:val="18"/>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rsidR="00CD1693" w:rsidRDefault="006750BB">
      <w:pPr>
        <w:pStyle w:val="af7"/>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rsidR="00CD1693" w:rsidRDefault="006750BB">
      <w:pPr>
        <w:pStyle w:val="af7"/>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lastRenderedPageBreak/>
        <w:t>Initial Proposal Section 3:</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6750BB">
            <w:pPr>
              <w:pStyle w:val="Eqn"/>
              <w:rPr>
                <w:sz w:val="20"/>
                <w:szCs w:val="20"/>
              </w:rPr>
            </w:pPr>
            <w:r>
              <w:rPr>
                <w:sz w:val="20"/>
                <w:szCs w:val="20"/>
              </w:rPr>
              <w:t>Agree to at least study these issues as a start point.</w:t>
            </w:r>
          </w:p>
        </w:tc>
      </w:tr>
      <w:tr w:rsidR="00CD1693">
        <w:trPr>
          <w:trHeight w:val="398"/>
          <w:jc w:val="center"/>
        </w:trPr>
        <w:tc>
          <w:tcPr>
            <w:tcW w:w="1559" w:type="dxa"/>
            <w:shd w:val="clear" w:color="auto" w:fill="auto"/>
            <w:vAlign w:val="center"/>
          </w:tcPr>
          <w:p w:rsidR="00CD1693" w:rsidRPr="007669A6" w:rsidRDefault="007669A6">
            <w:pPr>
              <w:snapToGrid w:val="0"/>
              <w:spacing w:after="0"/>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rsidR="00CD1693" w:rsidRPr="007669A6" w:rsidRDefault="007669A6" w:rsidP="007669A6">
            <w:pPr>
              <w:spacing w:before="120"/>
              <w:rPr>
                <w:rFonts w:eastAsiaTheme="minorEastAsia" w:hint="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Theme="minorEastAsia"/>
          <w:lang w:eastAsia="zh-CN"/>
        </w:rPr>
      </w:pPr>
    </w:p>
    <w:p w:rsidR="00CD1693" w:rsidRDefault="006750BB">
      <w:pPr>
        <w:pStyle w:val="1"/>
        <w:rPr>
          <w:lang w:val="en-US"/>
        </w:rPr>
      </w:pPr>
      <w:r>
        <w:rPr>
          <w:lang w:val="en-US"/>
        </w:rPr>
        <w:t>GNSS measurement window</w:t>
      </w:r>
    </w:p>
    <w:p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w:t>
      </w:r>
      <w:r>
        <w:rPr>
          <w:rFonts w:eastAsiaTheme="minorEastAsia"/>
          <w:lang w:eastAsia="zh-CN"/>
        </w:rPr>
        <w:lastRenderedPageBreak/>
        <w:t xml:space="preserve">followed by RAR, Msg 3, and Msg 4 with many repetitions for the RRC Connection request and RRC RRC Connection Request Complete.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trPr>
          <w:trHeight w:val="398"/>
          <w:jc w:val="center"/>
        </w:trPr>
        <w:tc>
          <w:tcPr>
            <w:tcW w:w="1559" w:type="dxa"/>
            <w:shd w:val="clear" w:color="auto" w:fill="auto"/>
            <w:vAlign w:val="center"/>
          </w:tcPr>
          <w:p w:rsidR="00CD1693" w:rsidRPr="004B4F03" w:rsidRDefault="004B4F03">
            <w:pPr>
              <w:snapToGrid w:val="0"/>
              <w:spacing w:after="0"/>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rsidR="00CD1693" w:rsidRPr="004B4F03" w:rsidRDefault="004B4F03" w:rsidP="00386BF9">
            <w:pPr>
              <w:spacing w:before="120"/>
              <w:rPr>
                <w:rFonts w:eastAsiaTheme="minorEastAsia" w:hint="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Theme="minorEastAsia"/>
          <w:lang w:eastAsia="zh-CN"/>
        </w:rPr>
      </w:pPr>
    </w:p>
    <w:p w:rsidR="00CD1693" w:rsidRDefault="006750BB">
      <w:pPr>
        <w:pStyle w:val="1"/>
        <w:rPr>
          <w:lang w:val="en-US"/>
        </w:rPr>
      </w:pPr>
      <w:r>
        <w:rPr>
          <w:lang w:val="en-US"/>
        </w:rPr>
        <w:t>GNSS Position fix impact on UE power consumption</w:t>
      </w:r>
    </w:p>
    <w:p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w:t>
      </w:r>
      <w:r>
        <w:rPr>
          <w:rFonts w:eastAsiaTheme="minorEastAsia"/>
          <w:lang w:eastAsia="zh-CN"/>
        </w:rPr>
        <w:tab/>
        <w:t>GNSS accuracy requirements (Issue#6)</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59264" behindDoc="0" locked="0" layoutInCell="1" allowOverlap="1">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rsidR="006406E3" w:rsidRDefault="006406E3">
                            <w:r>
                              <w:rPr>
                                <w:noProof/>
                                <w:lang w:val="en-US" w:eastAsia="zh-CN"/>
                              </w:rPr>
                              <w:drawing>
                                <wp:inline distT="0" distB="0" distL="0" distR="0">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rsidR="006406E3" w:rsidRDefault="006406E3">
                      <w:r>
                        <w:rPr>
                          <w:noProof/>
                          <w:lang w:val="en-US" w:eastAsia="zh-CN"/>
                        </w:rPr>
                        <w:drawing>
                          <wp:inline distT="0" distB="0" distL="0" distR="0">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w:t>
      </w:r>
      <w:r>
        <w:rPr>
          <w:rFonts w:eastAsiaTheme="minorEastAsia"/>
          <w:lang w:eastAsia="zh-CN"/>
        </w:rPr>
        <w:lastRenderedPageBreak/>
        <w:t xml:space="preserve">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noProof/>
          <w:lang w:val="en-US" w:eastAsia="zh-CN"/>
        </w:rPr>
        <w:drawing>
          <wp:inline distT="0" distB="0" distL="0" distR="0">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6457950" cy="3626485"/>
                    </a:xfrm>
                    <a:prstGeom prst="rect">
                      <a:avLst/>
                    </a:prstGeom>
                  </pic:spPr>
                </pic:pic>
              </a:graphicData>
            </a:graphic>
          </wp:inline>
        </w:drawing>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trPr>
          <w:trHeight w:val="398"/>
          <w:jc w:val="center"/>
        </w:trPr>
        <w:tc>
          <w:tcPr>
            <w:tcW w:w="1559" w:type="dxa"/>
            <w:shd w:val="clear" w:color="auto" w:fill="auto"/>
            <w:vAlign w:val="center"/>
          </w:tcPr>
          <w:p w:rsidR="000432B0" w:rsidRPr="00BD0FE6" w:rsidRDefault="000432B0" w:rsidP="000432B0">
            <w:pPr>
              <w:snapToGrid w:val="0"/>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8080" w:type="dxa"/>
            <w:vAlign w:val="center"/>
          </w:tcPr>
          <w:p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widowControl w:val="0"/>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spacing w:beforeLines="50" w:before="120" w:afterLines="50" w:after="120"/>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spacing w:before="60" w:after="60" w:line="288" w:lineRule="auto"/>
              <w:jc w:val="both"/>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pStyle w:val="a9"/>
              <w:rPr>
                <w:i/>
              </w:rPr>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numPr>
                <w:ilvl w:val="1"/>
                <w:numId w:val="2"/>
              </w:numPr>
              <w:overflowPunct w:val="0"/>
              <w:autoSpaceDE w:val="0"/>
              <w:autoSpaceDN w:val="0"/>
              <w:adjustRightInd w:val="0"/>
              <w:jc w:val="both"/>
              <w:textAlignment w:val="baseline"/>
              <w:rPr>
                <w:lang w:val="en-US"/>
              </w:rPr>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rPr>
                <w:b/>
                <w:bCs/>
                <w:i/>
                <w:lang w:val="en-US"/>
              </w:rPr>
            </w:pPr>
          </w:p>
        </w:tc>
      </w:tr>
      <w:tr w:rsidR="000432B0">
        <w:trPr>
          <w:trHeight w:val="412"/>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jc w:val="both"/>
              <w:rPr>
                <w:b/>
                <w:i/>
                <w:lang w:val="en-US"/>
              </w:rPr>
            </w:pPr>
          </w:p>
        </w:tc>
      </w:tr>
      <w:tr w:rsidR="000432B0">
        <w:trPr>
          <w:trHeight w:val="417"/>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spacing w:beforeLines="50" w:before="120" w:after="0"/>
              <w:rPr>
                <w:bCs/>
                <w:lang w:eastAsia="ja-JP"/>
              </w:rPr>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spacing w:beforeLines="50" w:before="120" w:afterLines="50" w:after="120"/>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tabs>
                <w:tab w:val="left" w:pos="1752"/>
              </w:tabs>
              <w:snapToGrid w:val="0"/>
              <w:spacing w:after="0"/>
              <w:jc w:val="both"/>
            </w:pPr>
          </w:p>
        </w:tc>
      </w:tr>
    </w:tbl>
    <w:p w:rsidR="00CD1693" w:rsidRDefault="00CD1693">
      <w:pPr>
        <w:spacing w:line="276" w:lineRule="auto"/>
        <w:rPr>
          <w:rFonts w:eastAsia="宋体"/>
          <w:lang w:val="en-US"/>
        </w:rPr>
      </w:pPr>
    </w:p>
    <w:p w:rsidR="00CD1693" w:rsidRDefault="006750BB">
      <w:pPr>
        <w:pStyle w:val="1"/>
        <w:rPr>
          <w:lang w:val="en-US"/>
        </w:rPr>
      </w:pPr>
      <w:r>
        <w:rPr>
          <w:lang w:val="en-US"/>
        </w:rPr>
        <w:t>NTN SIB reading impact on UE power consumption</w:t>
      </w:r>
    </w:p>
    <w:p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lastRenderedPageBreak/>
        <w:t>FL Recommendation Section 6</w:t>
      </w:r>
      <w:r>
        <w:rPr>
          <w:rFonts w:eastAsiaTheme="minorEastAsia"/>
          <w:b/>
          <w:i/>
          <w:lang w:eastAsia="zh-CN"/>
        </w:rPr>
        <w:t>:</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Pr="0077167B" w:rsidRDefault="0077167B">
            <w:pPr>
              <w:snapToGrid w:val="0"/>
              <w:spacing w:after="0"/>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rsidR="00CD1693" w:rsidRDefault="0077167B" w:rsidP="0077167B">
            <w:pPr>
              <w:pStyle w:val="Eqn"/>
              <w:rPr>
                <w:rFonts w:hint="eastAsia"/>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w:t>
            </w:r>
            <w:bookmarkStart w:id="3" w:name="_GoBack"/>
            <w:bookmarkEnd w:id="3"/>
            <w:r>
              <w:rPr>
                <w:sz w:val="20"/>
                <w:szCs w:val="20"/>
                <w:lang w:eastAsia="zh-CN"/>
              </w:rPr>
              <w:t xml:space="preserve"> yet.</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pacing w:line="276" w:lineRule="auto"/>
        <w:rPr>
          <w:rFonts w:eastAsia="宋体"/>
          <w:lang w:val="en-US"/>
        </w:rPr>
      </w:pPr>
    </w:p>
    <w:p w:rsidR="00CD1693" w:rsidRDefault="006750BB">
      <w:pPr>
        <w:pStyle w:val="1"/>
        <w:rPr>
          <w:lang w:val="en-US"/>
        </w:rPr>
      </w:pPr>
      <w:r>
        <w:rPr>
          <w:lang w:val="en-US"/>
        </w:rPr>
        <w:t>Long UL transmission</w:t>
      </w:r>
    </w:p>
    <w:p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rsidR="00CD1693" w:rsidRDefault="00CD1693">
      <w:pPr>
        <w:spacing w:after="0"/>
        <w:jc w:val="both"/>
        <w:rPr>
          <w:szCs w:val="22"/>
        </w:rPr>
      </w:pPr>
    </w:p>
    <w:p w:rsidR="00CD1693" w:rsidRDefault="006750BB">
      <w:pPr>
        <w:pStyle w:val="2"/>
      </w:pPr>
      <w:r>
        <w:t>Long UL transmission on PUSCH</w:t>
      </w:r>
    </w:p>
    <w:p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rsidR="006406E3" w:rsidRDefault="006406E3">
                            <w:r>
                              <w:rPr>
                                <w:noProof/>
                                <w:lang w:val="en-US" w:eastAsia="zh-CN"/>
                              </w:rPr>
                              <w:drawing>
                                <wp:inline distT="0" distB="0" distL="0" distR="0">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rsidR="006406E3" w:rsidRDefault="006406E3">
                      <w:r>
                        <w:rPr>
                          <w:noProof/>
                          <w:lang w:val="en-US" w:eastAsia="zh-CN"/>
                        </w:rPr>
                        <w:drawing>
                          <wp:inline distT="0" distB="0" distL="0" distR="0">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rsidR="00CD1693" w:rsidRDefault="00CD1693">
      <w:pPr>
        <w:snapToGrid w:val="0"/>
        <w:spacing w:beforeLines="50" w:before="120" w:afterLines="50" w:after="120"/>
        <w:ind w:leftChars="100" w:left="200"/>
        <w:rPr>
          <w:rFonts w:eastAsiaTheme="minorEastAsia"/>
          <w:lang w:eastAsia="zh-CN"/>
        </w:rPr>
      </w:pPr>
    </w:p>
    <w:p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trPr>
          <w:trHeight w:val="398"/>
          <w:jc w:val="center"/>
        </w:trPr>
        <w:tc>
          <w:tcPr>
            <w:tcW w:w="1559" w:type="dxa"/>
            <w:shd w:val="clear" w:color="auto" w:fill="auto"/>
            <w:vAlign w:val="center"/>
          </w:tcPr>
          <w:p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widowControl w:val="0"/>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spacing w:beforeLines="50" w:before="120" w:afterLines="50" w:after="120"/>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spacing w:before="60" w:after="60" w:line="288" w:lineRule="auto"/>
              <w:jc w:val="both"/>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pStyle w:val="a9"/>
              <w:rPr>
                <w:i/>
              </w:rPr>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numPr>
                <w:ilvl w:val="1"/>
                <w:numId w:val="2"/>
              </w:numPr>
              <w:overflowPunct w:val="0"/>
              <w:autoSpaceDE w:val="0"/>
              <w:autoSpaceDN w:val="0"/>
              <w:adjustRightInd w:val="0"/>
              <w:jc w:val="both"/>
              <w:textAlignment w:val="baseline"/>
              <w:rPr>
                <w:lang w:val="en-US"/>
              </w:rPr>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rPr>
                <w:b/>
                <w:bCs/>
                <w:i/>
                <w:lang w:val="en-US"/>
              </w:rPr>
            </w:pPr>
          </w:p>
        </w:tc>
      </w:tr>
      <w:tr w:rsidR="000432B0">
        <w:trPr>
          <w:trHeight w:val="412"/>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jc w:val="both"/>
              <w:rPr>
                <w:b/>
                <w:i/>
                <w:lang w:val="en-US"/>
              </w:rPr>
            </w:pPr>
          </w:p>
        </w:tc>
      </w:tr>
      <w:tr w:rsidR="000432B0">
        <w:trPr>
          <w:trHeight w:val="417"/>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spacing w:beforeLines="50" w:before="120" w:after="0"/>
              <w:rPr>
                <w:bCs/>
                <w:lang w:eastAsia="ja-JP"/>
              </w:rPr>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spacing w:beforeLines="50" w:before="120" w:afterLines="50" w:after="120"/>
            </w:pPr>
          </w:p>
        </w:tc>
      </w:tr>
      <w:tr w:rsidR="000432B0">
        <w:trPr>
          <w:trHeight w:val="398"/>
          <w:jc w:val="center"/>
        </w:trPr>
        <w:tc>
          <w:tcPr>
            <w:tcW w:w="1559" w:type="dxa"/>
            <w:shd w:val="clear" w:color="auto" w:fill="auto"/>
            <w:vAlign w:val="center"/>
          </w:tcPr>
          <w:p w:rsidR="000432B0" w:rsidRDefault="000432B0" w:rsidP="000432B0">
            <w:pPr>
              <w:snapToGrid w:val="0"/>
              <w:spacing w:after="0"/>
              <w:rPr>
                <w:lang w:eastAsia="zh-CN"/>
              </w:rPr>
            </w:pPr>
          </w:p>
        </w:tc>
        <w:tc>
          <w:tcPr>
            <w:tcW w:w="8080" w:type="dxa"/>
            <w:vAlign w:val="center"/>
          </w:tcPr>
          <w:p w:rsidR="000432B0" w:rsidRDefault="000432B0" w:rsidP="000432B0">
            <w:pPr>
              <w:tabs>
                <w:tab w:val="left" w:pos="1752"/>
              </w:tabs>
              <w:snapToGrid w:val="0"/>
              <w:spacing w:after="0"/>
              <w:jc w:val="both"/>
            </w:pPr>
          </w:p>
        </w:tc>
      </w:tr>
    </w:tbl>
    <w:p w:rsidR="00CD1693" w:rsidRDefault="00CD1693">
      <w:pPr>
        <w:snapToGrid w:val="0"/>
        <w:spacing w:beforeLines="50" w:before="120" w:afterLines="50" w:after="120"/>
        <w:rPr>
          <w:rFonts w:eastAsiaTheme="minorEastAsia"/>
          <w:highlight w:val="yellow"/>
          <w:lang w:eastAsia="zh-CN"/>
        </w:rPr>
      </w:pPr>
    </w:p>
    <w:p w:rsidR="00CD1693" w:rsidRDefault="006750BB">
      <w:pPr>
        <w:pStyle w:val="2"/>
        <w:rPr>
          <w:lang w:eastAsia="zh-CN"/>
        </w:rPr>
      </w:pPr>
      <w:r>
        <w:rPr>
          <w:lang w:eastAsia="zh-CN"/>
        </w:rPr>
        <w:t>Long transmission on PRACH</w:t>
      </w:r>
    </w:p>
    <w:p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trPr>
          <w:trHeight w:val="398"/>
          <w:jc w:val="center"/>
        </w:trPr>
        <w:tc>
          <w:tcPr>
            <w:tcW w:w="1559" w:type="dxa"/>
            <w:shd w:val="clear" w:color="auto" w:fill="auto"/>
            <w:vAlign w:val="center"/>
          </w:tcPr>
          <w:p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6406E3">
        <w:trPr>
          <w:trHeight w:val="398"/>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widowControl w:val="0"/>
            </w:pPr>
          </w:p>
        </w:tc>
      </w:tr>
      <w:tr w:rsidR="006406E3">
        <w:trPr>
          <w:trHeight w:val="398"/>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spacing w:beforeLines="50" w:before="120" w:afterLines="50" w:after="120"/>
            </w:pPr>
          </w:p>
        </w:tc>
      </w:tr>
      <w:tr w:rsidR="006406E3">
        <w:trPr>
          <w:trHeight w:val="398"/>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spacing w:before="60" w:after="60" w:line="288" w:lineRule="auto"/>
              <w:jc w:val="both"/>
            </w:pPr>
          </w:p>
        </w:tc>
      </w:tr>
      <w:tr w:rsidR="006406E3">
        <w:trPr>
          <w:trHeight w:val="398"/>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pStyle w:val="a9"/>
              <w:rPr>
                <w:i/>
              </w:rPr>
            </w:pPr>
          </w:p>
        </w:tc>
      </w:tr>
      <w:tr w:rsidR="006406E3">
        <w:trPr>
          <w:trHeight w:val="398"/>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numPr>
                <w:ilvl w:val="1"/>
                <w:numId w:val="2"/>
              </w:numPr>
              <w:overflowPunct w:val="0"/>
              <w:autoSpaceDE w:val="0"/>
              <w:autoSpaceDN w:val="0"/>
              <w:adjustRightInd w:val="0"/>
              <w:jc w:val="both"/>
              <w:textAlignment w:val="baseline"/>
              <w:rPr>
                <w:lang w:val="en-US"/>
              </w:rPr>
            </w:pPr>
          </w:p>
        </w:tc>
      </w:tr>
      <w:tr w:rsidR="006406E3">
        <w:trPr>
          <w:trHeight w:val="398"/>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rPr>
                <w:b/>
                <w:bCs/>
                <w:i/>
                <w:lang w:val="en-US"/>
              </w:rPr>
            </w:pPr>
          </w:p>
        </w:tc>
      </w:tr>
      <w:tr w:rsidR="006406E3">
        <w:trPr>
          <w:trHeight w:val="412"/>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jc w:val="both"/>
              <w:rPr>
                <w:b/>
                <w:i/>
                <w:lang w:val="en-US"/>
              </w:rPr>
            </w:pPr>
          </w:p>
        </w:tc>
      </w:tr>
      <w:tr w:rsidR="006406E3">
        <w:trPr>
          <w:trHeight w:val="417"/>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spacing w:beforeLines="50" w:before="120" w:after="0"/>
              <w:rPr>
                <w:bCs/>
                <w:lang w:eastAsia="ja-JP"/>
              </w:rPr>
            </w:pPr>
          </w:p>
        </w:tc>
      </w:tr>
      <w:tr w:rsidR="006406E3">
        <w:trPr>
          <w:trHeight w:val="398"/>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spacing w:beforeLines="50" w:before="120" w:afterLines="50" w:after="120"/>
            </w:pPr>
          </w:p>
        </w:tc>
      </w:tr>
      <w:tr w:rsidR="006406E3">
        <w:trPr>
          <w:trHeight w:val="398"/>
          <w:jc w:val="center"/>
        </w:trPr>
        <w:tc>
          <w:tcPr>
            <w:tcW w:w="1559" w:type="dxa"/>
            <w:shd w:val="clear" w:color="auto" w:fill="auto"/>
            <w:vAlign w:val="center"/>
          </w:tcPr>
          <w:p w:rsidR="006406E3" w:rsidRDefault="006406E3" w:rsidP="006406E3">
            <w:pPr>
              <w:snapToGrid w:val="0"/>
              <w:spacing w:after="0"/>
              <w:rPr>
                <w:lang w:eastAsia="zh-CN"/>
              </w:rPr>
            </w:pPr>
          </w:p>
        </w:tc>
        <w:tc>
          <w:tcPr>
            <w:tcW w:w="8080" w:type="dxa"/>
            <w:vAlign w:val="center"/>
          </w:tcPr>
          <w:p w:rsidR="006406E3" w:rsidRDefault="006406E3" w:rsidP="006406E3">
            <w:pPr>
              <w:tabs>
                <w:tab w:val="left" w:pos="1752"/>
              </w:tabs>
              <w:snapToGrid w:val="0"/>
              <w:spacing w:after="0"/>
              <w:jc w:val="both"/>
            </w:pPr>
          </w:p>
        </w:tc>
      </w:tr>
    </w:tbl>
    <w:p w:rsidR="00CD1693" w:rsidRDefault="00CD1693">
      <w:pPr>
        <w:snapToGrid w:val="0"/>
        <w:spacing w:beforeLines="50" w:before="120" w:afterLines="50" w:after="120"/>
        <w:rPr>
          <w:rFonts w:eastAsiaTheme="minorEastAsia"/>
          <w:highlight w:val="yellow"/>
          <w:lang w:eastAsia="zh-CN"/>
        </w:rPr>
      </w:pPr>
    </w:p>
    <w:p w:rsidR="00CD1693" w:rsidRDefault="006750BB">
      <w:pPr>
        <w:pStyle w:val="1"/>
        <w:rPr>
          <w:lang w:val="en-US"/>
        </w:rPr>
      </w:pPr>
      <w:r>
        <w:rPr>
          <w:lang w:val="en-US"/>
        </w:rPr>
        <w:t>DL Synchronization</w:t>
      </w:r>
    </w:p>
    <w:p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w:t>
      </w:r>
      <w:r>
        <w:rPr>
          <w:rFonts w:eastAsiaTheme="minorEastAsia"/>
          <w:lang w:eastAsia="zh-CN"/>
        </w:rPr>
        <w:tab/>
        <w:t xml:space="preserve">± 1ppm : margin. E.g to account for overlapping coverage at beam edge. </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rsidR="00CD1693" w:rsidRDefault="006750BB">
      <w:pPr>
        <w:pStyle w:val="af7"/>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rsidR="00CD1693" w:rsidRDefault="006750BB">
      <w:pPr>
        <w:pStyle w:val="af7"/>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rsidR="00CD1693" w:rsidRDefault="00CD1693">
      <w:pPr>
        <w:snapToGrid w:val="0"/>
        <w:spacing w:beforeLines="50" w:before="120" w:afterLines="50" w:after="120"/>
        <w:rPr>
          <w:rFonts w:eastAsiaTheme="minorEastAsia"/>
          <w:highlight w:val="yellow"/>
          <w:lang w:eastAsia="zh-CN"/>
        </w:rPr>
      </w:pPr>
    </w:p>
    <w:p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af2"/>
        <w:tblW w:w="0" w:type="auto"/>
        <w:tblLayout w:type="fixed"/>
        <w:tblLook w:val="04A0" w:firstRow="1" w:lastRow="0" w:firstColumn="1" w:lastColumn="0" w:noHBand="0" w:noVBand="1"/>
      </w:tblPr>
      <w:tblGrid>
        <w:gridCol w:w="4106"/>
        <w:gridCol w:w="1276"/>
        <w:gridCol w:w="1417"/>
        <w:gridCol w:w="1418"/>
        <w:gridCol w:w="1414"/>
      </w:tblGrid>
      <w:tr w:rsidR="00CD1693">
        <w:tc>
          <w:tcPr>
            <w:tcW w:w="4106" w:type="dxa"/>
            <w:shd w:val="clear" w:color="auto" w:fill="C6D9F1" w:themeFill="text2" w:themeFillTint="33"/>
          </w:tcPr>
          <w:p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rsidR="00CD1693" w:rsidRDefault="006750BB">
            <w:pPr>
              <w:jc w:val="center"/>
              <w:rPr>
                <w:lang w:val="en-US" w:eastAsia="zh-CN"/>
              </w:rPr>
            </w:pPr>
            <w:r>
              <w:rPr>
                <w:lang w:val="en-US" w:eastAsia="zh-CN"/>
              </w:rPr>
              <w:t>93 km</w:t>
            </w:r>
          </w:p>
        </w:tc>
        <w:tc>
          <w:tcPr>
            <w:tcW w:w="1417" w:type="dxa"/>
            <w:shd w:val="clear" w:color="auto" w:fill="C6D9F1" w:themeFill="text2" w:themeFillTint="33"/>
          </w:tcPr>
          <w:p w:rsidR="00CD1693" w:rsidRDefault="006750BB">
            <w:pPr>
              <w:jc w:val="center"/>
              <w:rPr>
                <w:lang w:val="en-US" w:eastAsia="zh-CN"/>
              </w:rPr>
            </w:pPr>
            <w:r>
              <w:rPr>
                <w:lang w:val="en-US" w:eastAsia="zh-CN"/>
              </w:rPr>
              <w:t>234 km</w:t>
            </w:r>
          </w:p>
        </w:tc>
        <w:tc>
          <w:tcPr>
            <w:tcW w:w="1418" w:type="dxa"/>
            <w:shd w:val="clear" w:color="auto" w:fill="C6D9F1" w:themeFill="text2" w:themeFillTint="33"/>
          </w:tcPr>
          <w:p w:rsidR="00CD1693" w:rsidRDefault="006750BB">
            <w:pPr>
              <w:jc w:val="center"/>
              <w:rPr>
                <w:lang w:val="en-US" w:eastAsia="zh-CN"/>
              </w:rPr>
            </w:pPr>
            <w:r>
              <w:rPr>
                <w:lang w:val="en-US" w:eastAsia="zh-CN"/>
              </w:rPr>
              <w:t>1000 km</w:t>
            </w:r>
          </w:p>
        </w:tc>
        <w:tc>
          <w:tcPr>
            <w:tcW w:w="1414" w:type="dxa"/>
            <w:shd w:val="clear" w:color="auto" w:fill="C6D9F1" w:themeFill="text2" w:themeFillTint="33"/>
          </w:tcPr>
          <w:p w:rsidR="00CD1693" w:rsidRDefault="006750BB">
            <w:pPr>
              <w:jc w:val="center"/>
              <w:rPr>
                <w:lang w:val="en-US" w:eastAsia="zh-CN"/>
              </w:rPr>
            </w:pPr>
            <w:r>
              <w:rPr>
                <w:lang w:val="en-US" w:eastAsia="zh-CN"/>
              </w:rPr>
              <w:t>2000 km</w:t>
            </w:r>
          </w:p>
        </w:tc>
      </w:tr>
      <w:tr w:rsidR="00CD1693">
        <w:tc>
          <w:tcPr>
            <w:tcW w:w="4106" w:type="dxa"/>
            <w:shd w:val="clear" w:color="auto" w:fill="C6D9F1" w:themeFill="text2" w:themeFillTint="33"/>
          </w:tcPr>
          <w:p w:rsidR="00CD1693" w:rsidRDefault="006750BB">
            <w:pPr>
              <w:rPr>
                <w:lang w:val="en-US" w:eastAsia="zh-CN"/>
              </w:rPr>
            </w:pPr>
            <w:r>
              <w:rPr>
                <w:lang w:val="en-US" w:eastAsia="zh-CN"/>
              </w:rPr>
              <w:t>3dB Beam-width in degrees (2γ)</w:t>
            </w:r>
          </w:p>
        </w:tc>
        <w:tc>
          <w:tcPr>
            <w:tcW w:w="1276" w:type="dxa"/>
          </w:tcPr>
          <w:p w:rsidR="00CD1693" w:rsidRDefault="006750BB">
            <w:pPr>
              <w:jc w:val="center"/>
              <w:rPr>
                <w:lang w:val="en-US" w:eastAsia="zh-CN"/>
              </w:rPr>
            </w:pPr>
            <w:r>
              <w:rPr>
                <w:lang w:val="en-US" w:eastAsia="zh-CN"/>
              </w:rPr>
              <w:t>8.86 deg</w:t>
            </w:r>
          </w:p>
        </w:tc>
        <w:tc>
          <w:tcPr>
            <w:tcW w:w="1417" w:type="dxa"/>
          </w:tcPr>
          <w:p w:rsidR="00CD1693" w:rsidRDefault="006750BB">
            <w:pPr>
              <w:jc w:val="center"/>
              <w:rPr>
                <w:lang w:val="en-US" w:eastAsia="zh-CN"/>
              </w:rPr>
            </w:pPr>
            <w:r>
              <w:rPr>
                <w:lang w:val="en-US" w:eastAsia="zh-CN"/>
              </w:rPr>
              <w:t>22.03 deg</w:t>
            </w:r>
          </w:p>
        </w:tc>
        <w:tc>
          <w:tcPr>
            <w:tcW w:w="1418" w:type="dxa"/>
          </w:tcPr>
          <w:p w:rsidR="00CD1693" w:rsidRDefault="006750BB">
            <w:pPr>
              <w:jc w:val="center"/>
              <w:rPr>
                <w:lang w:val="en-US" w:eastAsia="zh-CN"/>
              </w:rPr>
            </w:pPr>
            <w:r>
              <w:rPr>
                <w:lang w:val="en-US" w:eastAsia="zh-CN"/>
              </w:rPr>
              <w:t>77.7 deg</w:t>
            </w:r>
          </w:p>
        </w:tc>
        <w:tc>
          <w:tcPr>
            <w:tcW w:w="1414" w:type="dxa"/>
          </w:tcPr>
          <w:p w:rsidR="00CD1693" w:rsidRDefault="006750BB">
            <w:pPr>
              <w:jc w:val="center"/>
              <w:rPr>
                <w:lang w:val="en-US" w:eastAsia="zh-CN"/>
              </w:rPr>
            </w:pPr>
            <w:r>
              <w:t>111.5 deg</w:t>
            </w:r>
          </w:p>
        </w:tc>
      </w:tr>
      <w:tr w:rsidR="00CD1693">
        <w:tc>
          <w:tcPr>
            <w:tcW w:w="4106" w:type="dxa"/>
            <w:shd w:val="clear" w:color="auto" w:fill="C6D9F1" w:themeFill="text2" w:themeFillTint="33"/>
          </w:tcPr>
          <w:p w:rsidR="00CD1693" w:rsidRDefault="006750BB">
            <w:pPr>
              <w:rPr>
                <w:lang w:val="en-US" w:eastAsia="zh-CN"/>
              </w:rPr>
            </w:pPr>
            <w:r>
              <w:rPr>
                <w:lang w:val="en-US" w:eastAsia="zh-CN"/>
              </w:rPr>
              <w:t>Elevation angle at beam edge</w:t>
            </w:r>
          </w:p>
        </w:tc>
        <w:tc>
          <w:tcPr>
            <w:tcW w:w="1276" w:type="dxa"/>
          </w:tcPr>
          <w:p w:rsidR="00CD1693" w:rsidRDefault="006750BB">
            <w:pPr>
              <w:jc w:val="center"/>
              <w:rPr>
                <w:lang w:val="en-US" w:eastAsia="zh-CN"/>
              </w:rPr>
            </w:pPr>
            <w:r>
              <w:rPr>
                <w:lang w:val="en-US" w:eastAsia="zh-CN"/>
              </w:rPr>
              <w:t>85.15 deg</w:t>
            </w:r>
          </w:p>
        </w:tc>
        <w:tc>
          <w:tcPr>
            <w:tcW w:w="1417" w:type="dxa"/>
          </w:tcPr>
          <w:p w:rsidR="00CD1693" w:rsidRDefault="006750BB">
            <w:pPr>
              <w:jc w:val="center"/>
              <w:rPr>
                <w:lang w:val="en-US" w:eastAsia="zh-CN"/>
              </w:rPr>
            </w:pPr>
            <w:r>
              <w:rPr>
                <w:lang w:val="en-US" w:eastAsia="zh-CN"/>
              </w:rPr>
              <w:t>77.93 deg</w:t>
            </w:r>
          </w:p>
        </w:tc>
        <w:tc>
          <w:tcPr>
            <w:tcW w:w="1418" w:type="dxa"/>
          </w:tcPr>
          <w:p w:rsidR="00CD1693" w:rsidRDefault="006750BB">
            <w:pPr>
              <w:jc w:val="center"/>
              <w:rPr>
                <w:lang w:val="en-US" w:eastAsia="zh-CN"/>
              </w:rPr>
            </w:pPr>
            <w:r>
              <w:rPr>
                <w:lang w:val="en-US" w:eastAsia="zh-CN"/>
              </w:rPr>
              <w:t>46.63 deg</w:t>
            </w:r>
          </w:p>
        </w:tc>
        <w:tc>
          <w:tcPr>
            <w:tcW w:w="1414" w:type="dxa"/>
          </w:tcPr>
          <w:p w:rsidR="00CD1693" w:rsidRDefault="006750BB">
            <w:pPr>
              <w:jc w:val="center"/>
              <w:rPr>
                <w:lang w:val="en-US" w:eastAsia="zh-CN"/>
              </w:rPr>
            </w:pPr>
            <w:r>
              <w:t>25.26 deg</w:t>
            </w:r>
          </w:p>
        </w:tc>
      </w:tr>
      <w:tr w:rsidR="00CD1693">
        <w:tc>
          <w:tcPr>
            <w:tcW w:w="4106" w:type="dxa"/>
            <w:shd w:val="clear" w:color="auto" w:fill="C6D9F1" w:themeFill="text2" w:themeFillTint="33"/>
          </w:tcPr>
          <w:p w:rsidR="00CD1693" w:rsidRDefault="006750BB">
            <w:pPr>
              <w:rPr>
                <w:lang w:val="en-US" w:eastAsia="zh-CN"/>
              </w:rPr>
            </w:pPr>
            <w:r>
              <w:rPr>
                <w:lang w:val="en-US" w:eastAsia="zh-CN"/>
              </w:rPr>
              <w:t>Maximum Differential Doppler @fc=2GHz</w:t>
            </w:r>
          </w:p>
        </w:tc>
        <w:tc>
          <w:tcPr>
            <w:tcW w:w="1276" w:type="dxa"/>
          </w:tcPr>
          <w:p w:rsidR="00CD1693" w:rsidRDefault="006750BB">
            <w:pPr>
              <w:jc w:val="center"/>
              <w:rPr>
                <w:lang w:val="en-US" w:eastAsia="zh-CN"/>
              </w:rPr>
            </w:pPr>
            <w:r>
              <w:rPr>
                <w:lang w:val="en-US" w:eastAsia="zh-CN"/>
              </w:rPr>
              <w:t>± 3.89 kHz</w:t>
            </w:r>
          </w:p>
        </w:tc>
        <w:tc>
          <w:tcPr>
            <w:tcW w:w="1417" w:type="dxa"/>
          </w:tcPr>
          <w:p w:rsidR="00CD1693" w:rsidRDefault="006750BB">
            <w:pPr>
              <w:jc w:val="center"/>
              <w:rPr>
                <w:lang w:val="en-US" w:eastAsia="zh-CN"/>
              </w:rPr>
            </w:pPr>
            <w:r>
              <w:rPr>
                <w:lang w:val="en-US" w:eastAsia="zh-CN"/>
              </w:rPr>
              <w:t>± 9.63 kHz</w:t>
            </w:r>
          </w:p>
        </w:tc>
        <w:tc>
          <w:tcPr>
            <w:tcW w:w="1418" w:type="dxa"/>
          </w:tcPr>
          <w:p w:rsidR="00CD1693" w:rsidRDefault="006750BB">
            <w:pPr>
              <w:jc w:val="center"/>
              <w:rPr>
                <w:lang w:val="en-US" w:eastAsia="zh-CN"/>
              </w:rPr>
            </w:pPr>
            <w:r>
              <w:rPr>
                <w:lang w:val="en-US" w:eastAsia="zh-CN"/>
              </w:rPr>
              <w:t>± 31.63 kHz</w:t>
            </w:r>
          </w:p>
        </w:tc>
        <w:tc>
          <w:tcPr>
            <w:tcW w:w="1414" w:type="dxa"/>
          </w:tcPr>
          <w:p w:rsidR="00CD1693" w:rsidRDefault="006750BB">
            <w:pPr>
              <w:jc w:val="center"/>
              <w:rPr>
                <w:lang w:val="en-US" w:eastAsia="zh-CN"/>
              </w:rPr>
            </w:pPr>
            <w:r>
              <w:t>± 41.65 kHz</w:t>
            </w:r>
          </w:p>
        </w:tc>
      </w:tr>
      <w:tr w:rsidR="00CD1693">
        <w:tc>
          <w:tcPr>
            <w:tcW w:w="4106" w:type="dxa"/>
            <w:shd w:val="clear" w:color="auto" w:fill="C6D9F1" w:themeFill="text2" w:themeFillTint="33"/>
          </w:tcPr>
          <w:p w:rsidR="00CD1693" w:rsidRDefault="006750BB">
            <w:pPr>
              <w:rPr>
                <w:lang w:val="en-US" w:eastAsia="zh-CN"/>
              </w:rPr>
            </w:pPr>
            <w:r>
              <w:rPr>
                <w:lang w:val="en-US" w:eastAsia="zh-CN"/>
              </w:rPr>
              <w:t>Maximum Differential Doppler @fc=2.17GHz</w:t>
            </w:r>
          </w:p>
        </w:tc>
        <w:tc>
          <w:tcPr>
            <w:tcW w:w="1276" w:type="dxa"/>
          </w:tcPr>
          <w:p w:rsidR="00CD1693" w:rsidRDefault="006750BB">
            <w:pPr>
              <w:jc w:val="center"/>
              <w:rPr>
                <w:lang w:val="en-US" w:eastAsia="zh-CN"/>
              </w:rPr>
            </w:pPr>
            <w:r>
              <w:rPr>
                <w:lang w:val="en-US" w:eastAsia="zh-CN"/>
              </w:rPr>
              <w:t>± 4.22 kHz</w:t>
            </w:r>
          </w:p>
        </w:tc>
        <w:tc>
          <w:tcPr>
            <w:tcW w:w="1417" w:type="dxa"/>
          </w:tcPr>
          <w:p w:rsidR="00CD1693" w:rsidRDefault="006750BB">
            <w:pPr>
              <w:jc w:val="center"/>
              <w:rPr>
                <w:lang w:val="en-US" w:eastAsia="zh-CN"/>
              </w:rPr>
            </w:pPr>
            <w:r>
              <w:rPr>
                <w:lang w:val="en-US" w:eastAsia="zh-CN"/>
              </w:rPr>
              <w:t>± 10.44 kHz</w:t>
            </w:r>
          </w:p>
        </w:tc>
        <w:tc>
          <w:tcPr>
            <w:tcW w:w="1418" w:type="dxa"/>
          </w:tcPr>
          <w:p w:rsidR="00CD1693" w:rsidRDefault="006750BB">
            <w:pPr>
              <w:jc w:val="center"/>
              <w:rPr>
                <w:lang w:val="en-US" w:eastAsia="zh-CN"/>
              </w:rPr>
            </w:pPr>
            <w:r>
              <w:rPr>
                <w:lang w:val="en-US" w:eastAsia="zh-CN"/>
              </w:rPr>
              <w:t>± 34.32 kHz</w:t>
            </w:r>
          </w:p>
        </w:tc>
        <w:tc>
          <w:tcPr>
            <w:tcW w:w="1414" w:type="dxa"/>
          </w:tcPr>
          <w:p w:rsidR="00CD1693" w:rsidRDefault="006750BB">
            <w:pPr>
              <w:jc w:val="center"/>
              <w:rPr>
                <w:lang w:val="en-US" w:eastAsia="zh-CN"/>
              </w:rPr>
            </w:pPr>
            <w:r>
              <w:t>± 45.19 kHz</w:t>
            </w:r>
          </w:p>
        </w:tc>
      </w:tr>
    </w:tbl>
    <w:p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trPr>
          <w:trHeight w:val="398"/>
          <w:jc w:val="center"/>
        </w:trPr>
        <w:tc>
          <w:tcPr>
            <w:tcW w:w="1559" w:type="dxa"/>
            <w:shd w:val="clear" w:color="auto" w:fill="auto"/>
            <w:vAlign w:val="center"/>
          </w:tcPr>
          <w:p w:rsidR="005404EC" w:rsidRPr="005404EC" w:rsidRDefault="005404EC" w:rsidP="005404EC">
            <w:pPr>
              <w:snapToGrid w:val="0"/>
              <w:spacing w:after="0"/>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5404EC">
        <w:trPr>
          <w:trHeight w:val="398"/>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widowControl w:val="0"/>
            </w:pPr>
          </w:p>
        </w:tc>
      </w:tr>
      <w:tr w:rsidR="005404EC">
        <w:trPr>
          <w:trHeight w:val="398"/>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spacing w:beforeLines="50" w:before="120" w:afterLines="50" w:after="120"/>
            </w:pPr>
          </w:p>
        </w:tc>
      </w:tr>
      <w:tr w:rsidR="005404EC">
        <w:trPr>
          <w:trHeight w:val="398"/>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spacing w:before="60" w:after="60" w:line="288" w:lineRule="auto"/>
              <w:jc w:val="both"/>
            </w:pPr>
          </w:p>
        </w:tc>
      </w:tr>
      <w:tr w:rsidR="005404EC">
        <w:trPr>
          <w:trHeight w:val="398"/>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pStyle w:val="a9"/>
              <w:rPr>
                <w:i/>
              </w:rPr>
            </w:pPr>
          </w:p>
        </w:tc>
      </w:tr>
      <w:tr w:rsidR="005404EC">
        <w:trPr>
          <w:trHeight w:val="398"/>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numPr>
                <w:ilvl w:val="1"/>
                <w:numId w:val="2"/>
              </w:numPr>
              <w:overflowPunct w:val="0"/>
              <w:autoSpaceDE w:val="0"/>
              <w:autoSpaceDN w:val="0"/>
              <w:adjustRightInd w:val="0"/>
              <w:jc w:val="both"/>
              <w:textAlignment w:val="baseline"/>
              <w:rPr>
                <w:lang w:val="en-US"/>
              </w:rPr>
            </w:pPr>
          </w:p>
        </w:tc>
      </w:tr>
      <w:tr w:rsidR="005404EC">
        <w:trPr>
          <w:trHeight w:val="398"/>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rPr>
                <w:b/>
                <w:bCs/>
                <w:i/>
                <w:lang w:val="en-US"/>
              </w:rPr>
            </w:pPr>
          </w:p>
        </w:tc>
      </w:tr>
      <w:tr w:rsidR="005404EC">
        <w:trPr>
          <w:trHeight w:val="412"/>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jc w:val="both"/>
              <w:rPr>
                <w:b/>
                <w:i/>
                <w:lang w:val="en-US"/>
              </w:rPr>
            </w:pPr>
          </w:p>
        </w:tc>
      </w:tr>
      <w:tr w:rsidR="005404EC">
        <w:trPr>
          <w:trHeight w:val="417"/>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spacing w:beforeLines="50" w:before="120" w:after="0"/>
              <w:rPr>
                <w:bCs/>
                <w:lang w:eastAsia="ja-JP"/>
              </w:rPr>
            </w:pPr>
          </w:p>
        </w:tc>
      </w:tr>
      <w:tr w:rsidR="005404EC">
        <w:trPr>
          <w:trHeight w:val="398"/>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spacing w:beforeLines="50" w:before="120" w:afterLines="50" w:after="120"/>
            </w:pPr>
          </w:p>
        </w:tc>
      </w:tr>
      <w:tr w:rsidR="005404EC">
        <w:trPr>
          <w:trHeight w:val="398"/>
          <w:jc w:val="center"/>
        </w:trPr>
        <w:tc>
          <w:tcPr>
            <w:tcW w:w="1559" w:type="dxa"/>
            <w:shd w:val="clear" w:color="auto" w:fill="auto"/>
            <w:vAlign w:val="center"/>
          </w:tcPr>
          <w:p w:rsidR="005404EC" w:rsidRDefault="005404EC" w:rsidP="005404EC">
            <w:pPr>
              <w:snapToGrid w:val="0"/>
              <w:spacing w:after="0"/>
              <w:rPr>
                <w:lang w:eastAsia="zh-CN"/>
              </w:rPr>
            </w:pPr>
          </w:p>
        </w:tc>
        <w:tc>
          <w:tcPr>
            <w:tcW w:w="8080" w:type="dxa"/>
            <w:vAlign w:val="center"/>
          </w:tcPr>
          <w:p w:rsidR="005404EC" w:rsidRDefault="005404EC" w:rsidP="005404EC">
            <w:pPr>
              <w:tabs>
                <w:tab w:val="left" w:pos="1752"/>
              </w:tabs>
              <w:snapToGrid w:val="0"/>
              <w:spacing w:after="0"/>
              <w:jc w:val="both"/>
            </w:pPr>
          </w:p>
        </w:tc>
      </w:tr>
    </w:tbl>
    <w:p w:rsidR="00CD1693" w:rsidRDefault="00CD1693">
      <w:pPr>
        <w:snapToGrid w:val="0"/>
        <w:spacing w:beforeLines="50" w:before="120" w:afterLines="50" w:after="120"/>
        <w:rPr>
          <w:rFonts w:eastAsia="MS Gothic"/>
          <w:b/>
          <w:kern w:val="28"/>
          <w:lang w:val="en-US" w:eastAsia="ja-JP"/>
        </w:rPr>
      </w:pPr>
    </w:p>
    <w:p w:rsidR="00CD1693" w:rsidRDefault="006750BB">
      <w:pPr>
        <w:pStyle w:val="1"/>
        <w:rPr>
          <w:rFonts w:cs="Arial"/>
          <w:lang w:val="en-US"/>
        </w:rPr>
      </w:pPr>
      <w:r>
        <w:rPr>
          <w:rFonts w:cs="Arial"/>
          <w:lang w:val="en-US" w:eastAsia="zh-TW"/>
        </w:rPr>
        <w:t>References</w:t>
      </w:r>
    </w:p>
    <w:p w:rsidR="00CD1693" w:rsidRDefault="006750BB">
      <w:pPr>
        <w:pStyle w:val="af7"/>
        <w:numPr>
          <w:ilvl w:val="0"/>
          <w:numId w:val="12"/>
        </w:numPr>
        <w:spacing w:before="120"/>
      </w:pPr>
      <w:r>
        <w:t>RP-193235, “New Study WID on NB-IoT/eTMC support for NTN”, MediaTek, RAN#88-e, june 2020.</w:t>
      </w:r>
    </w:p>
    <w:p w:rsidR="00CD1693" w:rsidRDefault="006750BB">
      <w:pPr>
        <w:pStyle w:val="af7"/>
        <w:numPr>
          <w:ilvl w:val="0"/>
          <w:numId w:val="12"/>
        </w:numPr>
        <w:spacing w:before="120"/>
      </w:pPr>
      <w:r>
        <w:t xml:space="preserve">TR 38.821 “Study on solutions for NR to support non-terrestrial networks” </w:t>
      </w:r>
    </w:p>
    <w:p w:rsidR="00CD1693" w:rsidRDefault="006750BB">
      <w:pPr>
        <w:pStyle w:val="af7"/>
        <w:numPr>
          <w:ilvl w:val="0"/>
          <w:numId w:val="12"/>
        </w:numPr>
        <w:spacing w:before="120" w:after="0"/>
      </w:pPr>
      <w:r>
        <w:t>RAN1#103e, Thales, FL summary #4 for UL synchronization in R1-2009748, , November 2020</w:t>
      </w:r>
    </w:p>
    <w:p w:rsidR="00CD1693" w:rsidRDefault="00CD1693">
      <w:pPr>
        <w:pStyle w:val="af7"/>
        <w:spacing w:before="120"/>
        <w:ind w:left="360"/>
      </w:pPr>
    </w:p>
    <w:p w:rsidR="00CD1693" w:rsidRDefault="006750BB">
      <w:pPr>
        <w:pStyle w:val="af7"/>
        <w:numPr>
          <w:ilvl w:val="0"/>
          <w:numId w:val="12"/>
        </w:numPr>
        <w:spacing w:before="120"/>
      </w:pPr>
      <w:r>
        <w:t>R1-2100595, MediaTek, Eutelsat “UE Time and frequency Synchronisation for NR-NTN”, RAN1#104e, Jan 2021</w:t>
      </w:r>
    </w:p>
    <w:p w:rsidR="00CD1693" w:rsidRDefault="006750BB">
      <w:pPr>
        <w:pStyle w:val="af7"/>
        <w:numPr>
          <w:ilvl w:val="0"/>
          <w:numId w:val="12"/>
        </w:numPr>
        <w:spacing w:before="120"/>
      </w:pPr>
      <w:r>
        <w:t xml:space="preserve">MediaTek MT3333 GNSS datasheet </w:t>
      </w:r>
      <w:hyperlink r:id="rId18" w:history="1">
        <w:r>
          <w:rPr>
            <w:rStyle w:val="af4"/>
          </w:rPr>
          <w:t>https://</w:t>
        </w:r>
      </w:hyperlink>
      <w:hyperlink r:id="rId19" w:history="1">
        <w:r>
          <w:rPr>
            <w:rStyle w:val="af4"/>
          </w:rPr>
          <w:t>labs.mediatek.com/en/chipset/MT3333</w:t>
        </w:r>
      </w:hyperlink>
      <w:r>
        <w:t xml:space="preserve"> </w:t>
      </w:r>
    </w:p>
    <w:p w:rsidR="00CD1693" w:rsidRDefault="006406E3">
      <w:pPr>
        <w:pStyle w:val="af7"/>
        <w:numPr>
          <w:ilvl w:val="0"/>
          <w:numId w:val="12"/>
        </w:numPr>
        <w:spacing w:before="120"/>
      </w:pPr>
      <w:hyperlink r:id="rId20" w:history="1">
        <w:r w:rsidR="006750BB">
          <w:rPr>
            <w:rStyle w:val="af4"/>
          </w:rPr>
          <w:t>https://www.gps.gov/systems/gps/performance/accuracy/</w:t>
        </w:r>
      </w:hyperlink>
      <w:r w:rsidR="006750BB">
        <w:t xml:space="preserve">   </w:t>
      </w:r>
    </w:p>
    <w:p w:rsidR="00CD1693" w:rsidRDefault="006750BB">
      <w:pPr>
        <w:pStyle w:val="af7"/>
        <w:numPr>
          <w:ilvl w:val="0"/>
          <w:numId w:val="12"/>
        </w:numPr>
        <w:spacing w:before="120"/>
      </w:pPr>
      <w:r>
        <w:t>R1-2008867, Eutelsat, Satellite Position Accuracy, RAN1#103e, November 2020</w:t>
      </w:r>
    </w:p>
    <w:p w:rsidR="00CD1693" w:rsidRDefault="006750BB">
      <w:pPr>
        <w:pStyle w:val="af7"/>
        <w:numPr>
          <w:ilvl w:val="0"/>
          <w:numId w:val="12"/>
        </w:numPr>
        <w:spacing w:before="120"/>
      </w:pPr>
      <w:r>
        <w:t>R1-2100604, MediaTek, Eutelsat “Other Aspects of IoT-NTN”, RAN1#104e, Jan 2021</w:t>
      </w:r>
    </w:p>
    <w:p w:rsidR="00CD1693" w:rsidRDefault="006750BB">
      <w:pPr>
        <w:pStyle w:val="af7"/>
        <w:numPr>
          <w:ilvl w:val="0"/>
          <w:numId w:val="12"/>
        </w:numPr>
        <w:spacing w:before="120"/>
      </w:pPr>
      <w:r>
        <w:t>R1-2101261, Huawei, Other aspects to support IoT in NTN, RAN1#104e, Jan 2021</w:t>
      </w:r>
    </w:p>
    <w:p w:rsidR="00CD1693" w:rsidRDefault="006750BB">
      <w:pPr>
        <w:pStyle w:val="af7"/>
        <w:numPr>
          <w:ilvl w:val="0"/>
          <w:numId w:val="12"/>
        </w:numPr>
        <w:spacing w:before="120"/>
      </w:pPr>
      <w:r>
        <w:t>MediaTek R1-156976, Battery Life for NB-IoT, RAN1#83, Nov 2015</w:t>
      </w:r>
    </w:p>
    <w:p w:rsidR="00CD1693" w:rsidRDefault="00CD1693">
      <w:pPr>
        <w:rPr>
          <w:lang w:val="en-US" w:eastAsia="zh-TW"/>
        </w:rPr>
      </w:pPr>
    </w:p>
    <w:p w:rsidR="00CD1693" w:rsidRDefault="006750BB">
      <w:pPr>
        <w:pStyle w:val="1"/>
        <w:rPr>
          <w:lang w:val="en-US" w:eastAsia="zh-TW"/>
        </w:rPr>
      </w:pPr>
      <w:r>
        <w:rPr>
          <w:lang w:val="en-US" w:eastAsia="zh-TW"/>
        </w:rPr>
        <w:t>Appendix</w:t>
      </w:r>
    </w:p>
    <w:p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trPr>
          <w:trHeight w:val="398"/>
          <w:jc w:val="center"/>
        </w:trPr>
        <w:tc>
          <w:tcPr>
            <w:tcW w:w="2547" w:type="dxa"/>
            <w:shd w:val="clear" w:color="auto" w:fill="auto"/>
            <w:vAlign w:val="center"/>
          </w:tcPr>
          <w:p w:rsidR="00CD1693" w:rsidRDefault="006750BB">
            <w:pPr>
              <w:snapToGrid w:val="0"/>
              <w:spacing w:after="0"/>
              <w:jc w:val="center"/>
            </w:pPr>
            <w:r>
              <w:t>Contribution</w:t>
            </w:r>
          </w:p>
        </w:tc>
        <w:tc>
          <w:tcPr>
            <w:tcW w:w="8080" w:type="dxa"/>
            <w:vAlign w:val="center"/>
          </w:tcPr>
          <w:p w:rsidR="00CD1693" w:rsidRDefault="006750BB">
            <w:pPr>
              <w:snapToGrid w:val="0"/>
              <w:spacing w:after="0"/>
              <w:jc w:val="center"/>
            </w:pPr>
            <w:r>
              <w:t>Observation/Proposals</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OPPO (R1-2100161)</w:t>
            </w:r>
          </w:p>
        </w:tc>
        <w:tc>
          <w:tcPr>
            <w:tcW w:w="8080" w:type="dxa"/>
            <w:vAlign w:val="center"/>
          </w:tcPr>
          <w:p w:rsidR="00CD1693" w:rsidRDefault="006750BB">
            <w:pPr>
              <w:pStyle w:val="Eqn"/>
              <w:rPr>
                <w:sz w:val="20"/>
                <w:szCs w:val="20"/>
              </w:rPr>
            </w:pPr>
            <w:r>
              <w:rPr>
                <w:sz w:val="20"/>
                <w:szCs w:val="20"/>
              </w:rPr>
              <w:t xml:space="preserve">Proposal 1: RAN1 shall decide if GNSS non-capable UE is in the scope of this release. </w:t>
            </w:r>
          </w:p>
          <w:p w:rsidR="00CD1693" w:rsidRDefault="006750BB">
            <w:pPr>
              <w:pStyle w:val="Eqn"/>
              <w:rPr>
                <w:sz w:val="20"/>
                <w:szCs w:val="20"/>
              </w:rPr>
            </w:pPr>
            <w:r>
              <w:rPr>
                <w:sz w:val="20"/>
                <w:szCs w:val="20"/>
              </w:rPr>
              <w:t>Proposal 2: For GNSS capable UE, reuse NR-NTN agreements for time and frequency synchronization.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Huawei (R1-2100234)</w:t>
            </w:r>
          </w:p>
        </w:tc>
        <w:tc>
          <w:tcPr>
            <w:tcW w:w="8080" w:type="dxa"/>
            <w:vAlign w:val="center"/>
          </w:tcPr>
          <w:p w:rsidR="00CD1693" w:rsidRDefault="006750BB">
            <w:pPr>
              <w:spacing w:before="120"/>
            </w:pPr>
            <w:r>
              <w:t>Observation 1: The UL time and frequency synchronization enhancement of NR NTN can be applied to IoT NTN.</w:t>
            </w:r>
          </w:p>
          <w:p w:rsidR="00CD1693" w:rsidRDefault="006750BB">
            <w:pPr>
              <w:spacing w:before="120"/>
            </w:pPr>
            <w:r>
              <w:t>Observation 2: RACH failure may happen for an NB-IoT UE since it may stay in the cell for a short time, which leads to increased power consumption.</w:t>
            </w:r>
          </w:p>
          <w:p w:rsidR="00CD1693" w:rsidRDefault="006750BB">
            <w:pPr>
              <w:spacing w:before="120"/>
            </w:pPr>
            <w:r>
              <w:t>Proposal 1: Reuse the UL time and frequency synchronization enhancement design and conclusions of NR NTN in IoT NTN.</w:t>
            </w:r>
          </w:p>
          <w:p w:rsidR="00CD1693" w:rsidRDefault="006750BB">
            <w:pPr>
              <w:spacing w:before="120"/>
            </w:pPr>
            <w:r>
              <w:t>Proposal 2: Study the effects of long UL transmission duration on UL time synchronization.</w:t>
            </w:r>
          </w:p>
          <w:p w:rsidR="00CD1693" w:rsidRDefault="006750BB">
            <w:pPr>
              <w:spacing w:before="120"/>
            </w:pPr>
            <w:r>
              <w:t>Proposal 3: The timing drift rate can be accounted for by the UE to compensate the timing offset during the long UL transmission.</w:t>
            </w:r>
          </w:p>
          <w:p w:rsidR="00CD1693" w:rsidRDefault="006750BB">
            <w:pPr>
              <w:spacing w:before="120"/>
            </w:pPr>
            <w:r>
              <w:t>Proposal 4: Study solutions for the possible RACH failure due to the insufficient time to stay in a given cell’s coverage.</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ZTE (R1-2100249)</w:t>
            </w:r>
          </w:p>
        </w:tc>
        <w:tc>
          <w:tcPr>
            <w:tcW w:w="8080" w:type="dxa"/>
            <w:vAlign w:val="center"/>
          </w:tcPr>
          <w:p w:rsidR="00CD1693" w:rsidRDefault="006750BB">
            <w:pPr>
              <w:widowControl w:val="0"/>
            </w:pPr>
            <w:r>
              <w:t>Observation 1: 100 kHz channel raster may not be large enough to avoid ambiguity in DL synchronization of IoT over NTN when multiple cells from different satellites could cover same UE.</w:t>
            </w:r>
          </w:p>
          <w:p w:rsidR="00CD1693" w:rsidRDefault="006750BB">
            <w:pPr>
              <w:widowControl w:val="0"/>
            </w:pPr>
            <w:r>
              <w:t>Observation 2: Performance degradation will be experienced in IoT over NTN for different satellite parameters.</w:t>
            </w:r>
          </w:p>
          <w:p w:rsidR="00CD1693" w:rsidRDefault="006750BB">
            <w:pPr>
              <w:widowControl w:val="0"/>
            </w:pPr>
            <w:r>
              <w:t>Observation 3: Performance degradation will occurs for the continuous transmission with larger repetition.</w:t>
            </w:r>
          </w:p>
          <w:p w:rsidR="00CD1693" w:rsidRDefault="006750BB">
            <w:pPr>
              <w:widowControl w:val="0"/>
            </w:pPr>
            <w:r>
              <w:t>Observation 4: The NPRACH design can still work for UL synchronization in NTN scenario once the accurate UL pre-compensation is done.</w:t>
            </w:r>
          </w:p>
          <w:p w:rsidR="00CD1693" w:rsidRDefault="006750BB">
            <w:pPr>
              <w:widowControl w:val="0"/>
            </w:pPr>
            <w:r>
              <w:t>Proposal 1: Channel raster should be enhanced in IoT over NTN when multiple cells from different satellites are allowed to cover same area.</w:t>
            </w:r>
          </w:p>
          <w:p w:rsidR="00CD1693" w:rsidRDefault="006750BB">
            <w:pPr>
              <w:widowControl w:val="0"/>
            </w:pPr>
            <w:r>
              <w:t>Proposal 2: DL synchronization performance should be evaluated with potential enhancement for target scenarios.</w:t>
            </w:r>
          </w:p>
          <w:p w:rsidR="00CD1693" w:rsidRDefault="006750BB">
            <w:pPr>
              <w:widowControl w:val="0"/>
            </w:pPr>
            <w:r>
              <w:t>Proposal 3: Scheduling of GNSS search and data transmission should be investigated to achieve a tradeoff between power saving and synchronization performance.</w:t>
            </w:r>
          </w:p>
          <w:p w:rsidR="00CD1693" w:rsidRDefault="006750BB">
            <w:pPr>
              <w:widowControl w:val="0"/>
            </w:pPr>
            <w:r>
              <w:t>Proposal 4: Segmented pre-compensation for long continuous repetition transmission should be considered.</w:t>
            </w:r>
          </w:p>
          <w:p w:rsidR="00CD1693" w:rsidRDefault="006750BB">
            <w:pPr>
              <w:widowControl w:val="0"/>
            </w:pPr>
            <w:r>
              <w:t>Proposal 5: Study PRACH format to improve UE density.</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CATT (R1-2100266)</w:t>
            </w:r>
          </w:p>
        </w:tc>
        <w:tc>
          <w:tcPr>
            <w:tcW w:w="8080" w:type="dxa"/>
            <w:vAlign w:val="center"/>
          </w:tcPr>
          <w:p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rsidR="00CD1693" w:rsidRDefault="006750BB">
            <w:pPr>
              <w:spacing w:beforeLines="50" w:before="120" w:afterLines="50" w:after="120"/>
            </w:pPr>
            <w:r>
              <w:t>Observation 2:</w:t>
            </w:r>
            <w:r>
              <w:tab/>
              <w:t xml:space="preserve">Except for format 4, preamble format needn’t be enhanced for GNSS-capable UE.  </w:t>
            </w:r>
          </w:p>
          <w:p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rsidR="00CD1693" w:rsidRDefault="006750BB">
            <w:pPr>
              <w:spacing w:beforeLines="50" w:before="120" w:afterLines="50" w:after="120"/>
            </w:pPr>
            <w:r>
              <w:t xml:space="preserve">Proposal 1: Study the impact to channel raster configuration due to higher frequency error in IoT NTN.  </w:t>
            </w:r>
          </w:p>
          <w:p w:rsidR="00CD1693" w:rsidRDefault="006750BB">
            <w:pPr>
              <w:spacing w:beforeLines="50" w:before="120" w:afterLines="50" w:after="120"/>
            </w:pPr>
            <w:r>
              <w:t xml:space="preserve">Proposal 2: Reuse timing and frequency compensation mechanism of NR NTN to IoT NTN by taking into account UE power assumption.  </w:t>
            </w:r>
          </w:p>
          <w:p w:rsidR="00CD1693" w:rsidRDefault="006750BB">
            <w:pPr>
              <w:spacing w:beforeLines="50" w:before="120" w:afterLines="50" w:after="120"/>
            </w:pPr>
            <w:r>
              <w:t>Proposal 3: Defining specific requirement on synchronization accuracy for IoT NTN is needed.</w:t>
            </w:r>
            <w:r>
              <w:tab/>
            </w:r>
          </w:p>
          <w:p w:rsidR="00CD1693" w:rsidRDefault="006750BB">
            <w:pPr>
              <w:spacing w:beforeLines="50" w:before="120" w:afterLines="50" w:after="120"/>
            </w:pPr>
            <w:r>
              <w:t>Proposal 4: Study resource isolation mechanism for different users in UL signal transmission to guarantee UL transmission performance of NB-IoT NTN.</w:t>
            </w:r>
          </w:p>
          <w:p w:rsidR="00CD1693" w:rsidRDefault="006750BB">
            <w:pPr>
              <w:spacing w:beforeLines="50" w:before="120" w:afterLines="50" w:after="120"/>
            </w:pPr>
            <w:r>
              <w:t xml:space="preserve">Proposal 5: RAN1 needs to study if Preamble format 4 is supported for eMTC NTN due to higher timing accuracy requirement.    </w:t>
            </w:r>
          </w:p>
          <w:p w:rsidR="00CD1693" w:rsidRDefault="006750BB">
            <w:pPr>
              <w:spacing w:beforeLines="50" w:before="120" w:afterLines="50" w:after="120"/>
            </w:pPr>
            <w:r>
              <w:t>Proposal 6: Further study the timing and synchronization issue in UL repetition transmission.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Vivo (R1-2100481)</w:t>
            </w:r>
          </w:p>
        </w:tc>
        <w:tc>
          <w:tcPr>
            <w:tcW w:w="8080" w:type="dxa"/>
            <w:vAlign w:val="center"/>
          </w:tcPr>
          <w:p w:rsidR="00CD1693" w:rsidRDefault="006750BB">
            <w:pPr>
              <w:spacing w:before="60" w:after="60" w:line="288" w:lineRule="auto"/>
              <w:jc w:val="both"/>
            </w:pPr>
            <w:r>
              <w:t>Observation 1: TA information is out of date during NPRACH repetitions.</w:t>
            </w:r>
          </w:p>
          <w:p w:rsidR="00CD1693" w:rsidRDefault="006750BB">
            <w:pPr>
              <w:spacing w:before="60" w:after="60" w:line="288" w:lineRule="auto"/>
              <w:jc w:val="both"/>
            </w:pPr>
            <w:r>
              <w:t>Observation 2: Frequency is out of synchronization during repetitions.</w:t>
            </w:r>
          </w:p>
          <w:p w:rsidR="00CD1693" w:rsidRDefault="006750BB">
            <w:pPr>
              <w:spacing w:before="60" w:after="60" w:line="288" w:lineRule="auto"/>
              <w:jc w:val="both"/>
            </w:pPr>
            <w:r>
              <w:t>Proposal 1: Time synchronization can reuse relevant design and conclusions of NR NTN.</w:t>
            </w:r>
          </w:p>
          <w:p w:rsidR="00CD1693" w:rsidRDefault="006750BB">
            <w:pPr>
              <w:spacing w:before="60" w:after="60" w:line="288" w:lineRule="auto"/>
              <w:jc w:val="both"/>
            </w:pPr>
            <w:r>
              <w:t>Proposal 2: The start time of RAR time window and Msg3 transmission should be redesigned.</w:t>
            </w:r>
          </w:p>
          <w:p w:rsidR="00CD1693" w:rsidRDefault="006750BB">
            <w:pPr>
              <w:spacing w:before="60" w:after="60" w:line="288" w:lineRule="auto"/>
              <w:jc w:val="both"/>
            </w:pPr>
            <w:r>
              <w:t>Proposal 3: The update or re-calculation of TA information should be considered</w:t>
            </w:r>
          </w:p>
          <w:p w:rsidR="00CD1693" w:rsidRDefault="006750BB">
            <w:pPr>
              <w:spacing w:before="60" w:after="60" w:line="288" w:lineRule="auto"/>
              <w:jc w:val="both"/>
            </w:pPr>
            <w:r>
              <w:t>Proposal 4: The extension of UL gap should be considered.</w:t>
            </w:r>
          </w:p>
          <w:p w:rsidR="00CD1693" w:rsidRDefault="006750BB">
            <w:pPr>
              <w:spacing w:before="60" w:after="60" w:line="288" w:lineRule="auto"/>
              <w:jc w:val="both"/>
            </w:pPr>
            <w:r>
              <w:t>Proposal 5: Enhancement on UL gap and repetition number should be considered.</w:t>
            </w:r>
          </w:p>
          <w:p w:rsidR="00CD1693" w:rsidRDefault="006750BB">
            <w:pPr>
              <w:spacing w:before="60" w:after="60" w:line="288" w:lineRule="auto"/>
              <w:jc w:val="both"/>
            </w:pPr>
            <w:r>
              <w:t>Proposal 6: Compensation methods of frequency synchronization in NR NTN can be applied to IoT NTN.</w:t>
            </w:r>
          </w:p>
          <w:p w:rsidR="00CD1693" w:rsidRDefault="006750BB">
            <w:pPr>
              <w:spacing w:before="60" w:after="60" w:line="288" w:lineRule="auto"/>
              <w:jc w:val="both"/>
            </w:pPr>
            <w:r>
              <w:lastRenderedPageBreak/>
              <w:t>Proposal 7: For frequency synchronization, reduced duration of repetitions transmission could be considered.</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MediaTek (R1-2100601)</w:t>
            </w:r>
          </w:p>
        </w:tc>
        <w:tc>
          <w:tcPr>
            <w:tcW w:w="8080" w:type="dxa"/>
            <w:vAlign w:val="center"/>
          </w:tcPr>
          <w:p w:rsidR="00CD1693" w:rsidRDefault="006750BB">
            <w:pPr>
              <w:pStyle w:val="a9"/>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rsidR="00CD1693" w:rsidRDefault="006750BB">
            <w:pPr>
              <w:pStyle w:val="a9"/>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rsidR="00CD1693" w:rsidRDefault="006750BB">
            <w:pPr>
              <w:pStyle w:val="a9"/>
              <w:numPr>
                <w:ilvl w:val="0"/>
                <w:numId w:val="13"/>
              </w:numPr>
              <w:overflowPunct w:val="0"/>
              <w:autoSpaceDE w:val="0"/>
              <w:autoSpaceDN w:val="0"/>
              <w:adjustRightInd w:val="0"/>
              <w:spacing w:after="120"/>
              <w:jc w:val="both"/>
              <w:textAlignment w:val="baseline"/>
            </w:pPr>
            <w:r>
              <w:t>UL subframe and DL subframe timing aligned at the satellite: X = 0.</w:t>
            </w:r>
          </w:p>
          <w:p w:rsidR="00CD1693" w:rsidRDefault="006750BB">
            <w:pPr>
              <w:pStyle w:val="a9"/>
            </w:pPr>
            <w:r>
              <w:t>It is up to the network to configure the value of X.</w:t>
            </w:r>
          </w:p>
          <w:p w:rsidR="00CD1693" w:rsidRDefault="006750BB">
            <w:pPr>
              <w:pStyle w:val="a9"/>
            </w:pPr>
            <w:r>
              <w:t>Proposal 2:   The common timing drift over the feeder link is broadcast.</w:t>
            </w:r>
          </w:p>
          <w:p w:rsidR="00CD1693" w:rsidRDefault="006750BB">
            <w:pPr>
              <w:pStyle w:val="a9"/>
            </w:pPr>
            <w:r>
              <w:t>Proposal 3: for UE with Autonomous acquisition of the TA, UE shall use one of:</w:t>
            </w:r>
          </w:p>
          <w:p w:rsidR="00CD1693" w:rsidRDefault="006750BB">
            <w:pPr>
              <w:pStyle w:val="a9"/>
              <w:numPr>
                <w:ilvl w:val="0"/>
                <w:numId w:val="14"/>
              </w:numPr>
              <w:overflowPunct w:val="0"/>
              <w:autoSpaceDE w:val="0"/>
              <w:autoSpaceDN w:val="0"/>
              <w:adjustRightInd w:val="0"/>
              <w:spacing w:after="120"/>
              <w:jc w:val="both"/>
              <w:textAlignment w:val="baseline"/>
            </w:pPr>
            <w:r>
              <w:t>TA_offset of half the cyclic prefix of PRACH preamble which is added to Timing Offset value X broadcast by the network when applying the TA pre-compensation.</w:t>
            </w:r>
          </w:p>
          <w:p w:rsidR="00CD1693" w:rsidRDefault="006750BB">
            <w:pPr>
              <w:pStyle w:val="a9"/>
              <w:numPr>
                <w:ilvl w:val="0"/>
                <w:numId w:val="14"/>
              </w:numPr>
              <w:overflowPunct w:val="0"/>
              <w:autoSpaceDE w:val="0"/>
              <w:autoSpaceDN w:val="0"/>
              <w:adjustRightInd w:val="0"/>
              <w:spacing w:after="120"/>
              <w:jc w:val="both"/>
              <w:textAlignment w:val="baseline"/>
            </w:pPr>
            <w:r>
              <w:t>Timing Offset value X including a margin TA_offset broadcast by the network when applying the TA pre-compensation.</w:t>
            </w:r>
          </w:p>
          <w:p w:rsidR="00CD1693" w:rsidRDefault="006750BB">
            <w:pPr>
              <w:pStyle w:val="a9"/>
            </w:pPr>
            <w: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rsidR="00CD1693" w:rsidRDefault="006750BB">
            <w:pPr>
              <w:pStyle w:val="a9"/>
            </w:pPr>
            <w:r>
              <w:t>Observation 2: The UE can autonomously determine its UE-specific TA support for UL time synchronization during continuous UL transmission up to 256 ms without need for more frequent UL Compensation Gaps for UL synchronization.</w:t>
            </w:r>
          </w:p>
          <w:p w:rsidR="00CD1693" w:rsidRDefault="006750BB">
            <w:pPr>
              <w:pStyle w:val="a9"/>
            </w:pPr>
            <w:r>
              <w:t xml:space="preserve">Proposal 4: For UE pre-compensation of satellite delay:  </w:t>
            </w:r>
          </w:p>
          <w:p w:rsidR="00CD1693" w:rsidRDefault="006750BB">
            <w:pPr>
              <w:pStyle w:val="a9"/>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rsidR="00CD1693" w:rsidRDefault="006750BB">
            <w:pPr>
              <w:pStyle w:val="a9"/>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rsidR="00CD1693" w:rsidRDefault="006750BB">
            <w:pPr>
              <w:pStyle w:val="a9"/>
            </w:pPr>
            <w:r>
              <w:t>Proposal 5: For UE pre-compensation of satellite Doppler shift</w:t>
            </w:r>
          </w:p>
          <w:p w:rsidR="00CD1693" w:rsidRDefault="006750BB">
            <w:pPr>
              <w:pStyle w:val="a9"/>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rsidR="00CD1693" w:rsidRDefault="006750BB">
            <w:pPr>
              <w:pStyle w:val="a9"/>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rsidR="00CD1693" w:rsidRDefault="006750BB">
            <w:pPr>
              <w:pStyle w:val="a9"/>
            </w:pPr>
            <w:r>
              <w:t>Proposal 6: The base Station broadcast Position/ Velocity and implicit Time in each beam in the satellite cell:</w:t>
            </w:r>
          </w:p>
          <w:p w:rsidR="00CD1693" w:rsidRDefault="006750BB">
            <w:pPr>
              <w:pStyle w:val="a9"/>
            </w:pPr>
            <w:r>
              <w:t>-</w:t>
            </w:r>
            <w:r>
              <w:tab/>
              <w:t>Satellite location/velocity in ECEF coordinates</w:t>
            </w:r>
          </w:p>
          <w:p w:rsidR="00CD1693" w:rsidRDefault="006750BB">
            <w:pPr>
              <w:pStyle w:val="a9"/>
            </w:pPr>
            <w:r>
              <w:t>-</w:t>
            </w:r>
            <w:r>
              <w:tab/>
              <w:t>Validity Time is the end of SFN where SIB was transmitted (from the satellite)</w:t>
            </w:r>
          </w:p>
          <w:p w:rsidR="00CD1693" w:rsidRDefault="006750BB">
            <w:pPr>
              <w:pStyle w:val="a9"/>
            </w:pPr>
            <w:r>
              <w:t>Proposal 7: Satellite Position and Velocity information field sizes broadcast on SIB with periodicity X</w:t>
            </w:r>
          </w:p>
          <w:p w:rsidR="00CD1693" w:rsidRDefault="006750BB">
            <w:pPr>
              <w:pStyle w:val="a9"/>
              <w:numPr>
                <w:ilvl w:val="0"/>
                <w:numId w:val="16"/>
              </w:numPr>
              <w:overflowPunct w:val="0"/>
              <w:autoSpaceDE w:val="0"/>
              <w:autoSpaceDN w:val="0"/>
              <w:adjustRightInd w:val="0"/>
              <w:spacing w:after="120"/>
              <w:jc w:val="both"/>
              <w:textAlignment w:val="baseline"/>
            </w:pPr>
            <w:r>
              <w:t>The field size for position is 78 bits</w:t>
            </w:r>
          </w:p>
          <w:p w:rsidR="00CD1693" w:rsidRDefault="006750BB">
            <w:pPr>
              <w:pStyle w:val="a9"/>
              <w:numPr>
                <w:ilvl w:val="0"/>
                <w:numId w:val="16"/>
              </w:numPr>
              <w:overflowPunct w:val="0"/>
              <w:autoSpaceDE w:val="0"/>
              <w:autoSpaceDN w:val="0"/>
              <w:adjustRightInd w:val="0"/>
              <w:spacing w:after="120"/>
              <w:jc w:val="both"/>
              <w:textAlignment w:val="baseline"/>
            </w:pPr>
            <w:r>
              <w:t>The field size for velocity is 54 bits</w:t>
            </w:r>
          </w:p>
          <w:p w:rsidR="00CD1693" w:rsidRDefault="006750BB">
            <w:pPr>
              <w:pStyle w:val="a9"/>
              <w:numPr>
                <w:ilvl w:val="0"/>
                <w:numId w:val="16"/>
              </w:numPr>
              <w:overflowPunct w:val="0"/>
              <w:autoSpaceDE w:val="0"/>
              <w:autoSpaceDN w:val="0"/>
              <w:adjustRightInd w:val="0"/>
              <w:spacing w:after="120"/>
              <w:jc w:val="both"/>
              <w:textAlignment w:val="baseline"/>
            </w:pPr>
            <w:r>
              <w:t>Value of X – e.g. 200 ms, 500 ms, 1000 ms, 1500 ms, 2000 ms</w:t>
            </w:r>
          </w:p>
          <w:p w:rsidR="00CD1693" w:rsidRDefault="006750BB">
            <w:pPr>
              <w:pStyle w:val="a9"/>
            </w:pPr>
            <w:r>
              <w:t>Observation 3: UE pre-compensation is sufficiently accurate to fulfill the timing and synchronization requirements necessary for UL transmission as listed below:</w:t>
            </w:r>
          </w:p>
          <w:p w:rsidR="00CD1693" w:rsidRDefault="00CD1693">
            <w:pPr>
              <w:pStyle w:val="a9"/>
            </w:pPr>
          </w:p>
          <w:p w:rsidR="00CD1693" w:rsidRDefault="006750BB">
            <w:pPr>
              <w:pStyle w:val="a9"/>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rsidR="00CD1693" w:rsidRDefault="006750BB">
            <w:pPr>
              <w:pStyle w:val="a9"/>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rsidR="00CD1693" w:rsidRDefault="006750BB">
            <w:pPr>
              <w:pStyle w:val="a9"/>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rsidR="00CD1693" w:rsidRDefault="006750BB">
            <w:pPr>
              <w:pStyle w:val="a9"/>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rsidR="00CD1693" w:rsidRDefault="006750BB">
            <w:pPr>
              <w:pStyle w:val="a9"/>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rsidR="00CD1693" w:rsidRDefault="006750BB">
            <w:pPr>
              <w:pStyle w:val="a9"/>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rsidR="00CD1693" w:rsidRDefault="006750BB">
            <w:pPr>
              <w:pStyle w:val="a9"/>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rsidR="00CD1693" w:rsidRDefault="006750BB">
            <w:pPr>
              <w:pStyle w:val="a9"/>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Intel (R1-2100683)</w:t>
            </w:r>
          </w:p>
        </w:tc>
        <w:tc>
          <w:tcPr>
            <w:tcW w:w="8080" w:type="dxa"/>
            <w:vAlign w:val="center"/>
          </w:tcPr>
          <w:p w:rsidR="00CD1693" w:rsidRDefault="006750BB">
            <w:pPr>
              <w:jc w:val="both"/>
              <w:rPr>
                <w:iCs/>
              </w:rPr>
            </w:pPr>
            <w:r>
              <w:rPr>
                <w:bCs/>
              </w:rPr>
              <w:t>Proposal 1</w:t>
            </w:r>
            <w:r>
              <w:rPr>
                <w:iCs/>
              </w:rPr>
              <w:t xml:space="preserve">: </w:t>
            </w:r>
          </w:p>
          <w:p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rsidR="00CD1693" w:rsidRDefault="006750BB">
            <w:pPr>
              <w:jc w:val="both"/>
              <w:rPr>
                <w:iCs/>
              </w:rPr>
            </w:pPr>
            <w:r>
              <w:rPr>
                <w:bCs/>
              </w:rPr>
              <w:t>Proposal 2</w:t>
            </w:r>
            <w:r>
              <w:rPr>
                <w:iCs/>
              </w:rPr>
              <w:t xml:space="preserve">: </w:t>
            </w:r>
          </w:p>
          <w:p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rsidR="00CD1693" w:rsidRDefault="006750BB">
            <w:pPr>
              <w:jc w:val="both"/>
              <w:rPr>
                <w:iCs/>
                <w:lang w:val="en-US"/>
              </w:rPr>
            </w:pPr>
            <w:r>
              <w:rPr>
                <w:bCs/>
                <w:lang w:val="en-US"/>
              </w:rPr>
              <w:t>Proposal 3</w:t>
            </w:r>
            <w:r>
              <w:rPr>
                <w:iCs/>
                <w:lang w:val="en-US"/>
              </w:rPr>
              <w:t xml:space="preserve">: </w:t>
            </w:r>
          </w:p>
          <w:p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rsidR="00CD1693" w:rsidRDefault="006750BB">
            <w:pPr>
              <w:numPr>
                <w:ilvl w:val="1"/>
                <w:numId w:val="2"/>
              </w:numPr>
              <w:overflowPunct w:val="0"/>
              <w:autoSpaceDE w:val="0"/>
              <w:autoSpaceDN w:val="0"/>
              <w:adjustRightInd w:val="0"/>
              <w:jc w:val="both"/>
              <w:textAlignment w:val="baseline"/>
              <w:rPr>
                <w:lang w:val="en-US"/>
              </w:rPr>
            </w:pPr>
            <w:r>
              <w:rPr>
                <w:lang w:val="en-US"/>
              </w:rPr>
              <w:lastRenderedPageBreak/>
              <w:t>Increased number of anchor carriers for NB-IoT multi-carrier operation can be considered</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Lenovo. Motorola Mobility  (R1-2100763)</w:t>
            </w:r>
          </w:p>
        </w:tc>
        <w:tc>
          <w:tcPr>
            <w:tcW w:w="8080" w:type="dxa"/>
            <w:vAlign w:val="center"/>
          </w:tcPr>
          <w:p w:rsidR="00CD1693" w:rsidRDefault="006750BB">
            <w:pPr>
              <w:rPr>
                <w:lang w:val="en-US"/>
              </w:rPr>
            </w:pPr>
            <w:r>
              <w:t xml:space="preserve">Proposal 1: </w:t>
            </w:r>
            <w:r>
              <w:rPr>
                <w:lang w:val="en-US"/>
              </w:rPr>
              <w:t>A common timing offset (TO) and a TO drift rate for the propogation delay of feeder-link are broadcast in SIB.</w:t>
            </w:r>
          </w:p>
          <w:p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rsidR="00CD1693" w:rsidRDefault="006750BB">
            <w:pPr>
              <w:rPr>
                <w:lang w:val="en-US"/>
              </w:rPr>
            </w:pPr>
            <w:r>
              <w:rPr>
                <w:lang w:val="en-US"/>
              </w:rPr>
              <w:t>Observation 1:  For NPUSCH transmission with large number repetition, the TA adopted in the beginning is not suitable in the middle/end of the TB transmission.</w:t>
            </w:r>
          </w:p>
          <w:p w:rsidR="00CD1693" w:rsidRDefault="006750BB">
            <w:pPr>
              <w:rPr>
                <w:b/>
                <w:bCs/>
                <w:i/>
                <w:lang w:val="en-US"/>
              </w:rPr>
            </w:pPr>
            <w:r>
              <w:rPr>
                <w:bCs/>
                <w:lang w:val="en-US"/>
              </w:rPr>
              <w:t>Proposal 3: TA value drift during the repetitions should be considered in UL transmission in IoT on  NTN.</w:t>
            </w:r>
          </w:p>
        </w:tc>
      </w:tr>
      <w:tr w:rsidR="00CD1693">
        <w:trPr>
          <w:trHeight w:val="412"/>
          <w:jc w:val="center"/>
        </w:trPr>
        <w:tc>
          <w:tcPr>
            <w:tcW w:w="2547" w:type="dxa"/>
            <w:shd w:val="clear" w:color="auto" w:fill="auto"/>
            <w:vAlign w:val="center"/>
          </w:tcPr>
          <w:p w:rsidR="00CD1693" w:rsidRDefault="006750BB">
            <w:pPr>
              <w:snapToGrid w:val="0"/>
              <w:spacing w:after="0"/>
              <w:rPr>
                <w:lang w:eastAsia="zh-CN"/>
              </w:rPr>
            </w:pPr>
            <w:r>
              <w:rPr>
                <w:lang w:eastAsia="zh-CN"/>
              </w:rPr>
              <w:t>Spreadtrum (R1-2100810)</w:t>
            </w:r>
          </w:p>
        </w:tc>
        <w:tc>
          <w:tcPr>
            <w:tcW w:w="8080" w:type="dxa"/>
            <w:vAlign w:val="center"/>
          </w:tcPr>
          <w:p w:rsidR="00CD1693" w:rsidRDefault="006750BB">
            <w:pPr>
              <w:jc w:val="both"/>
              <w:rPr>
                <w:lang w:val="en-US"/>
              </w:rPr>
            </w:pPr>
            <w:r>
              <w:rPr>
                <w:lang w:val="en-US"/>
              </w:rPr>
              <w:t>Proposal 1: Reuse UL timing compensation mechanism of NTN WI in IoT NTN.</w:t>
            </w:r>
          </w:p>
          <w:p w:rsidR="00CD1693" w:rsidRDefault="006750BB">
            <w:pPr>
              <w:jc w:val="both"/>
              <w:rPr>
                <w:lang w:val="en-US"/>
              </w:rPr>
            </w:pPr>
            <w:r>
              <w:rPr>
                <w:lang w:val="en-US"/>
              </w:rPr>
              <w:t>Proposal 2: Reference point for autonomous acquisition of the TA at UE is located at the satellite.</w:t>
            </w:r>
          </w:p>
          <w:p w:rsidR="00CD1693" w:rsidRDefault="006750BB">
            <w:pPr>
              <w:jc w:val="both"/>
              <w:rPr>
                <w:lang w:val="en-US"/>
              </w:rPr>
            </w:pPr>
            <w:r>
              <w:rPr>
                <w:lang w:val="en-US"/>
              </w:rPr>
              <w:t>Proposal 3: Both open and closed control loops are supported in connected mode for IOT NTN.</w:t>
            </w:r>
          </w:p>
          <w:p w:rsidR="00CD1693" w:rsidRDefault="006750BB">
            <w:pPr>
              <w:jc w:val="both"/>
              <w:rPr>
                <w:lang w:val="en-US"/>
              </w:rPr>
            </w:pPr>
            <w:r>
              <w:rPr>
                <w:lang w:val="en-US"/>
              </w:rPr>
              <w:t>Proposal 4: Reuse frequency compensation mechanism of NTN WI in IoT NTN.</w:t>
            </w:r>
          </w:p>
          <w:p w:rsidR="00CD1693" w:rsidRDefault="006750BB">
            <w:pPr>
              <w:jc w:val="both"/>
              <w:rPr>
                <w:lang w:val="en-US"/>
              </w:rPr>
            </w:pPr>
            <w:r>
              <w:rPr>
                <w:lang w:val="en-US"/>
              </w:rPr>
              <w:t>Proposal 5: In IOT NTN, the reference point for frequency synchronization is located at the satellite.</w:t>
            </w:r>
          </w:p>
          <w:p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Sony (R1-2100875)</w:t>
            </w:r>
          </w:p>
        </w:tc>
        <w:tc>
          <w:tcPr>
            <w:tcW w:w="8080" w:type="dxa"/>
            <w:vAlign w:val="center"/>
          </w:tcPr>
          <w:p w:rsidR="00CD1693" w:rsidRDefault="006750BB">
            <w:pPr>
              <w:snapToGrid w:val="0"/>
              <w:spacing w:after="0"/>
              <w:jc w:val="both"/>
              <w:rPr>
                <w:lang w:val="en-US"/>
              </w:rPr>
            </w:pPr>
            <w:r>
              <w:rPr>
                <w:lang w:val="en-US"/>
              </w:rPr>
              <w:t>Proposal 1: RAN1 studies the following two methods for the UE determining timing advance:</w:t>
            </w:r>
          </w:p>
          <w:p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rsidR="00CD1693" w:rsidRDefault="00CD1693">
            <w:pPr>
              <w:snapToGrid w:val="0"/>
              <w:spacing w:after="0"/>
              <w:jc w:val="both"/>
              <w:rPr>
                <w:bCs/>
                <w:lang w:val="en-US"/>
              </w:rPr>
            </w:pPr>
          </w:p>
          <w:p w:rsidR="00CD1693" w:rsidRDefault="006750BB">
            <w:pPr>
              <w:snapToGrid w:val="0"/>
              <w:spacing w:after="0"/>
              <w:jc w:val="both"/>
              <w:rPr>
                <w:lang w:val="en-US"/>
              </w:rPr>
            </w:pPr>
            <w:r>
              <w:rPr>
                <w:lang w:val="en-US"/>
              </w:rPr>
              <w:t>Proposal 2: The UE pre-compensates the frequency of its UL transmissions in order to mitigate for Doppler shift.</w:t>
            </w:r>
          </w:p>
          <w:p w:rsidR="00CD1693" w:rsidRDefault="006750BB">
            <w:pPr>
              <w:snapToGrid w:val="0"/>
              <w:spacing w:after="0"/>
              <w:jc w:val="both"/>
              <w:rPr>
                <w:lang w:val="en-US"/>
              </w:rPr>
            </w:pPr>
            <w:r>
              <w:rPr>
                <w:lang w:val="en-US"/>
              </w:rPr>
              <w:t>Proposal 3: The frequency compensation that the UE is to apply to UL transmissions is based on:</w:t>
            </w:r>
          </w:p>
          <w:p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rsidR="00CD1693" w:rsidRDefault="00CD1693">
            <w:pPr>
              <w:snapToGrid w:val="0"/>
              <w:spacing w:after="0"/>
              <w:jc w:val="both"/>
              <w:rPr>
                <w:bCs/>
                <w:lang w:val="en-US"/>
              </w:rPr>
            </w:pPr>
          </w:p>
          <w:p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rsidR="00CD1693" w:rsidRDefault="00CD1693">
            <w:pPr>
              <w:snapToGrid w:val="0"/>
              <w:spacing w:after="0"/>
              <w:jc w:val="both"/>
            </w:pP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Ericsson (R1-2100931)</w:t>
            </w:r>
          </w:p>
        </w:tc>
        <w:tc>
          <w:tcPr>
            <w:tcW w:w="8080" w:type="dxa"/>
            <w:vAlign w:val="center"/>
          </w:tcPr>
          <w:p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rsidR="00CD1693" w:rsidRDefault="006750BB">
            <w:pPr>
              <w:snapToGrid w:val="0"/>
              <w:rPr>
                <w:lang w:eastAsia="ko-KR"/>
              </w:rPr>
            </w:pPr>
            <w:r>
              <w:rPr>
                <w:lang w:eastAsia="ko-KR"/>
              </w:rPr>
              <w:t>Proposal 1</w:t>
            </w:r>
            <w:r>
              <w:rPr>
                <w:lang w:eastAsia="ko-KR"/>
              </w:rPr>
              <w:tab/>
              <w:t>UE should pre-compensate its timing and frequency before transmitting MSG1.</w:t>
            </w:r>
          </w:p>
          <w:p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rsidR="00CD1693" w:rsidRDefault="006750BB">
            <w:pPr>
              <w:snapToGrid w:val="0"/>
              <w:rPr>
                <w:lang w:eastAsia="ko-KR"/>
              </w:rPr>
            </w:pPr>
            <w:r>
              <w:rPr>
                <w:lang w:eastAsia="ko-KR"/>
              </w:rPr>
              <w:t>Proposal 3</w:t>
            </w:r>
            <w:r>
              <w:rPr>
                <w:lang w:eastAsia="ko-KR"/>
              </w:rPr>
              <w:tab/>
              <w:t>RAN1 should investigate DL synchronization performance for NB-IoT and eMTC NTN.</w:t>
            </w:r>
          </w:p>
          <w:p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Asia Pacific Telecom (R1-2100976)</w:t>
            </w:r>
          </w:p>
        </w:tc>
        <w:tc>
          <w:tcPr>
            <w:tcW w:w="8080" w:type="dxa"/>
            <w:vAlign w:val="center"/>
          </w:tcPr>
          <w:p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rsidR="00CD1693" w:rsidRDefault="006750BB">
            <w:pPr>
              <w:ind w:left="2160" w:hanging="2160"/>
            </w:pPr>
            <w:r>
              <w:t>Proposal 2</w:t>
            </w:r>
            <w:r>
              <w:tab/>
              <w:t>Evaluate the existing NPRACH formats and determines whether all of them can be reused in NTN.</w:t>
            </w:r>
          </w:p>
          <w:p w:rsidR="00CD1693" w:rsidRDefault="006750BB">
            <w:pPr>
              <w:ind w:left="2160" w:hanging="2160"/>
            </w:pPr>
            <w:r>
              <w:t>Proposal 3</w:t>
            </w:r>
            <w:r>
              <w:tab/>
              <w:t>A reference point for UL transmission timing shall be set at the eNB, if needed.</w:t>
            </w:r>
          </w:p>
          <w:p w:rsidR="00CD1693" w:rsidRDefault="006750BB">
            <w:pPr>
              <w:ind w:left="2160" w:hanging="2160"/>
            </w:pPr>
            <w:r>
              <w:t>Proposal 4</w:t>
            </w:r>
            <w:r>
              <w:tab/>
              <w:t>To maintenance UL frequency, any update of NW assistance information may need a signaling mean other than using system information.</w:t>
            </w:r>
          </w:p>
        </w:tc>
      </w:tr>
      <w:tr w:rsidR="00CD1693">
        <w:trPr>
          <w:trHeight w:val="398"/>
          <w:jc w:val="center"/>
        </w:trPr>
        <w:tc>
          <w:tcPr>
            <w:tcW w:w="2547" w:type="dxa"/>
            <w:shd w:val="clear" w:color="auto" w:fill="auto"/>
            <w:vAlign w:val="center"/>
          </w:tcPr>
          <w:p w:rsidR="00CD1693" w:rsidRDefault="006750BB">
            <w:pPr>
              <w:snapToGrid w:val="0"/>
              <w:spacing w:after="0"/>
              <w:rPr>
                <w:bCs/>
                <w:lang w:eastAsia="zh-CN"/>
              </w:rPr>
            </w:pPr>
            <w:r>
              <w:rPr>
                <w:bCs/>
                <w:lang w:eastAsia="zh-CN"/>
              </w:rPr>
              <w:t>Nokia (R1-2101028)</w:t>
            </w:r>
          </w:p>
        </w:tc>
        <w:tc>
          <w:tcPr>
            <w:tcW w:w="8080" w:type="dxa"/>
            <w:vAlign w:val="center"/>
          </w:tcPr>
          <w:p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rsidR="00CD1693" w:rsidRDefault="006750BB">
            <w:r>
              <w:t>Observation 2: the maximum doppler shift supported by current LTE NB-IoT/eMTC design is much lower than expected doppler shift in NTN scenario.</w:t>
            </w:r>
          </w:p>
          <w:p w:rsidR="00CD1693" w:rsidRDefault="006750BB">
            <w:r>
              <w:t>Observation 3: The power consumption and impact on timing and frequency accuracy for NB-IoT/eMTC UE with GNSS processing is unclear.</w:t>
            </w:r>
          </w:p>
          <w:p w:rsidR="00CD1693" w:rsidRDefault="006750BB">
            <w:r>
              <w:t>Observation 4: Using referenceTimeInfo-R16 and UE based understanding of GNSS time will suffer less from the satellite movement in terms of timing advance as the reference point is at a static location (the gNB).</w:t>
            </w:r>
          </w:p>
          <w:p w:rsidR="00CD1693" w:rsidRDefault="006750BB">
            <w:r>
              <w:t>Proposal 1: DL synchronization performance based on LTE NPBCH/NPSS/NSSS and LTE PBCH/PSS/SSS in NTN scenario should also be evaluated, like for SSB in Rel-15.</w:t>
            </w:r>
          </w:p>
          <w:p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rsidR="00CD1693" w:rsidRDefault="006750BB">
            <w:r>
              <w:t xml:space="preserve">Proposal 3: The GNSS-assisted pre-compensation solution used by the UE shall meet the demands of the preamble format chosen by the operator, i.e., UE must be prepared to fulfil all preamble format requirements.  </w:t>
            </w:r>
          </w:p>
          <w:p w:rsidR="00CD1693" w:rsidRDefault="006750BB">
            <w:r>
              <w:t>Proposal 4: link budget of GNSS and IoT in NTN should be evaluated.</w:t>
            </w:r>
          </w:p>
          <w:p w:rsidR="00CD1693" w:rsidRDefault="006750BB">
            <w:r>
              <w:t>Proposal 5: it should be evaluated whether GNSS based time frequency synchronization could be accurate for following IoT cases</w:t>
            </w:r>
          </w:p>
          <w:p w:rsidR="00CD1693" w:rsidRDefault="006750BB">
            <w:r>
              <w:t>·</w:t>
            </w:r>
            <w:r>
              <w:tab/>
              <w:t>With reduced number of receiver antenna</w:t>
            </w:r>
          </w:p>
          <w:p w:rsidR="00CD1693" w:rsidRDefault="006750BB">
            <w:r>
              <w:t>·</w:t>
            </w:r>
            <w:r>
              <w:tab/>
              <w:t>With reduced power consumption</w:t>
            </w:r>
          </w:p>
          <w:p w:rsidR="00CD1693" w:rsidRDefault="006750BB">
            <w:r>
              <w:t>·</w:t>
            </w:r>
            <w:r>
              <w:tab/>
              <w:t>Not covered by GNSS satellite</w:t>
            </w:r>
          </w:p>
          <w:p w:rsidR="00CD1693" w:rsidRDefault="006750BB">
            <w:r>
              <w:t>Proposal 6: how to compensate large doppler shift for IoT UE should be studied, where simplification of IoT UE processing could be considered.</w:t>
            </w:r>
          </w:p>
          <w:p w:rsidR="00CD1693" w:rsidRDefault="006750BB">
            <w:r>
              <w:t>Proposal 7: RAN1 and RAN4 should select one alternative of reference point to be working assumption and it is preferred that the selection should be also base line for IoT NTN scenario.</w:t>
            </w:r>
          </w:p>
          <w:p w:rsidR="00CD1693" w:rsidRDefault="006750BB">
            <w:r>
              <w:t xml:space="preserve">Proposal 8: power consumption should be studied for time/frequency sync in IoT over NTN when UE wake up and sync in UL gap, expecially with GNSS cold or warm starting. </w:t>
            </w:r>
          </w:p>
          <w:p w:rsidR="00CD1693" w:rsidRDefault="006750BB">
            <w:r>
              <w:lastRenderedPageBreak/>
              <w:t>Proposal 9: In case GNSS accuracy is not accurate enough or not always available, UL random access procedure should be studied, with baseline as NR over NTN solutions but power consumption and complexity/cost reduction should also be considered.</w:t>
            </w:r>
          </w:p>
          <w:p w:rsidR="00CD1693" w:rsidRDefault="006750BB">
            <w:r>
              <w:t>Proposal 10: it should be evaluated whether GNSS based time frequency synchronization could be accurate for IoT cases.</w:t>
            </w:r>
          </w:p>
          <w:p w:rsidR="00CD1693" w:rsidRDefault="006750BB">
            <w:r>
              <w:t>Proposal 11: Considering all issues on GNSS accuracy and GNSS fault for IoT UE with reduced antenna number, second synchronization solution should be studied, not based on GNSS or with less dependence on GNSS.</w:t>
            </w:r>
          </w:p>
          <w:p w:rsidR="00CD1693" w:rsidRDefault="006750BB">
            <w:r>
              <w:t>Proposal 12: Half duplex for UL, DL and GNSS reception should be studied considering GNSS accuracy and UE capability.</w:t>
            </w:r>
          </w:p>
          <w:p w:rsidR="00CD1693" w:rsidRDefault="006750BB">
            <w:r>
              <w:t>Proposal 13: in CONNECTED mode, power consumption and accuracy for NB-IoT/eMTC UE with GNSS processing should be studied.</w:t>
            </w:r>
          </w:p>
          <w:p w:rsidR="00CD1693" w:rsidRDefault="006750BB">
            <w:r>
              <w:t>Proposal 14: Network should be in control of the timing advance updates applied at the UE.</w:t>
            </w:r>
          </w:p>
          <w:p w:rsidR="00CD1693" w:rsidRDefault="006750BB">
            <w:r>
              <w:t>Proposal 15: If UE is performing autonomous update of timing advance during RRC_CONNECTED mode, the network should know the details of such adjustments in advance.</w:t>
            </w:r>
          </w:p>
          <w:p w:rsidR="00CD1693" w:rsidRDefault="006750BB">
            <w:r>
              <w:t>Proposal 16: Self adjustement by the UE based on GNSS time and the time provided by referenceTimeInfo-R16 is a feasible solution and should be standardized as well.</w:t>
            </w:r>
          </w:p>
          <w:p w:rsidR="00CD1693" w:rsidRDefault="006750BB">
            <w:r>
              <w:t>Proposal 17: TA value changing during the repetitions should be configured by Node B for UL transmission in IoT over NTN.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CMCC (R1-2101070)</w:t>
            </w:r>
          </w:p>
        </w:tc>
        <w:tc>
          <w:tcPr>
            <w:tcW w:w="8080" w:type="dxa"/>
            <w:vAlign w:val="center"/>
          </w:tcPr>
          <w:p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rsidR="00CD1693" w:rsidRDefault="006750BB">
            <w:pPr>
              <w:spacing w:before="240"/>
              <w:jc w:val="both"/>
            </w:pPr>
            <w:r>
              <w:t>Proposal 2: Broadcast instant position and velocity vector in system information, if indication of satellite ephemeris is needed.</w:t>
            </w:r>
          </w:p>
          <w:p w:rsidR="00CD1693" w:rsidRDefault="006750BB">
            <w:pPr>
              <w:spacing w:before="240"/>
              <w:jc w:val="both"/>
            </w:pPr>
            <w:r>
              <w:t>Proposal 3: For GNSS capability assumption, at least a reference time and frequency can be derived.</w:t>
            </w:r>
          </w:p>
          <w:p w:rsidR="00CD1693" w:rsidRDefault="006750BB">
            <w:pPr>
              <w:spacing w:before="240"/>
              <w:jc w:val="both"/>
            </w:pPr>
            <w:r>
              <w:t>Proposal 4: Potential enhancement to enhance the coverage for IoT should be studied.</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Xiaomi (R1-2101105)</w:t>
            </w:r>
          </w:p>
        </w:tc>
        <w:tc>
          <w:tcPr>
            <w:tcW w:w="8080" w:type="dxa"/>
            <w:vAlign w:val="center"/>
          </w:tcPr>
          <w:p w:rsidR="00CD1693" w:rsidRDefault="006750BB">
            <w:pPr>
              <w:ind w:right="-99"/>
            </w:pPr>
            <w:r>
              <w:t>Observation 1: Existing NB-IoT/eMTC PRACH formats and preamble sequences can be reused with the assumption UE having GNSS capability.</w:t>
            </w:r>
          </w:p>
          <w:p w:rsidR="00CD1693" w:rsidRDefault="006750BB">
            <w:pPr>
              <w:ind w:right="-99"/>
            </w:pPr>
            <w:r>
              <w:t>Proposal 1: Pre-compensation on the Doppler shift for DL transmission should be considered.</w:t>
            </w:r>
          </w:p>
          <w:p w:rsidR="00CD1693" w:rsidRDefault="006750BB">
            <w:pPr>
              <w:ind w:right="-99"/>
            </w:pPr>
            <w:r>
              <w:t xml:space="preserve">Proposal 2: Reuse the UL time and frequency synchronization mechanism of NR NTN in IoT NTN while taking into account UE processing complexity.  </w:t>
            </w:r>
          </w:p>
          <w:p w:rsidR="00CD1693" w:rsidRDefault="006750BB">
            <w:pPr>
              <w:ind w:right="-99"/>
            </w:pPr>
            <w:r>
              <w:t>Proposal 3: Study the effects of long UL transmission duration on UL time synchronization.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Samsung (R1-2101243)</w:t>
            </w:r>
          </w:p>
        </w:tc>
        <w:tc>
          <w:tcPr>
            <w:tcW w:w="8080" w:type="dxa"/>
            <w:vAlign w:val="center"/>
          </w:tcPr>
          <w:p w:rsidR="00CD1693" w:rsidRDefault="006750BB">
            <w:r>
              <w:t>Proposal 1: TA estimation should be supported for GNSS-capable UE at least for initial access.</w:t>
            </w:r>
          </w:p>
          <w:p w:rsidR="00CD1693" w:rsidRDefault="006750BB">
            <w:r>
              <w:t>Proposal 2: Common TA should be indicated to cover the roundtrip delay between Satellite and Gateway at least for position based TA estimation.</w:t>
            </w:r>
          </w:p>
          <w:p w:rsidR="00CD1693" w:rsidRDefault="006750BB">
            <w:r>
              <w:t>Proposal 3: Whether or not to support reporting of UE’s estimated TA should be further discussed.</w:t>
            </w:r>
          </w:p>
          <w:p w:rsidR="00CD1693" w:rsidRDefault="006750BB">
            <w:r>
              <w:t>Proposal 4: Frequency offset estimation should be supported by GNSS-capable UE for pre-compensation.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Apple (R1-2101369)</w:t>
            </w:r>
          </w:p>
        </w:tc>
        <w:tc>
          <w:tcPr>
            <w:tcW w:w="8080" w:type="dxa"/>
            <w:vAlign w:val="center"/>
          </w:tcPr>
          <w:p w:rsidR="00CD1693" w:rsidRDefault="006750BB">
            <w:pPr>
              <w:spacing w:beforeLines="50" w:before="120" w:after="0"/>
            </w:pPr>
            <w:r>
              <w:t>Proposal 1: IoT over NTN does not enhance PRACH formats and/or preamble sequences in release 17.</w:t>
            </w:r>
          </w:p>
          <w:p w:rsidR="00CD1693" w:rsidRDefault="006750BB">
            <w:pPr>
              <w:spacing w:beforeLines="50" w:before="120" w:after="0"/>
            </w:pPr>
            <w:r>
              <w:lastRenderedPageBreak/>
              <w:t>Proposal 2: In IoT over NTN, UE obtains UE specific TA based on its GNSS location and serving satellite ephemeris.</w:t>
            </w:r>
          </w:p>
          <w:p w:rsidR="00CD1693" w:rsidRDefault="006750BB">
            <w:pPr>
              <w:spacing w:beforeLines="50" w:before="120" w:after="0"/>
            </w:pPr>
            <w:r>
              <w:t xml:space="preserve">Proposal 3: In IoT over NTN, the timing reference point is set at satellite. </w:t>
            </w:r>
          </w:p>
          <w:p w:rsidR="00CD1693" w:rsidRDefault="006750BB">
            <w:pPr>
              <w:spacing w:beforeLines="50" w:before="120" w:after="0"/>
            </w:pPr>
            <w:r>
              <w:t xml:space="preserve">Proposal 4: UE calculates and pre-compensates the Doppler shift on service link based on its GNSS location and serving satellite ephemeris. </w:t>
            </w:r>
          </w:p>
          <w:p w:rsidR="00CD1693" w:rsidRDefault="006750BB">
            <w:pPr>
              <w:spacing w:beforeLines="50" w:before="120" w:after="0"/>
            </w:pPr>
            <w:r>
              <w:t>Proposal 5: Support network pre-compensates the frequency offset in downlink transmissions.</w:t>
            </w:r>
          </w:p>
        </w:tc>
      </w:tr>
      <w:tr w:rsidR="00CD1693">
        <w:trPr>
          <w:trHeight w:val="417"/>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Interdigital (R1-2101402)</w:t>
            </w:r>
          </w:p>
        </w:tc>
        <w:tc>
          <w:tcPr>
            <w:tcW w:w="8080" w:type="dxa"/>
            <w:vAlign w:val="center"/>
          </w:tcPr>
          <w:p w:rsidR="00CD1693" w:rsidRDefault="006750BB">
            <w:pPr>
              <w:spacing w:beforeLines="50" w:before="120" w:after="0"/>
              <w:rPr>
                <w:bCs/>
                <w:lang w:eastAsia="ja-JP"/>
              </w:rPr>
            </w:pPr>
            <w:r>
              <w:rPr>
                <w:bCs/>
                <w:lang w:eastAsia="ja-JP"/>
              </w:rPr>
              <w:t>Proposal 1: The location-based timing compensation technique agreed in NR NTN is adopted for NB-IoT/eMTC.</w:t>
            </w:r>
          </w:p>
          <w:p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Qualcomm (R1-2101513)</w:t>
            </w:r>
          </w:p>
        </w:tc>
        <w:tc>
          <w:tcPr>
            <w:tcW w:w="8080" w:type="dxa"/>
            <w:vAlign w:val="center"/>
          </w:tcPr>
          <w:p w:rsidR="00CD1693" w:rsidRDefault="006750BB">
            <w:pPr>
              <w:spacing w:beforeLines="50" w:before="120" w:afterLines="50" w:after="120"/>
            </w:pPr>
            <w:r>
              <w:t>Observation 1: In S-band frequencies, the frequency error during initial downlink synchronization (initial cell access) can be up to 47.5 kHz + FO_doppler.</w:t>
            </w:r>
          </w:p>
          <w:p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rsidR="00CD1693" w:rsidRDefault="006750BB">
            <w:pPr>
              <w:spacing w:beforeLines="50" w:before="120" w:afterLines="50" w:after="120"/>
            </w:pPr>
            <w:r>
              <w:t>Proposal 2:  Support NB-IoT over NTN in standalone and in-band/guard-band with NR modes only.</w:t>
            </w:r>
          </w:p>
          <w:p w:rsidR="00CD1693" w:rsidRDefault="006750BB">
            <w:pPr>
              <w:spacing w:beforeLines="50" w:before="120" w:afterLines="50" w:after="120"/>
            </w:pPr>
            <w:r>
              <w:t xml:space="preserve">Proposal 3: Include the first three symbols in a subframe as well as the REs corresponding to the 4 CRS ports for rate matching the NPBCH. </w:t>
            </w:r>
          </w:p>
          <w:p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rsidR="00CD1693" w:rsidRDefault="006750BB">
            <w:pPr>
              <w:pStyle w:val="af7"/>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Fraunhofer (R1-2101692)</w:t>
            </w:r>
          </w:p>
        </w:tc>
        <w:tc>
          <w:tcPr>
            <w:tcW w:w="8080" w:type="dxa"/>
            <w:vAlign w:val="center"/>
          </w:tcPr>
          <w:p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rsidR="00CD1693" w:rsidRDefault="00CD1693">
      <w:pPr>
        <w:rPr>
          <w:lang w:val="en-US" w:eastAsia="zh-TW"/>
        </w:rPr>
      </w:pPr>
    </w:p>
    <w:p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DEB" w:rsidRDefault="00DD0DEB" w:rsidP="00584850">
      <w:pPr>
        <w:spacing w:after="0"/>
      </w:pPr>
      <w:r>
        <w:separator/>
      </w:r>
    </w:p>
  </w:endnote>
  <w:endnote w:type="continuationSeparator" w:id="0">
    <w:p w:rsidR="00DD0DEB" w:rsidRDefault="00DD0DEB"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DEB" w:rsidRDefault="00DD0DEB" w:rsidP="00584850">
      <w:pPr>
        <w:spacing w:after="0"/>
      </w:pPr>
      <w:r>
        <w:separator/>
      </w:r>
    </w:p>
  </w:footnote>
  <w:footnote w:type="continuationSeparator" w:id="0">
    <w:p w:rsidR="00DD0DEB" w:rsidRDefault="00DD0DEB"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7B79"/>
    <w:rsid w:val="007D7CB6"/>
    <w:rsid w:val="007E0CEA"/>
    <w:rsid w:val="007E106C"/>
    <w:rsid w:val="007E3046"/>
    <w:rsid w:val="007E361E"/>
    <w:rsid w:val="007E4916"/>
    <w:rsid w:val="007E56A8"/>
    <w:rsid w:val="007E56B8"/>
    <w:rsid w:val="007E791F"/>
    <w:rsid w:val="007F0E1E"/>
    <w:rsid w:val="007F1890"/>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96E14"/>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4C49D25-2ED3-4597-8C10-CCDF170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uiPriority="39"/>
    <w:lsdException w:name="Normal Indent" w:semiHidden="1" w:unhideWhenUsed="1"/>
    <w:lsdException w:name="footnote text" w:semiHidden="1"/>
    <w:lsdException w:name="annotation text"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link w:val="a6"/>
    <w:rPr>
      <w:b/>
      <w:lang w:val="en-GB" w:eastAsia="en-US"/>
    </w:rPr>
  </w:style>
  <w:style w:type="character" w:customStyle="1" w:styleId="4Char">
    <w:name w:val="标题 4 Char"/>
    <w:link w:val="4"/>
    <w:rPr>
      <w:rFonts w:ascii="Arial" w:hAnsi="Arial"/>
      <w:sz w:val="24"/>
      <w:lang w:val="en-GB"/>
    </w:rPr>
  </w:style>
  <w:style w:type="paragraph" w:styleId="af7">
    <w:name w:val="List Paragraph"/>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www.gps.gov/systems/gps/performance/accuracy/"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CB3CC00-9DBA-457F-8FBE-52CB1AA6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22</Pages>
  <Words>8281</Words>
  <Characters>47203</Characters>
  <Application>Microsoft Office Word</Application>
  <DocSecurity>0</DocSecurity>
  <Lines>393</Lines>
  <Paragraphs>110</Paragraphs>
  <ScaleCrop>false</ScaleCrop>
  <Company/>
  <LinksUpToDate>false</LinksUpToDate>
  <CharactersWithSpaces>55374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Huawei</cp:lastModifiedBy>
  <cp:revision>28</cp:revision>
  <cp:lastPrinted>2017-11-03T15:53:00Z</cp:lastPrinted>
  <dcterms:created xsi:type="dcterms:W3CDTF">2021-01-25T14:41:00Z</dcterms:created>
  <dcterms:modified xsi:type="dcterms:W3CDTF">2021-01-27T02:30:00Z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