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spellingerror"/>
          <w:rFonts w:ascii="Times" w:hAnsi="Times" w:cs="Times"/>
          <w:bCs/>
          <w:i/>
          <w:iCs/>
          <w:sz w:val="20"/>
          <w:szCs w:val="20"/>
          <w:lang w:val="en-US"/>
        </w:rPr>
        <w:t>ssb-PositionsInBurst</w:t>
      </w:r>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r>
        <w:rPr>
          <w:rStyle w:val="spellingerror"/>
          <w:rFonts w:ascii="Times" w:hAnsi="Times" w:cs="Times"/>
          <w:bCs/>
          <w:i/>
          <w:iCs/>
          <w:sz w:val="20"/>
          <w:szCs w:val="20"/>
          <w:lang w:val="en-US"/>
        </w:rPr>
        <w:t>ssb</w:t>
      </w:r>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HiSi, </w:t>
      </w:r>
      <w:r>
        <w:rPr>
          <w:rFonts w:eastAsia="Malgun Gothic" w:hint="eastAsia"/>
          <w:sz w:val="18"/>
          <w:szCs w:val="18"/>
          <w:lang w:eastAsia="zh-CN"/>
        </w:rPr>
        <w:t>L</w:t>
      </w:r>
      <w:r>
        <w:rPr>
          <w:rFonts w:eastAsia="Malgun Gothic"/>
          <w:sz w:val="18"/>
          <w:szCs w:val="18"/>
          <w:lang w:eastAsia="zh-CN"/>
        </w:rPr>
        <w:t>enovo/MotM,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 xml:space="preserve">enovo/MotM,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gNB would configure the UE to measure list of non-serving cells in L3 procedure, as </w:t>
            </w:r>
            <w:r>
              <w:rPr>
                <w:szCs w:val="20"/>
              </w:rPr>
              <w:t>per the</w:t>
            </w:r>
            <w:r w:rsidRPr="00FF36C8">
              <w:rPr>
                <w:i/>
                <w:szCs w:val="20"/>
              </w:rPr>
              <w:t xml:space="preserve"> MeasObject</w:t>
            </w:r>
            <w:r>
              <w:rPr>
                <w:i/>
                <w:szCs w:val="20"/>
              </w:rPr>
              <w:t>NR</w:t>
            </w:r>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r w:rsidRPr="00CB79F3">
              <w:rPr>
                <w:i/>
                <w:szCs w:val="20"/>
              </w:rPr>
              <w:t>MeasObjectNR</w:t>
            </w:r>
            <w:r>
              <w:rPr>
                <w:szCs w:val="20"/>
              </w:rPr>
              <w:t xml:space="preserve"> and</w:t>
            </w:r>
            <w:r w:rsidRPr="00FF36C8">
              <w:rPr>
                <w:szCs w:val="20"/>
              </w:rPr>
              <w:t xml:space="preserve"> report to </w:t>
            </w:r>
            <w:r>
              <w:rPr>
                <w:szCs w:val="20"/>
              </w:rPr>
              <w:t xml:space="preserve">the </w:t>
            </w:r>
            <w:r w:rsidRPr="00FF36C8">
              <w:rPr>
                <w:szCs w:val="20"/>
              </w:rPr>
              <w:t>gNB</w:t>
            </w:r>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r w:rsidRPr="00FF36C8">
              <w:rPr>
                <w:i/>
                <w:szCs w:val="20"/>
              </w:rPr>
              <w:t>MeasObject</w:t>
            </w:r>
            <w:r>
              <w:rPr>
                <w:i/>
                <w:szCs w:val="20"/>
              </w:rPr>
              <w:t>NR</w:t>
            </w:r>
            <w:r w:rsidRPr="00FF36C8">
              <w:rPr>
                <w:szCs w:val="20"/>
              </w:rPr>
              <w:t xml:space="preserve"> is enoug</w:t>
            </w:r>
            <w:r>
              <w:rPr>
                <w:szCs w:val="20"/>
              </w:rPr>
              <w:t>h for a UE to detect non-serving SSBs, otherw</w:t>
            </w:r>
            <w:r w:rsidRPr="00FF36C8">
              <w:rPr>
                <w:szCs w:val="20"/>
              </w:rPr>
              <w:t>ise R15 mobility could not work well, therefore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070717B0" w:rsidR="00A41CD8" w:rsidRDefault="00782FA5">
            <w:pPr>
              <w:rPr>
                <w:rFonts w:eastAsiaTheme="minorEastAsia"/>
                <w:sz w:val="18"/>
                <w:szCs w:val="18"/>
                <w:lang w:eastAsia="zh-CN"/>
              </w:rPr>
            </w:pPr>
            <w:r>
              <w:rPr>
                <w:rFonts w:eastAsiaTheme="minorEastAsia"/>
                <w:sz w:val="18"/>
                <w:szCs w:val="18"/>
                <w:lang w:eastAsia="zh-CN"/>
              </w:rPr>
              <w:t>MediaTek</w:t>
            </w:r>
          </w:p>
        </w:tc>
        <w:tc>
          <w:tcPr>
            <w:tcW w:w="6655" w:type="dxa"/>
          </w:tcPr>
          <w:p w14:paraId="46A24129" w14:textId="36246965" w:rsidR="00A41CD8" w:rsidRPr="00782FA5" w:rsidRDefault="00782FA5">
            <w:pPr>
              <w:rPr>
                <w:szCs w:val="20"/>
              </w:rPr>
            </w:pPr>
            <w:r w:rsidRPr="00782FA5">
              <w:rPr>
                <w:szCs w:val="20"/>
              </w:rPr>
              <w:t>Support</w:t>
            </w:r>
          </w:p>
        </w:tc>
      </w:tr>
      <w:tr w:rsidR="009F55FF" w14:paraId="0C2155B3" w14:textId="77777777">
        <w:tc>
          <w:tcPr>
            <w:tcW w:w="2405" w:type="dxa"/>
          </w:tcPr>
          <w:p w14:paraId="506A20C1" w14:textId="7EB8207D" w:rsidR="009F55FF" w:rsidRDefault="009F55FF">
            <w:pPr>
              <w:rPr>
                <w:rFonts w:eastAsiaTheme="minorEastAsia"/>
                <w:sz w:val="18"/>
                <w:szCs w:val="18"/>
                <w:lang w:eastAsia="zh-CN"/>
              </w:rPr>
            </w:pPr>
            <w:r>
              <w:rPr>
                <w:rFonts w:eastAsiaTheme="minorEastAsia"/>
                <w:sz w:val="18"/>
                <w:szCs w:val="18"/>
                <w:lang w:eastAsia="zh-CN"/>
              </w:rPr>
              <w:t>Samsung</w:t>
            </w:r>
          </w:p>
        </w:tc>
        <w:tc>
          <w:tcPr>
            <w:tcW w:w="6655" w:type="dxa"/>
          </w:tcPr>
          <w:p w14:paraId="1277771D" w14:textId="250AC6D9" w:rsidR="009F55FF" w:rsidRPr="00782FA5" w:rsidRDefault="009F55FF">
            <w:pPr>
              <w:rPr>
                <w:szCs w:val="20"/>
              </w:rPr>
            </w:pPr>
            <w:r>
              <w:rPr>
                <w:szCs w:val="20"/>
              </w:rPr>
              <w:t>We support the FL’s proposal</w:t>
            </w:r>
          </w:p>
        </w:tc>
      </w:tr>
      <w:tr w:rsidR="00A07C97" w14:paraId="284F71AB" w14:textId="77777777">
        <w:tc>
          <w:tcPr>
            <w:tcW w:w="2405" w:type="dxa"/>
          </w:tcPr>
          <w:p w14:paraId="49E6A076" w14:textId="77129B30" w:rsidR="00A07C97" w:rsidRDefault="00A07C97" w:rsidP="00A07C97">
            <w:pPr>
              <w:rPr>
                <w:rFonts w:eastAsiaTheme="minorEastAsia"/>
                <w:sz w:val="18"/>
                <w:szCs w:val="18"/>
                <w:lang w:eastAsia="zh-CN"/>
              </w:rPr>
            </w:pPr>
            <w:r>
              <w:rPr>
                <w:rFonts w:eastAsiaTheme="minorEastAsia" w:hint="eastAsia"/>
                <w:sz w:val="18"/>
                <w:szCs w:val="18"/>
                <w:lang w:eastAsia="zh-CN"/>
              </w:rPr>
              <w:t>Xiaomi</w:t>
            </w:r>
          </w:p>
        </w:tc>
        <w:tc>
          <w:tcPr>
            <w:tcW w:w="6655" w:type="dxa"/>
          </w:tcPr>
          <w:p w14:paraId="2FA6AD34" w14:textId="1FD866B8" w:rsidR="00A07C97" w:rsidRDefault="00A07C97" w:rsidP="00A07C97">
            <w:pPr>
              <w:rPr>
                <w:szCs w:val="20"/>
              </w:rPr>
            </w:pPr>
            <w:r>
              <w:rPr>
                <w:rFonts w:eastAsiaTheme="minorEastAsia"/>
                <w:szCs w:val="20"/>
                <w:lang w:eastAsia="zh-CN"/>
              </w:rPr>
              <w:t>S</w:t>
            </w:r>
            <w:r>
              <w:rPr>
                <w:rFonts w:eastAsiaTheme="minorEastAsia" w:hint="eastAsia"/>
                <w:szCs w:val="20"/>
                <w:lang w:eastAsia="zh-CN"/>
              </w:rPr>
              <w:t xml:space="preserve">upport </w:t>
            </w:r>
          </w:p>
        </w:tc>
      </w:tr>
      <w:tr w:rsidR="00EB0CEF" w14:paraId="21063020" w14:textId="77777777">
        <w:tc>
          <w:tcPr>
            <w:tcW w:w="2405" w:type="dxa"/>
          </w:tcPr>
          <w:p w14:paraId="2683C5BF" w14:textId="3C95F594" w:rsidR="00EB0CEF" w:rsidRPr="00EB0CEF" w:rsidRDefault="00EB0CEF" w:rsidP="00A07C97">
            <w:pPr>
              <w:rPr>
                <w:rFonts w:eastAsia="PMingLiU" w:hint="eastAsia"/>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655" w:type="dxa"/>
          </w:tcPr>
          <w:p w14:paraId="284603A2" w14:textId="09CA3104" w:rsidR="00EB0CEF" w:rsidRPr="00EB0CEF" w:rsidRDefault="00EB0CEF" w:rsidP="00A07C97">
            <w:pPr>
              <w:rPr>
                <w:rFonts w:eastAsia="PMingLiU" w:hint="eastAsia"/>
                <w:szCs w:val="20"/>
                <w:lang w:eastAsia="zh-TW"/>
              </w:rPr>
            </w:pPr>
            <w:r>
              <w:rPr>
                <w:rFonts w:eastAsia="PMingLiU"/>
                <w:szCs w:val="20"/>
                <w:lang w:eastAsia="zh-TW"/>
              </w:rPr>
              <w:t xml:space="preserve">We are neutral to this proposal, but it seems the FFS should be main bullet, instead of sub-bullet. </w:t>
            </w: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4DED01D2"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HiSi, </w:t>
      </w:r>
      <w:r w:rsidRPr="00FE7874">
        <w:rPr>
          <w:rFonts w:eastAsiaTheme="minorEastAsia" w:hint="eastAsia"/>
          <w:strike/>
          <w:sz w:val="18"/>
          <w:szCs w:val="18"/>
          <w:lang w:eastAsia="zh-CN"/>
        </w:rPr>
        <w:t>L</w:t>
      </w:r>
      <w:r w:rsidRPr="00FE7874">
        <w:rPr>
          <w:rFonts w:eastAsiaTheme="minorEastAsia"/>
          <w:strike/>
          <w:sz w:val="18"/>
          <w:szCs w:val="18"/>
          <w:lang w:eastAsia="zh-CN"/>
        </w:rPr>
        <w:t>enovo/MotM</w:t>
      </w:r>
      <w:r>
        <w:rPr>
          <w:rFonts w:eastAsiaTheme="minorEastAsia"/>
          <w:sz w:val="18"/>
          <w:szCs w:val="18"/>
          <w:lang w:eastAsia="zh-CN"/>
        </w:rPr>
        <w:t>, Nokia, vivo, Ericsson</w:t>
      </w:r>
      <w:r w:rsidR="00782FA5">
        <w:rPr>
          <w:rFonts w:eastAsiaTheme="minorEastAsia"/>
          <w:sz w:val="18"/>
          <w:szCs w:val="18"/>
          <w:lang w:eastAsia="zh-CN"/>
        </w:rPr>
        <w:t>, MediaTek</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38E2E6E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 Futurewei</w:t>
      </w:r>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lastRenderedPageBreak/>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 Futurewei</w:t>
            </w:r>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think we can first discuss how to used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r>
              <w:rPr>
                <w:rFonts w:eastAsiaTheme="minorEastAsia"/>
                <w:sz w:val="18"/>
                <w:szCs w:val="18"/>
                <w:lang w:eastAsia="zh-CN"/>
              </w:rPr>
              <w:lastRenderedPageBreak/>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any port/resource can be linked to a PCI, either the serving cell PCI or non-serving cell PCI. This 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associate with with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ListParagraph"/>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Non-serving cell information can be associated with the TCI state and/or QCL -info at least when “neighbor cell SSB” is used as “QCL referenceSignal</w:t>
            </w:r>
            <w:r w:rsidRPr="008846A2">
              <w:rPr>
                <w:rFonts w:ascii="Times New Roman" w:hAnsi="Times New Roman"/>
                <w:sz w:val="18"/>
                <w:szCs w:val="18"/>
              </w:rPr>
              <w:t xml:space="preserve"> ”</w:t>
            </w:r>
          </w:p>
          <w:p w14:paraId="2ABC9674"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F55FF">
            <w:pPr>
              <w:rPr>
                <w:rFonts w:eastAsia="Malgun Gothic"/>
                <w:sz w:val="18"/>
                <w:szCs w:val="18"/>
                <w:lang w:eastAsia="ko-KR"/>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3197926" w14:textId="77777777" w:rsidR="00D2723B" w:rsidRPr="00946CCF" w:rsidRDefault="00D2723B"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r w:rsidR="00782FA5" w:rsidRPr="00946CCF" w14:paraId="463588ED" w14:textId="77777777" w:rsidTr="00D2723B">
        <w:tc>
          <w:tcPr>
            <w:tcW w:w="2263" w:type="dxa"/>
          </w:tcPr>
          <w:p w14:paraId="09E89DEC" w14:textId="0ED2BBC0"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797" w:type="dxa"/>
          </w:tcPr>
          <w:p w14:paraId="45796B73" w14:textId="77777777" w:rsidR="00782FA5" w:rsidRDefault="00782FA5" w:rsidP="009F55FF">
            <w:pPr>
              <w:rPr>
                <w:rFonts w:eastAsiaTheme="minorEastAsia"/>
                <w:sz w:val="18"/>
                <w:szCs w:val="18"/>
                <w:lang w:eastAsia="zh-CN"/>
              </w:rPr>
            </w:pPr>
            <w:r>
              <w:rPr>
                <w:rFonts w:eastAsiaTheme="minorEastAsia"/>
                <w:sz w:val="18"/>
                <w:szCs w:val="18"/>
                <w:lang w:eastAsia="zh-CN"/>
              </w:rPr>
              <w:t>Support Alt1 with option 1.</w:t>
            </w:r>
          </w:p>
          <w:p w14:paraId="3BFF24DA" w14:textId="12420672" w:rsidR="00782FA5" w:rsidRDefault="00782FA5" w:rsidP="009F55FF">
            <w:pPr>
              <w:rPr>
                <w:rFonts w:eastAsiaTheme="minor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r w:rsidR="009F55FF" w:rsidRPr="00946CCF" w14:paraId="276CDEDA" w14:textId="77777777" w:rsidTr="00D2723B">
        <w:tc>
          <w:tcPr>
            <w:tcW w:w="2263" w:type="dxa"/>
          </w:tcPr>
          <w:p w14:paraId="5058DFFF" w14:textId="0A3C6F17" w:rsidR="009F55FF" w:rsidRDefault="009F55FF" w:rsidP="009F55FF">
            <w:pPr>
              <w:rPr>
                <w:rFonts w:eastAsiaTheme="minorEastAsia"/>
                <w:sz w:val="18"/>
                <w:szCs w:val="18"/>
                <w:lang w:eastAsia="zh-CN"/>
              </w:rPr>
            </w:pPr>
            <w:r>
              <w:rPr>
                <w:rFonts w:eastAsiaTheme="minorEastAsia"/>
                <w:sz w:val="18"/>
                <w:szCs w:val="18"/>
                <w:lang w:eastAsia="zh-CN"/>
              </w:rPr>
              <w:t>Samsung</w:t>
            </w:r>
          </w:p>
        </w:tc>
        <w:tc>
          <w:tcPr>
            <w:tcW w:w="6797" w:type="dxa"/>
          </w:tcPr>
          <w:p w14:paraId="7C962741" w14:textId="02614E17" w:rsidR="009F55FF" w:rsidRDefault="009F55FF" w:rsidP="00885FCC">
            <w:pPr>
              <w:rPr>
                <w:rFonts w:eastAsiaTheme="minorEastAsia"/>
                <w:sz w:val="18"/>
                <w:szCs w:val="18"/>
                <w:lang w:eastAsia="zh-CN"/>
              </w:rPr>
            </w:pPr>
            <w:r>
              <w:rPr>
                <w:rFonts w:eastAsiaTheme="minorEastAsia"/>
                <w:sz w:val="18"/>
                <w:szCs w:val="18"/>
                <w:lang w:eastAsia="zh-CN"/>
              </w:rPr>
              <w:t>Based on the discussions, it seems necessary to discuss</w:t>
            </w:r>
            <w:r w:rsidR="00885FCC">
              <w:rPr>
                <w:rFonts w:eastAsiaTheme="minorEastAsia"/>
                <w:sz w:val="18"/>
                <w:szCs w:val="18"/>
                <w:lang w:eastAsia="zh-CN"/>
              </w:rPr>
              <w:t>/clarify</w:t>
            </w:r>
            <w:r>
              <w:rPr>
                <w:rFonts w:eastAsiaTheme="minorEastAsia"/>
                <w:sz w:val="18"/>
                <w:szCs w:val="18"/>
                <w:lang w:eastAsia="zh-CN"/>
              </w:rPr>
              <w:t xml:space="preserve"> the minimum set of requirements such as RRC signaling overhead, RAN2 impact, the number of non-serving cells and etc., which would have impact on the selection of different options. </w:t>
            </w:r>
            <w:r w:rsidR="00885FCC">
              <w:rPr>
                <w:rFonts w:eastAsiaTheme="minorEastAsia"/>
                <w:sz w:val="18"/>
                <w:szCs w:val="18"/>
                <w:lang w:eastAsia="zh-CN"/>
              </w:rPr>
              <w:t>It is still unclear which part should be up to RAN2 and which part should be left to RAN1.</w:t>
            </w:r>
            <w:r>
              <w:rPr>
                <w:rFonts w:eastAsiaTheme="minorEastAsia"/>
                <w:sz w:val="18"/>
                <w:szCs w:val="18"/>
                <w:lang w:eastAsia="zh-CN"/>
              </w:rPr>
              <w:t xml:space="preserve"> </w:t>
            </w:r>
          </w:p>
        </w:tc>
      </w:tr>
      <w:tr w:rsidR="00A07C97" w:rsidRPr="00946CCF" w14:paraId="1725E693" w14:textId="77777777" w:rsidTr="00D2723B">
        <w:tc>
          <w:tcPr>
            <w:tcW w:w="2263" w:type="dxa"/>
          </w:tcPr>
          <w:p w14:paraId="4A35E289" w14:textId="4BE00592" w:rsidR="00A07C97" w:rsidRDefault="00A07C97" w:rsidP="00A07C97">
            <w:pPr>
              <w:rPr>
                <w:rFonts w:eastAsiaTheme="minorEastAsia"/>
                <w:sz w:val="18"/>
                <w:szCs w:val="18"/>
                <w:lang w:eastAsia="zh-CN"/>
              </w:rPr>
            </w:pPr>
            <w:r>
              <w:rPr>
                <w:rFonts w:eastAsiaTheme="minorEastAsia" w:hint="eastAsia"/>
                <w:sz w:val="18"/>
                <w:szCs w:val="18"/>
                <w:lang w:eastAsia="zh-CN"/>
              </w:rPr>
              <w:t>Xiaomi</w:t>
            </w:r>
          </w:p>
        </w:tc>
        <w:tc>
          <w:tcPr>
            <w:tcW w:w="6797" w:type="dxa"/>
          </w:tcPr>
          <w:p w14:paraId="6C429D7C" w14:textId="77777777" w:rsidR="00A07C97" w:rsidRDefault="00A07C97" w:rsidP="00A07C9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fine to decide the number of non-serving cell first. And here for each serving cell, we support up to one non-serving cell. It means more than one non-serving cell can be supported for carrier aggregation scenario. In this case, we suggest not to remove Option 5 at this time.</w:t>
            </w:r>
          </w:p>
          <w:p w14:paraId="10408B1F" w14:textId="52A08A05" w:rsidR="00A07C97" w:rsidRDefault="00A07C97" w:rsidP="00A07C97">
            <w:pPr>
              <w:rPr>
                <w:rFonts w:eastAsiaTheme="minorEastAsia"/>
                <w:sz w:val="18"/>
                <w:szCs w:val="18"/>
                <w:lang w:eastAsia="zh-CN"/>
              </w:rPr>
            </w:pPr>
            <w:r>
              <w:rPr>
                <w:rFonts w:eastAsiaTheme="minorEastAsia"/>
                <w:sz w:val="18"/>
                <w:szCs w:val="18"/>
                <w:lang w:eastAsia="zh-CN"/>
              </w:rPr>
              <w:t>For FL’s updated proposal 1-3, we support it and prefer Alt 2.</w:t>
            </w:r>
          </w:p>
        </w:tc>
      </w:tr>
      <w:tr w:rsidR="00453262" w:rsidRPr="00946CCF" w14:paraId="60EFEC71" w14:textId="77777777" w:rsidTr="00D2723B">
        <w:tc>
          <w:tcPr>
            <w:tcW w:w="2263" w:type="dxa"/>
          </w:tcPr>
          <w:p w14:paraId="10425F29" w14:textId="4237DADD" w:rsidR="00453262" w:rsidRPr="00453262" w:rsidRDefault="00453262" w:rsidP="00A07C97">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D495287" w14:textId="0DAB220C" w:rsidR="00453262" w:rsidRPr="00453262" w:rsidRDefault="00453262" w:rsidP="00A07C97">
            <w:pPr>
              <w:rPr>
                <w:rFonts w:eastAsia="PMingLiU" w:hint="eastAsia"/>
                <w:sz w:val="18"/>
                <w:szCs w:val="18"/>
                <w:lang w:eastAsia="zh-TW"/>
              </w:rPr>
            </w:pPr>
            <w:r>
              <w:rPr>
                <w:rFonts w:eastAsia="PMingLiU"/>
                <w:sz w:val="18"/>
                <w:szCs w:val="18"/>
                <w:lang w:eastAsia="zh-TW"/>
              </w:rPr>
              <w:t xml:space="preserve">We support implicit association. We can support Option 2, 3, and 5. As other companies mention, we should bring back Option 5 since it is a more general concept of Option 2. </w:t>
            </w:r>
          </w:p>
        </w:tc>
      </w:tr>
    </w:tbl>
    <w:p w14:paraId="3D2E1239" w14:textId="5E1BE52E"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r w:rsidR="0084281A" w14:paraId="022D66E1" w14:textId="77777777" w:rsidTr="0084281A">
        <w:tc>
          <w:tcPr>
            <w:tcW w:w="2547" w:type="dxa"/>
          </w:tcPr>
          <w:p w14:paraId="78D9D101" w14:textId="77777777" w:rsidR="0084281A" w:rsidRDefault="0084281A" w:rsidP="009F55FF">
            <w:pPr>
              <w:rPr>
                <w:rFonts w:eastAsiaTheme="minorEastAsia"/>
                <w:sz w:val="18"/>
                <w:szCs w:val="18"/>
                <w:lang w:eastAsia="ko-KR"/>
              </w:rPr>
            </w:pPr>
            <w:r>
              <w:rPr>
                <w:rFonts w:ascii="BatangChe" w:eastAsia="BatangChe" w:hAnsi="BatangChe" w:cs="BatangChe" w:hint="eastAsia"/>
                <w:sz w:val="18"/>
                <w:szCs w:val="18"/>
                <w:lang w:eastAsia="ko-KR"/>
              </w:rPr>
              <w:t>LG</w:t>
            </w:r>
          </w:p>
        </w:tc>
        <w:tc>
          <w:tcPr>
            <w:tcW w:w="6513" w:type="dxa"/>
          </w:tcPr>
          <w:p w14:paraId="57340840"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tc>
      </w:tr>
      <w:tr w:rsidR="00782FA5" w14:paraId="6EE0670A" w14:textId="77777777" w:rsidTr="0084281A">
        <w:tc>
          <w:tcPr>
            <w:tcW w:w="2547" w:type="dxa"/>
          </w:tcPr>
          <w:p w14:paraId="0E984459" w14:textId="31DDD269" w:rsidR="00782FA5" w:rsidRDefault="00782FA5" w:rsidP="009F55FF">
            <w:pPr>
              <w:rPr>
                <w:rFonts w:ascii="BatangChe" w:eastAsia="BatangChe" w:hAnsi="BatangChe" w:cs="BatangChe"/>
                <w:sz w:val="18"/>
                <w:szCs w:val="18"/>
                <w:lang w:eastAsia="ko-KR"/>
              </w:rPr>
            </w:pPr>
            <w:r w:rsidRPr="00782FA5">
              <w:rPr>
                <w:rFonts w:eastAsiaTheme="minorEastAsia"/>
                <w:sz w:val="18"/>
                <w:szCs w:val="18"/>
                <w:lang w:eastAsia="zh-CN"/>
              </w:rPr>
              <w:t>MediaTek</w:t>
            </w:r>
          </w:p>
        </w:tc>
        <w:tc>
          <w:tcPr>
            <w:tcW w:w="6513" w:type="dxa"/>
          </w:tcPr>
          <w:p w14:paraId="0282CC33" w14:textId="509EDC1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311D251" w14:textId="77777777" w:rsidTr="0084281A">
        <w:tc>
          <w:tcPr>
            <w:tcW w:w="2547" w:type="dxa"/>
          </w:tcPr>
          <w:p w14:paraId="70BC6E2D" w14:textId="006153FB" w:rsidR="00E07C2A" w:rsidRPr="00782FA5"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07DBB740" w14:textId="5A2DCA77" w:rsidR="00E07C2A" w:rsidRDefault="00E07C2A" w:rsidP="009F55FF">
            <w:pPr>
              <w:rPr>
                <w:rFonts w:eastAsiaTheme="minorEastAsia"/>
                <w:sz w:val="18"/>
                <w:szCs w:val="18"/>
                <w:lang w:eastAsia="zh-CN"/>
              </w:rPr>
            </w:pPr>
            <w:r>
              <w:rPr>
                <w:rFonts w:eastAsiaTheme="minorEastAsia"/>
                <w:sz w:val="18"/>
                <w:szCs w:val="18"/>
                <w:lang w:eastAsia="zh-CN"/>
              </w:rPr>
              <w:t>We support the proposal</w:t>
            </w:r>
          </w:p>
        </w:tc>
      </w:tr>
      <w:tr w:rsidR="00DA4E44" w14:paraId="13DCD826" w14:textId="77777777" w:rsidTr="0084281A">
        <w:tc>
          <w:tcPr>
            <w:tcW w:w="2547" w:type="dxa"/>
          </w:tcPr>
          <w:p w14:paraId="67CFB73B" w14:textId="5DCDD7CF" w:rsidR="00DA4E44" w:rsidRDefault="00DA4E44" w:rsidP="00DA4E44">
            <w:pPr>
              <w:rPr>
                <w:rFonts w:eastAsiaTheme="minorEastAsia"/>
                <w:sz w:val="18"/>
                <w:szCs w:val="18"/>
                <w:lang w:eastAsia="zh-CN"/>
              </w:rPr>
            </w:pPr>
            <w:r>
              <w:rPr>
                <w:rFonts w:eastAsiaTheme="minorEastAsia" w:hint="eastAsia"/>
                <w:sz w:val="18"/>
                <w:szCs w:val="18"/>
                <w:lang w:eastAsia="zh-CN"/>
              </w:rPr>
              <w:t>Xiaomi</w:t>
            </w:r>
          </w:p>
        </w:tc>
        <w:tc>
          <w:tcPr>
            <w:tcW w:w="6513" w:type="dxa"/>
          </w:tcPr>
          <w:p w14:paraId="26B549CC" w14:textId="3CDCF6BE" w:rsidR="00DA4E44" w:rsidRDefault="00DA4E44" w:rsidP="00DA4E4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B83895" w14:paraId="3A145BDA" w14:textId="77777777" w:rsidTr="0084281A">
        <w:tc>
          <w:tcPr>
            <w:tcW w:w="2547" w:type="dxa"/>
          </w:tcPr>
          <w:p w14:paraId="16BEBE41" w14:textId="6C899DD7" w:rsidR="00B83895" w:rsidRPr="00B83895" w:rsidRDefault="00B83895" w:rsidP="00DA4E44">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2E958B79" w14:textId="5A4C6C55" w:rsidR="00B83895" w:rsidRPr="00B83895" w:rsidRDefault="00B83895" w:rsidP="00DA4E44">
            <w:pPr>
              <w:rPr>
                <w:rFonts w:eastAsia="PMingLiU" w:hint="eastAsia"/>
                <w:sz w:val="18"/>
                <w:szCs w:val="18"/>
                <w:lang w:eastAsia="zh-TW"/>
              </w:rPr>
            </w:pPr>
            <w:r>
              <w:rPr>
                <w:rFonts w:eastAsia="PMingLiU"/>
                <w:sz w:val="18"/>
                <w:szCs w:val="18"/>
                <w:lang w:eastAsia="zh-TW"/>
              </w:rPr>
              <w:t xml:space="preserve">Support </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lastRenderedPageBreak/>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r w:rsidR="0084281A" w14:paraId="41642D67" w14:textId="77777777">
        <w:tc>
          <w:tcPr>
            <w:tcW w:w="2405" w:type="dxa"/>
          </w:tcPr>
          <w:p w14:paraId="483F6C7C" w14:textId="432E753C" w:rsidR="0084281A" w:rsidRDefault="0084281A" w:rsidP="0084281A">
            <w:pPr>
              <w:rPr>
                <w:rFonts w:eastAsiaTheme="minorEastAsia"/>
                <w:sz w:val="18"/>
                <w:szCs w:val="18"/>
                <w:lang w:eastAsia="zh-CN"/>
              </w:rPr>
            </w:pPr>
            <w:r>
              <w:rPr>
                <w:rFonts w:eastAsiaTheme="minorEastAsia"/>
                <w:sz w:val="18"/>
                <w:szCs w:val="18"/>
                <w:lang w:eastAsia="zh-CN"/>
              </w:rPr>
              <w:t>LG</w:t>
            </w:r>
          </w:p>
        </w:tc>
        <w:tc>
          <w:tcPr>
            <w:tcW w:w="6655" w:type="dxa"/>
          </w:tcPr>
          <w:p w14:paraId="4431B11B" w14:textId="68544FA4" w:rsidR="0084281A" w:rsidRDefault="0084281A" w:rsidP="0084281A">
            <w:pPr>
              <w:rPr>
                <w:rFonts w:eastAsiaTheme="minorEastAsia"/>
                <w:sz w:val="18"/>
                <w:szCs w:val="18"/>
                <w:lang w:eastAsia="zh-CN"/>
              </w:rPr>
            </w:pPr>
            <w:r>
              <w:rPr>
                <w:rFonts w:eastAsiaTheme="minorEastAsia"/>
                <w:sz w:val="18"/>
                <w:szCs w:val="18"/>
                <w:lang w:eastAsia="zh-CN"/>
              </w:rPr>
              <w:t>Same view with Futurewei</w:t>
            </w:r>
          </w:p>
        </w:tc>
      </w:tr>
      <w:tr w:rsidR="00782FA5" w14:paraId="02EC2C5B" w14:textId="77777777">
        <w:tc>
          <w:tcPr>
            <w:tcW w:w="2405" w:type="dxa"/>
          </w:tcPr>
          <w:p w14:paraId="78B06124" w14:textId="396E5010" w:rsidR="00782FA5" w:rsidRDefault="00782FA5" w:rsidP="0084281A">
            <w:pPr>
              <w:rPr>
                <w:rFonts w:eastAsiaTheme="minorEastAsia"/>
                <w:sz w:val="18"/>
                <w:szCs w:val="18"/>
                <w:lang w:eastAsia="zh-CN"/>
              </w:rPr>
            </w:pPr>
            <w:r>
              <w:rPr>
                <w:rFonts w:eastAsiaTheme="minorEastAsia"/>
                <w:sz w:val="18"/>
                <w:szCs w:val="18"/>
                <w:lang w:eastAsia="zh-CN"/>
              </w:rPr>
              <w:t>MediaTek</w:t>
            </w:r>
          </w:p>
        </w:tc>
        <w:tc>
          <w:tcPr>
            <w:tcW w:w="6655" w:type="dxa"/>
          </w:tcPr>
          <w:p w14:paraId="218B9552" w14:textId="580247B6" w:rsidR="00782FA5" w:rsidRDefault="00782FA5" w:rsidP="0084281A">
            <w:pPr>
              <w:rPr>
                <w:rFonts w:eastAsiaTheme="minorEastAsia"/>
                <w:sz w:val="18"/>
                <w:szCs w:val="18"/>
                <w:lang w:eastAsia="zh-CN"/>
              </w:rPr>
            </w:pPr>
            <w:r>
              <w:rPr>
                <w:rFonts w:eastAsiaTheme="minorEastAsia"/>
                <w:sz w:val="18"/>
                <w:szCs w:val="18"/>
                <w:lang w:eastAsia="zh-CN"/>
              </w:rPr>
              <w:t>Support</w:t>
            </w:r>
          </w:p>
        </w:tc>
      </w:tr>
      <w:tr w:rsidR="00E07C2A" w14:paraId="05FD488A" w14:textId="77777777">
        <w:tc>
          <w:tcPr>
            <w:tcW w:w="2405" w:type="dxa"/>
          </w:tcPr>
          <w:p w14:paraId="2D3F6900" w14:textId="597636A1" w:rsidR="00E07C2A" w:rsidRDefault="00E07C2A" w:rsidP="0084281A">
            <w:pPr>
              <w:rPr>
                <w:rFonts w:eastAsiaTheme="minorEastAsia"/>
                <w:sz w:val="18"/>
                <w:szCs w:val="18"/>
                <w:lang w:eastAsia="zh-CN"/>
              </w:rPr>
            </w:pPr>
            <w:r>
              <w:rPr>
                <w:rFonts w:eastAsiaTheme="minorEastAsia"/>
                <w:sz w:val="18"/>
                <w:szCs w:val="18"/>
                <w:lang w:eastAsia="zh-CN"/>
              </w:rPr>
              <w:t>Samsung</w:t>
            </w:r>
          </w:p>
        </w:tc>
        <w:tc>
          <w:tcPr>
            <w:tcW w:w="6655" w:type="dxa"/>
          </w:tcPr>
          <w:p w14:paraId="74AC0308" w14:textId="58473E04" w:rsidR="00E07C2A" w:rsidRDefault="00E07C2A" w:rsidP="0084281A">
            <w:pPr>
              <w:rPr>
                <w:rFonts w:eastAsiaTheme="minorEastAsia"/>
                <w:sz w:val="18"/>
                <w:szCs w:val="18"/>
                <w:lang w:eastAsia="zh-CN"/>
              </w:rPr>
            </w:pPr>
            <w:r>
              <w:rPr>
                <w:rFonts w:eastAsiaTheme="minorEastAsia"/>
                <w:sz w:val="18"/>
                <w:szCs w:val="18"/>
                <w:lang w:eastAsia="zh-CN"/>
              </w:rPr>
              <w:t>We support the proposal, we are fine to discuss this later.</w:t>
            </w:r>
          </w:p>
        </w:tc>
      </w:tr>
      <w:tr w:rsidR="00DA4E44" w14:paraId="70A136A3" w14:textId="77777777">
        <w:tc>
          <w:tcPr>
            <w:tcW w:w="2405" w:type="dxa"/>
          </w:tcPr>
          <w:p w14:paraId="41880D9C" w14:textId="4FF9FE75" w:rsidR="00DA4E44" w:rsidRDefault="00DA4E44" w:rsidP="00DA4E44">
            <w:pPr>
              <w:rPr>
                <w:rFonts w:eastAsiaTheme="minorEastAsia"/>
                <w:sz w:val="18"/>
                <w:szCs w:val="18"/>
                <w:lang w:eastAsia="zh-CN"/>
              </w:rPr>
            </w:pPr>
            <w:r>
              <w:rPr>
                <w:rFonts w:eastAsiaTheme="minorEastAsia" w:hint="eastAsia"/>
                <w:sz w:val="18"/>
                <w:szCs w:val="18"/>
                <w:lang w:eastAsia="zh-CN"/>
              </w:rPr>
              <w:t>Xiaomi</w:t>
            </w:r>
          </w:p>
        </w:tc>
        <w:tc>
          <w:tcPr>
            <w:tcW w:w="6655" w:type="dxa"/>
          </w:tcPr>
          <w:p w14:paraId="1B7EF59D" w14:textId="44A3A592" w:rsidR="00DA4E44" w:rsidRDefault="00DA4E44" w:rsidP="00DA4E4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AA259F" w14:paraId="631F81A8" w14:textId="77777777">
        <w:tc>
          <w:tcPr>
            <w:tcW w:w="2405" w:type="dxa"/>
          </w:tcPr>
          <w:p w14:paraId="3D9E8A1D" w14:textId="093F210A" w:rsidR="00AA259F" w:rsidRPr="00AA259F" w:rsidRDefault="00AA259F" w:rsidP="00DA4E44">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62561A4" w14:textId="687DF546" w:rsidR="00AA259F" w:rsidRPr="00AA259F" w:rsidRDefault="00AA259F" w:rsidP="00DA4E44">
            <w:pPr>
              <w:rPr>
                <w:rFonts w:eastAsia="PMingLiU" w:hint="eastAsia"/>
                <w:sz w:val="18"/>
                <w:szCs w:val="18"/>
                <w:lang w:eastAsia="zh-TW"/>
              </w:rPr>
            </w:pPr>
            <w:r>
              <w:rPr>
                <w:rFonts w:eastAsia="PMingLiU"/>
                <w:sz w:val="18"/>
                <w:szCs w:val="18"/>
                <w:lang w:eastAsia="zh-TW"/>
              </w:rPr>
              <w:t>Supportive of this proposal</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F55FF">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7EFB6BCE" w14:textId="77777777" w:rsidR="004F36BA" w:rsidRDefault="004F36BA"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84281A" w14:paraId="52C32673" w14:textId="77777777" w:rsidTr="0084281A">
        <w:tc>
          <w:tcPr>
            <w:tcW w:w="2405" w:type="dxa"/>
          </w:tcPr>
          <w:p w14:paraId="5F704B8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655" w:type="dxa"/>
          </w:tcPr>
          <w:p w14:paraId="720FA043"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p w14:paraId="5C841915"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r w:rsidR="00782FA5" w14:paraId="0D0AE8D0" w14:textId="77777777" w:rsidTr="0084281A">
        <w:tc>
          <w:tcPr>
            <w:tcW w:w="2405" w:type="dxa"/>
          </w:tcPr>
          <w:p w14:paraId="37F008CE" w14:textId="76922B75"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655" w:type="dxa"/>
          </w:tcPr>
          <w:p w14:paraId="0E8E882D" w14:textId="609A14A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2E3AA134" w14:textId="77777777" w:rsidTr="0084281A">
        <w:tc>
          <w:tcPr>
            <w:tcW w:w="2405" w:type="dxa"/>
          </w:tcPr>
          <w:p w14:paraId="59680974" w14:textId="663048A7"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655" w:type="dxa"/>
          </w:tcPr>
          <w:p w14:paraId="073F9B6F" w14:textId="0D41F90A" w:rsidR="00E07C2A" w:rsidRDefault="00E07C2A" w:rsidP="009F55FF">
            <w:pPr>
              <w:rPr>
                <w:rFonts w:eastAsiaTheme="minorEastAsia"/>
                <w:sz w:val="18"/>
                <w:szCs w:val="18"/>
                <w:lang w:eastAsia="zh-CN"/>
              </w:rPr>
            </w:pPr>
            <w:r>
              <w:rPr>
                <w:rFonts w:eastAsiaTheme="minorEastAsia"/>
                <w:sz w:val="18"/>
                <w:szCs w:val="18"/>
                <w:lang w:eastAsia="zh-CN"/>
              </w:rPr>
              <w:t>We are fine to discuss this later.</w:t>
            </w:r>
          </w:p>
        </w:tc>
      </w:tr>
      <w:tr w:rsidR="0051479E" w14:paraId="4B940982" w14:textId="77777777" w:rsidTr="0084281A">
        <w:tc>
          <w:tcPr>
            <w:tcW w:w="2405" w:type="dxa"/>
          </w:tcPr>
          <w:p w14:paraId="00E9CF62" w14:textId="21F1C1EE" w:rsidR="0051479E" w:rsidRDefault="0051479E" w:rsidP="0051479E">
            <w:pPr>
              <w:rPr>
                <w:rFonts w:eastAsiaTheme="minorEastAsia"/>
                <w:sz w:val="18"/>
                <w:szCs w:val="18"/>
                <w:lang w:eastAsia="zh-CN"/>
              </w:rPr>
            </w:pPr>
            <w:r>
              <w:rPr>
                <w:rFonts w:eastAsiaTheme="minorEastAsia" w:hint="eastAsia"/>
                <w:sz w:val="18"/>
                <w:szCs w:val="18"/>
                <w:lang w:eastAsia="zh-CN"/>
              </w:rPr>
              <w:t>Xiaomi</w:t>
            </w:r>
          </w:p>
        </w:tc>
        <w:tc>
          <w:tcPr>
            <w:tcW w:w="6655" w:type="dxa"/>
          </w:tcPr>
          <w:p w14:paraId="24C5993A" w14:textId="52A991A4" w:rsidR="0051479E" w:rsidRDefault="0051479E" w:rsidP="0051479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632592" w14:paraId="5DA477FE" w14:textId="77777777" w:rsidTr="0084281A">
        <w:tc>
          <w:tcPr>
            <w:tcW w:w="2405" w:type="dxa"/>
          </w:tcPr>
          <w:p w14:paraId="45D764E1" w14:textId="0B48B329" w:rsidR="00632592" w:rsidRPr="00632592" w:rsidRDefault="00632592" w:rsidP="0051479E">
            <w:pPr>
              <w:rPr>
                <w:rFonts w:eastAsia="PMingLiU" w:hint="eastAsia"/>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7345F3BC" w14:textId="5DD5E93A" w:rsidR="00632592" w:rsidRPr="00632592" w:rsidRDefault="00632592" w:rsidP="0051479E">
            <w:pPr>
              <w:rPr>
                <w:rFonts w:eastAsia="PMingLiU" w:hint="eastAsia"/>
                <w:sz w:val="18"/>
                <w:szCs w:val="18"/>
                <w:lang w:eastAsia="zh-TW"/>
              </w:rPr>
            </w:pPr>
            <w:r>
              <w:rPr>
                <w:rFonts w:eastAsia="PMingLiU" w:hint="eastAsia"/>
                <w:sz w:val="18"/>
                <w:szCs w:val="18"/>
                <w:lang w:eastAsia="zh-TW"/>
              </w:rPr>
              <w:t>O</w:t>
            </w:r>
            <w:r>
              <w:rPr>
                <w:rFonts w:eastAsia="PMingLiU"/>
                <w:sz w:val="18"/>
                <w:szCs w:val="18"/>
                <w:lang w:eastAsia="zh-TW"/>
              </w:rPr>
              <w:t xml:space="preserve">K to discuss in next meetings. </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lastRenderedPageBreak/>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11A48CE7"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84281A" w14:paraId="3DED8290" w14:textId="77777777" w:rsidTr="0084281A">
        <w:tc>
          <w:tcPr>
            <w:tcW w:w="2547" w:type="dxa"/>
          </w:tcPr>
          <w:p w14:paraId="68FF4A4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513" w:type="dxa"/>
          </w:tcPr>
          <w:p w14:paraId="24D296BC" w14:textId="77777777" w:rsidR="0084281A" w:rsidRDefault="0084281A" w:rsidP="009F55FF">
            <w:pPr>
              <w:rPr>
                <w:rFonts w:eastAsiaTheme="minorEastAsia"/>
                <w:sz w:val="18"/>
                <w:szCs w:val="18"/>
                <w:lang w:eastAsia="zh-CN"/>
              </w:rPr>
            </w:pPr>
            <w:r>
              <w:rPr>
                <w:rFonts w:eastAsiaTheme="minorEastAsia"/>
                <w:sz w:val="18"/>
                <w:szCs w:val="18"/>
                <w:lang w:eastAsia="zh-CN"/>
              </w:rPr>
              <w:t>We are OK to discuss this in future meeting.</w:t>
            </w:r>
          </w:p>
        </w:tc>
      </w:tr>
      <w:tr w:rsidR="00782FA5" w14:paraId="246C18B5" w14:textId="77777777" w:rsidTr="0084281A">
        <w:tc>
          <w:tcPr>
            <w:tcW w:w="2547" w:type="dxa"/>
          </w:tcPr>
          <w:p w14:paraId="06F34087" w14:textId="61FC9498"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513" w:type="dxa"/>
          </w:tcPr>
          <w:p w14:paraId="3CFF2CF2" w14:textId="31DD77F1"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2353C97" w14:textId="77777777" w:rsidTr="0084281A">
        <w:tc>
          <w:tcPr>
            <w:tcW w:w="2547" w:type="dxa"/>
          </w:tcPr>
          <w:p w14:paraId="6E55D50D" w14:textId="6B109D04"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6DDB5413" w14:textId="2EF626B2" w:rsidR="00E07C2A" w:rsidRDefault="00E07C2A" w:rsidP="009F55FF">
            <w:pPr>
              <w:rPr>
                <w:rFonts w:eastAsiaTheme="minorEastAsia"/>
                <w:sz w:val="18"/>
                <w:szCs w:val="18"/>
                <w:lang w:eastAsia="zh-CN"/>
              </w:rPr>
            </w:pPr>
            <w:r>
              <w:rPr>
                <w:rFonts w:eastAsiaTheme="minorEastAsia"/>
                <w:sz w:val="18"/>
                <w:szCs w:val="18"/>
                <w:lang w:eastAsia="zh-CN"/>
              </w:rPr>
              <w:t>Support the proposal</w:t>
            </w:r>
          </w:p>
        </w:tc>
      </w:tr>
      <w:tr w:rsidR="0051479E" w14:paraId="0AB435D9" w14:textId="77777777" w:rsidTr="0084281A">
        <w:tc>
          <w:tcPr>
            <w:tcW w:w="2547" w:type="dxa"/>
          </w:tcPr>
          <w:p w14:paraId="56AB0FBA" w14:textId="1EBFB7A8" w:rsidR="0051479E" w:rsidRDefault="0051479E" w:rsidP="0051479E">
            <w:pPr>
              <w:rPr>
                <w:rFonts w:eastAsiaTheme="minorEastAsia"/>
                <w:sz w:val="18"/>
                <w:szCs w:val="18"/>
                <w:lang w:eastAsia="zh-CN"/>
              </w:rPr>
            </w:pPr>
            <w:r>
              <w:rPr>
                <w:rFonts w:eastAsiaTheme="minorEastAsia" w:hint="eastAsia"/>
                <w:sz w:val="18"/>
                <w:szCs w:val="18"/>
                <w:lang w:eastAsia="zh-CN"/>
              </w:rPr>
              <w:t>Xiaomi</w:t>
            </w:r>
          </w:p>
        </w:tc>
        <w:tc>
          <w:tcPr>
            <w:tcW w:w="6513" w:type="dxa"/>
          </w:tcPr>
          <w:p w14:paraId="7B872570" w14:textId="3BF569D2" w:rsidR="0051479E" w:rsidRDefault="0051479E" w:rsidP="0051479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585720DA" w14:textId="77777777" w:rsidR="00AB0763" w:rsidRPr="0084281A"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lastRenderedPageBreak/>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84281A" w14:paraId="630775AD" w14:textId="77777777">
        <w:tc>
          <w:tcPr>
            <w:tcW w:w="2405" w:type="dxa"/>
          </w:tcPr>
          <w:p w14:paraId="22E13C32" w14:textId="037F1B5A" w:rsidR="0084281A" w:rsidRDefault="0084281A" w:rsidP="0084281A">
            <w:pPr>
              <w:rPr>
                <w:rFonts w:eastAsiaTheme="minorEastAsia"/>
                <w:sz w:val="18"/>
                <w:szCs w:val="18"/>
                <w:lang w:eastAsia="zh-CN"/>
              </w:rPr>
            </w:pPr>
            <w:r>
              <w:rPr>
                <w:rFonts w:eastAsia="Malgun Gothic" w:hint="eastAsia"/>
                <w:sz w:val="18"/>
                <w:szCs w:val="18"/>
                <w:lang w:eastAsia="ko-KR"/>
              </w:rPr>
              <w:t>LG</w:t>
            </w:r>
          </w:p>
        </w:tc>
        <w:tc>
          <w:tcPr>
            <w:tcW w:w="6655" w:type="dxa"/>
          </w:tcPr>
          <w:p w14:paraId="35CF0BE1" w14:textId="7CE4155D" w:rsidR="0084281A" w:rsidRDefault="0084281A" w:rsidP="0084281A">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ame </w:t>
            </w:r>
            <w:r>
              <w:rPr>
                <w:rFonts w:eastAsia="Malgun Gothic"/>
                <w:sz w:val="18"/>
                <w:szCs w:val="18"/>
                <w:lang w:eastAsia="ko-KR"/>
              </w:rPr>
              <w:t xml:space="preserve">view with Futurewei. In FR2, current network </w:t>
            </w:r>
            <w:r>
              <w:rPr>
                <w:rFonts w:eastAsiaTheme="minorEastAsia"/>
                <w:sz w:val="18"/>
                <w:szCs w:val="18"/>
                <w:lang w:eastAsia="zh-CN"/>
              </w:rPr>
              <w:t>synchronization requirements cannot meet &lt;CP and also we need to consider propagation delay difference for cell edge UE.</w:t>
            </w:r>
          </w:p>
        </w:tc>
      </w:tr>
      <w:tr w:rsidR="00782FA5" w14:paraId="61656450" w14:textId="77777777">
        <w:tc>
          <w:tcPr>
            <w:tcW w:w="2405" w:type="dxa"/>
          </w:tcPr>
          <w:p w14:paraId="04EFDFFF" w14:textId="09C63DA3" w:rsidR="00782FA5" w:rsidRDefault="00782FA5" w:rsidP="0084281A">
            <w:pPr>
              <w:rPr>
                <w:rFonts w:eastAsia="Malgun Gothic"/>
                <w:sz w:val="18"/>
                <w:szCs w:val="18"/>
                <w:lang w:eastAsia="ko-KR"/>
              </w:rPr>
            </w:pPr>
            <w:r>
              <w:rPr>
                <w:rFonts w:eastAsia="Malgun Gothic"/>
                <w:sz w:val="18"/>
                <w:szCs w:val="18"/>
                <w:lang w:eastAsia="ko-KR"/>
              </w:rPr>
              <w:lastRenderedPageBreak/>
              <w:t>MediaTek</w:t>
            </w:r>
          </w:p>
        </w:tc>
        <w:tc>
          <w:tcPr>
            <w:tcW w:w="6655" w:type="dxa"/>
          </w:tcPr>
          <w:p w14:paraId="0170D9EF" w14:textId="15375CBA" w:rsidR="00782FA5" w:rsidRDefault="00782FA5" w:rsidP="0084281A">
            <w:pPr>
              <w:rPr>
                <w:rFonts w:eastAsia="Malgun Gothic"/>
                <w:sz w:val="18"/>
                <w:szCs w:val="18"/>
                <w:lang w:eastAsia="ko-KR"/>
              </w:rPr>
            </w:pPr>
            <w:r>
              <w:rPr>
                <w:rFonts w:eastAsia="Malgun Gothic"/>
                <w:sz w:val="18"/>
                <w:szCs w:val="18"/>
                <w:lang w:eastAsia="ko-KR"/>
              </w:rPr>
              <w:t>Support</w:t>
            </w:r>
          </w:p>
        </w:tc>
      </w:tr>
      <w:tr w:rsidR="00E07C2A" w14:paraId="497B2EC7" w14:textId="77777777">
        <w:tc>
          <w:tcPr>
            <w:tcW w:w="2405" w:type="dxa"/>
          </w:tcPr>
          <w:p w14:paraId="4BCDEFF8" w14:textId="63149309" w:rsidR="00E07C2A" w:rsidRDefault="00E07C2A" w:rsidP="0084281A">
            <w:pPr>
              <w:rPr>
                <w:rFonts w:eastAsia="Malgun Gothic"/>
                <w:sz w:val="18"/>
                <w:szCs w:val="18"/>
                <w:lang w:eastAsia="ko-KR"/>
              </w:rPr>
            </w:pPr>
            <w:r>
              <w:rPr>
                <w:rFonts w:eastAsia="Malgun Gothic"/>
                <w:sz w:val="18"/>
                <w:szCs w:val="18"/>
                <w:lang w:eastAsia="ko-KR"/>
              </w:rPr>
              <w:t>Samsung</w:t>
            </w:r>
          </w:p>
        </w:tc>
        <w:tc>
          <w:tcPr>
            <w:tcW w:w="6655" w:type="dxa"/>
          </w:tcPr>
          <w:p w14:paraId="367BE133" w14:textId="00DD9B40" w:rsidR="00E07C2A" w:rsidRDefault="00E07C2A" w:rsidP="0084281A">
            <w:pPr>
              <w:rPr>
                <w:rFonts w:eastAsia="Malgun Gothic"/>
                <w:sz w:val="18"/>
                <w:szCs w:val="18"/>
                <w:lang w:eastAsia="ko-KR"/>
              </w:rPr>
            </w:pPr>
            <w:r>
              <w:rPr>
                <w:rFonts w:eastAsia="Malgun Gothic"/>
                <w:sz w:val="18"/>
                <w:szCs w:val="18"/>
                <w:lang w:eastAsia="ko-KR"/>
              </w:rPr>
              <w:t>We are fine with the conclusion.</w:t>
            </w:r>
          </w:p>
        </w:tc>
      </w:tr>
      <w:tr w:rsidR="0051479E" w14:paraId="475D0F7C" w14:textId="77777777">
        <w:tc>
          <w:tcPr>
            <w:tcW w:w="2405" w:type="dxa"/>
          </w:tcPr>
          <w:p w14:paraId="2B8B6BDF" w14:textId="3B8B288C" w:rsidR="0051479E" w:rsidRPr="0051479E" w:rsidRDefault="0051479E" w:rsidP="0084281A">
            <w:pPr>
              <w:rPr>
                <w:rFonts w:eastAsiaTheme="minorEastAsia"/>
                <w:sz w:val="18"/>
                <w:szCs w:val="18"/>
                <w:lang w:eastAsia="zh-CN"/>
              </w:rPr>
            </w:pPr>
            <w:r>
              <w:rPr>
                <w:rFonts w:eastAsiaTheme="minorEastAsia" w:hint="eastAsia"/>
                <w:sz w:val="18"/>
                <w:szCs w:val="18"/>
                <w:lang w:eastAsia="zh-CN"/>
              </w:rPr>
              <w:t>Xiaomi</w:t>
            </w:r>
          </w:p>
        </w:tc>
        <w:tc>
          <w:tcPr>
            <w:tcW w:w="6655" w:type="dxa"/>
          </w:tcPr>
          <w:p w14:paraId="1EB60150" w14:textId="20CEE09A" w:rsidR="0051479E" w:rsidRDefault="0051479E" w:rsidP="0084281A">
            <w:pPr>
              <w:rPr>
                <w:rFonts w:eastAsia="Malgun Gothic"/>
                <w:sz w:val="18"/>
                <w:szCs w:val="18"/>
                <w:lang w:eastAsia="ko-KR"/>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conclusion</w:t>
            </w: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5" w:author="ZTE" w:date="2021-01-24T22:55:00Z"/>
          <w:rFonts w:eastAsiaTheme="minorEastAsia"/>
          <w:iCs/>
          <w:lang w:eastAsia="zh-CN"/>
        </w:rPr>
      </w:pPr>
      <w:del w:id="6"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NZP-CSI-RS-ResourceSet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(failureDetectionResources)</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7"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8"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lastRenderedPageBreak/>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lastRenderedPageBreak/>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r w:rsidR="00E07C2A" w14:paraId="17744714" w14:textId="77777777">
        <w:tc>
          <w:tcPr>
            <w:tcW w:w="2122" w:type="dxa"/>
          </w:tcPr>
          <w:p w14:paraId="1061D54E" w14:textId="76BEFD88" w:rsidR="00E07C2A" w:rsidRDefault="00E07C2A">
            <w:pPr>
              <w:rPr>
                <w:rFonts w:eastAsiaTheme="minorEastAsia"/>
                <w:sz w:val="18"/>
                <w:szCs w:val="18"/>
                <w:lang w:eastAsia="zh-CN"/>
              </w:rPr>
            </w:pPr>
            <w:r>
              <w:rPr>
                <w:rFonts w:eastAsiaTheme="minorEastAsia"/>
                <w:sz w:val="18"/>
                <w:szCs w:val="18"/>
                <w:lang w:eastAsia="zh-CN"/>
              </w:rPr>
              <w:t>Samsung</w:t>
            </w:r>
          </w:p>
        </w:tc>
        <w:tc>
          <w:tcPr>
            <w:tcW w:w="6938" w:type="dxa"/>
          </w:tcPr>
          <w:p w14:paraId="1440DD3E" w14:textId="745873D9" w:rsidR="00E07C2A" w:rsidRDefault="00E07C2A">
            <w:pPr>
              <w:rPr>
                <w:rFonts w:eastAsiaTheme="minorEastAsia"/>
                <w:sz w:val="18"/>
                <w:szCs w:val="18"/>
                <w:lang w:eastAsia="zh-CN"/>
              </w:rPr>
            </w:pPr>
            <w:r>
              <w:rPr>
                <w:rFonts w:eastAsiaTheme="minorEastAsia"/>
                <w:sz w:val="18"/>
                <w:szCs w:val="18"/>
                <w:lang w:eastAsia="zh-CN"/>
              </w:rPr>
              <w:t>We are OK to discuss the association with the CORESETPoolIndex</w:t>
            </w:r>
          </w:p>
        </w:tc>
      </w:tr>
      <w:tr w:rsidR="0051479E" w14:paraId="5810B70A" w14:textId="77777777">
        <w:tc>
          <w:tcPr>
            <w:tcW w:w="2122" w:type="dxa"/>
          </w:tcPr>
          <w:p w14:paraId="0667C6B9" w14:textId="36801AC0" w:rsidR="0051479E" w:rsidRDefault="0051479E" w:rsidP="0051479E">
            <w:pPr>
              <w:rPr>
                <w:rFonts w:eastAsiaTheme="minorEastAsia"/>
                <w:sz w:val="18"/>
                <w:szCs w:val="18"/>
                <w:lang w:eastAsia="zh-CN"/>
              </w:rPr>
            </w:pPr>
            <w:r>
              <w:rPr>
                <w:rFonts w:eastAsiaTheme="minorEastAsia" w:hint="eastAsia"/>
                <w:sz w:val="18"/>
                <w:szCs w:val="18"/>
                <w:lang w:eastAsia="zh-CN"/>
              </w:rPr>
              <w:t>Xiaomi</w:t>
            </w:r>
          </w:p>
        </w:tc>
        <w:tc>
          <w:tcPr>
            <w:tcW w:w="6938" w:type="dxa"/>
          </w:tcPr>
          <w:p w14:paraId="563F5E47" w14:textId="7B3D99E6" w:rsidR="0051479E" w:rsidRDefault="0051479E" w:rsidP="0051479E">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are fine to discuss the association between CORESET pool and physical cell ID, as well as the </w:t>
            </w:r>
            <w:r w:rsidR="00764577">
              <w:rPr>
                <w:rFonts w:eastAsiaTheme="minorEastAsia"/>
                <w:sz w:val="18"/>
                <w:szCs w:val="18"/>
                <w:lang w:eastAsia="zh-CN"/>
              </w:rPr>
              <w:t xml:space="preserve">between the </w:t>
            </w:r>
            <w:r>
              <w:rPr>
                <w:rFonts w:eastAsiaTheme="minorEastAsia"/>
                <w:sz w:val="18"/>
                <w:szCs w:val="18"/>
                <w:lang w:eastAsia="zh-CN"/>
              </w:rPr>
              <w:t>CSS</w:t>
            </w:r>
            <w:r w:rsidR="00764577">
              <w:rPr>
                <w:rFonts w:eastAsiaTheme="minorEastAsia"/>
                <w:sz w:val="18"/>
                <w:szCs w:val="18"/>
                <w:lang w:eastAsia="zh-CN"/>
              </w:rPr>
              <w:t xml:space="preserve"> and serving cell or non-serving cell</w:t>
            </w:r>
            <w:r>
              <w:rPr>
                <w:rFonts w:eastAsiaTheme="minorEastAsia"/>
                <w:sz w:val="18"/>
                <w:szCs w:val="18"/>
                <w:lang w:eastAsia="zh-CN"/>
              </w:rPr>
              <w:t xml:space="preserve">. </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275D84">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275D84">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9" w:name="_Hlk53685040"/>
            <w:r>
              <w:rPr>
                <w:rFonts w:eastAsia="Times New Roman" w:cs="Times"/>
                <w:bCs/>
                <w:i/>
                <w:color w:val="000000"/>
                <w:sz w:val="22"/>
                <w:szCs w:val="22"/>
                <w:lang w:eastAsia="ko-KR"/>
              </w:rPr>
              <w:t xml:space="preserve">Inter-cell M-TRP is supported </w:t>
            </w:r>
            <w:bookmarkEnd w:id="9"/>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lastRenderedPageBreak/>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275D84">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275D84">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lastRenderedPageBreak/>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275D84">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lastRenderedPageBreak/>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RS that are QCL’ed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275D84">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6"/>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6"/>
              <w:rPr>
                <w:b/>
              </w:rPr>
            </w:pPr>
            <w:r>
              <w:rPr>
                <w:b/>
              </w:rPr>
              <w:t>Proposal #2: Consider mobility CSI-RS for QCL type C/D source of TRS/CSI-RS as well.</w:t>
            </w:r>
          </w:p>
          <w:p w14:paraId="6840F99A" w14:textId="77777777" w:rsidR="00AB0763" w:rsidRDefault="003572A8" w:rsidP="00A41CD8">
            <w:pPr>
              <w:ind w:firstLineChars="193" w:firstLine="386"/>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6"/>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(PhysCellId)</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(ssb-PositionsInBurst, ssb-periodicityServingCell)</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(subcarrierSpacing)</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(absoluteFrequencySSB)</w:t>
            </w:r>
          </w:p>
          <w:p w14:paraId="0BDAC9BF" w14:textId="77777777" w:rsidR="00AB0763" w:rsidRDefault="003572A8">
            <w:pPr>
              <w:rPr>
                <w:b/>
                <w:bCs/>
                <w:i/>
                <w:iCs/>
              </w:rPr>
            </w:pPr>
            <w:bookmarkStart w:id="10" w:name="_References"/>
            <w:bookmarkEnd w:id="10"/>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NZP-CSI-RS-ResourceSet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(failureDetectionResources)</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275D84">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SubcarrierSpacing</w:t>
            </w:r>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275D84">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275D84">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Caption"/>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lastRenderedPageBreak/>
              <w:t xml:space="preserve">Proposal </w:t>
            </w:r>
            <w:r>
              <w:rPr>
                <w:lang w:val="en-US"/>
              </w:rPr>
              <w:t xml:space="preserve">5: </w:t>
            </w:r>
            <w:r>
              <w:rPr>
                <w:iCs/>
                <w:lang w:val="en-US"/>
              </w:rPr>
              <w:t xml:space="preserve">For inter-cell multi-DCI based multi-TRP support, the CORESETs of non-serving cell are pooled under the same CORESETpoolIndex.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275D84">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275D84">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275D84">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275D84">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275D84">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275D84">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275D84">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275D84">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Dedicated PDCCH and PDSCH reception associated with an additional cell shall be supported by reusing the Multi-DCI Multi-TRP framework</w:t>
              </w:r>
            </w:hyperlink>
          </w:p>
          <w:p w14:paraId="22FEE3FC" w14:textId="77777777" w:rsidR="00AB0763" w:rsidRDefault="00275D84">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275D84">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275D84">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lastRenderedPageBreak/>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275D84">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275D84">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lastRenderedPageBreak/>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51D8D" w14:textId="77777777" w:rsidR="00275D84" w:rsidRDefault="00275D84">
      <w:pPr>
        <w:spacing w:after="0"/>
      </w:pPr>
      <w:r>
        <w:separator/>
      </w:r>
    </w:p>
  </w:endnote>
  <w:endnote w:type="continuationSeparator" w:id="0">
    <w:p w14:paraId="3D329F79" w14:textId="77777777" w:rsidR="00275D84" w:rsidRDefault="00275D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33A7C" w14:textId="77777777" w:rsidR="00275D84" w:rsidRDefault="00275D84">
      <w:pPr>
        <w:spacing w:after="0"/>
      </w:pPr>
      <w:r>
        <w:separator/>
      </w:r>
    </w:p>
  </w:footnote>
  <w:footnote w:type="continuationSeparator" w:id="0">
    <w:p w14:paraId="4B7860B0" w14:textId="77777777" w:rsidR="00275D84" w:rsidRDefault="00275D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47E92" w14:textId="77777777" w:rsidR="00A07C97" w:rsidRDefault="00A07C9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4E93"/>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5D84"/>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801"/>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262"/>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79E"/>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2BBE"/>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92"/>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9C4"/>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77"/>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5FCC"/>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86A"/>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5FF"/>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07C97"/>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59F"/>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3895"/>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4E44"/>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2A"/>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10"/>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0CEF"/>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01F"/>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E9"/>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CCD24-BC51-4440-BADA-98110547B41E}">
  <ds:schemaRefs>
    <ds:schemaRef ds:uri="http://schemas.openxmlformats.org/officeDocument/2006/bibliography"/>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10FAFA-ED2D-4D31-AF58-A1D4338FC7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7522</Words>
  <Characters>42879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Alex Liou</cp:lastModifiedBy>
  <cp:revision>12</cp:revision>
  <cp:lastPrinted>2011-08-03T09:36:00Z</cp:lastPrinted>
  <dcterms:created xsi:type="dcterms:W3CDTF">2021-01-27T11:32:00Z</dcterms:created>
  <dcterms:modified xsi:type="dcterms:W3CDTF">2021-01-27T11:45:00Z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