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9DC5" w14:textId="77777777" w:rsidR="00E43272" w:rsidRPr="00DB76C3" w:rsidRDefault="00E43272" w:rsidP="00B770E6">
      <w:pPr>
        <w:pStyle w:val="af5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6.1pt" o:ole="">
            <v:imagedata r:id="rId12" o:title=""/>
          </v:shape>
          <o:OLEObject Type="Embed" ProgID="Equation.3" ShapeID="_x0000_i1025" DrawAspect="Content" ObjectID="_1673181557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宋体" w:hAnsi="宋体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BatangChe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5D9D862E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Malgun Gothic" w:cs="Times"/>
                <w:lang w:val="en-US" w:eastAsia="ko-KR"/>
              </w:rPr>
              <w:t xml:space="preserve">Q1: We agree with the issue, but prefer different CR version if necessity of CR is valid for all companies. Simply, proposed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</w:t>
            </w:r>
            <w:r w:rsidR="00E8497A">
              <w:rPr>
                <w:sz w:val="21"/>
                <w:szCs w:val="21"/>
                <w:lang w:eastAsia="zh-CN"/>
              </w:rPr>
              <w:t>e to suggest followings (one for Rel-15, the other for Rel-16)</w:t>
            </w:r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757DF30" w14:textId="638CC43D" w:rsidR="003A45F5" w:rsidRPr="00580F44" w:rsidRDefault="003A45F5" w:rsidP="00E41B38">
                  <w:pPr>
                    <w:rPr>
                      <w:rFonts w:eastAsia="Malgun Gothic"/>
                      <w:b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lang w:eastAsia="ko-KR"/>
                    </w:rPr>
                    <w:t>&lt;TP 1 for Rel-15&gt;</w:t>
                  </w:r>
                </w:p>
                <w:p w14:paraId="2D633FFB" w14:textId="2D801FFC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"cid:image001.png@01D6EE4B.ABA910B0" \* MERGEFORMATINET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1D641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026" type="#_x0000_t75" style="width:38.15pt;height:20.95pt;visibility:visible">
                        <v:imagedata r:id="rId14" r:href="rId15"/>
                      </v:shape>
                    </w:pic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"cid:image003.png@01D6EE4B.ABA910B0" \* MERGEFORMATINET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1D641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027" type="#_x0000_t75" style="width:55.9pt;height:22.55pt;visibility:visible">
                        <v:imagedata r:id="rId16" r:href="rId17"/>
                      </v:shape>
                    </w:pic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"cid:image005.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png@01D6EE4B.ABA910B0" \* MERGEFORMATINET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1D641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028" type="#_x0000_t75" style="width:105.85pt;height:23.1pt;visibility:visible">
                        <v:imagedata r:id="rId18" r:href="rId19"/>
                      </v:shape>
                    </w:pic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"cid:image006.png@01D6EE4B.ABA910B0" \* MERGEFORMATINET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1D6416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029" type="#_x0000_t75" style="width:18.8pt;height:22.55pt;visibility:visible">
                        <v:imagedata r:id="rId20" r:href="rId21"/>
                      </v:shape>
                    </w:pic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"cid:image008.png@01D6EE4B.ABA910B0" \* MERGEFORMATINET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1D641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030" type="#_x0000_t75" style="width:27.4pt;height:18.25pt;visibility:visible">
                        <v:imagedata r:id="rId22" r:href="rId23"/>
                      </v:shape>
                    </w:pic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="001B2F6C">
                    <w:rPr>
                      <w:noProof/>
                      <w:lang w:val="en-US" w:eastAsia="ko-KR"/>
                    </w:rPr>
                    <w:fldChar w:fldCharType="begin"/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noProof/>
                      <w:lang w:val="en-US" w:eastAsia="ko-KR"/>
                    </w:rPr>
                    <w:fldChar w:fldCharType="separate"/>
                  </w:r>
                  <w:r w:rsidR="0096330A">
                    <w:rPr>
                      <w:noProof/>
                      <w:lang w:val="en-US" w:eastAsia="ko-KR"/>
                    </w:rPr>
                    <w:fldChar w:fldCharType="begin"/>
                  </w:r>
                  <w:r w:rsidR="0096330A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noProof/>
                      <w:lang w:val="en-US" w:eastAsia="ko-KR"/>
                    </w:rPr>
                    <w:instrText>INCLUDEPICTURE  "cid:image006.png@01D6EE4B.ABA910B0" \* MERGEFORMATINET</w:instrText>
                  </w:r>
                  <w:r w:rsidR="0096330A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noProof/>
                      <w:lang w:val="en-US" w:eastAsia="ko-KR"/>
                    </w:rPr>
                    <w:fldChar w:fldCharType="separate"/>
                  </w:r>
                  <w:r w:rsidR="001D6416">
                    <w:rPr>
                      <w:noProof/>
                      <w:lang w:val="en-US" w:eastAsia="ko-KR"/>
                    </w:rPr>
                    <w:pict w14:anchorId="02B51D35">
                      <v:shape id="_x0000_i1031" type="#_x0000_t75" style="width:18.8pt;height:22.55pt;visibility:visible">
                        <v:imagedata r:id="rId20" r:href="rId24"/>
                      </v:shape>
                    </w:pict>
                  </w:r>
                  <w:r w:rsidR="0096330A">
                    <w:rPr>
                      <w:noProof/>
                      <w:lang w:val="en-US" w:eastAsia="ko-KR"/>
                    </w:rPr>
                    <w:fldChar w:fldCharType="end"/>
                  </w:r>
                  <w:r w:rsidR="001B2F6C">
                    <w:rPr>
                      <w:noProof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"cid:image010.png@01D6EE4B.ABA910B0" \* MERGEFORMATINET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1D6416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032" type="#_x0000_t75" style="width:9.65pt;height:18.25pt;visibility:visible">
                        <v:imagedata r:id="rId25" r:href="rId26"/>
                      </v:shape>
                    </w:pic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3BA6AF1F" w14:textId="77777777" w:rsidR="00E41B38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  <w:p w14:paraId="06587A51" w14:textId="195E79DC" w:rsidR="003A45F5" w:rsidRPr="00580F44" w:rsidRDefault="003A45F5" w:rsidP="00E41B38">
                  <w:pPr>
                    <w:wordWrap w:val="0"/>
                    <w:rPr>
                      <w:rFonts w:eastAsia="Malgun Gothic"/>
                      <w:b/>
                      <w:sz w:val="21"/>
                      <w:szCs w:val="21"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sz w:val="21"/>
                      <w:szCs w:val="21"/>
                      <w:lang w:eastAsia="ko-KR"/>
                    </w:rPr>
                    <w:t>&lt;TP 2 for Rel-16&gt;</w:t>
                  </w:r>
                </w:p>
                <w:p w14:paraId="7CF05C08" w14:textId="77777777" w:rsidR="003A45F5" w:rsidRDefault="003A45F5" w:rsidP="003A45F5">
                  <w:r w:rsidRPr="00130E1E">
                    <w:t>The UE reports HARQ-</w:t>
                  </w:r>
                  <w:r w:rsidRPr="00DD087B">
                    <w:t>ACK information for a PDSCH reception</w:t>
                  </w:r>
                </w:p>
                <w:p w14:paraId="2C079BD0" w14:textId="5B995C93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trike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trike/>
                          </w:rPr>
                          <m:t>n-N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repeat</m:t>
                        </m:r>
                      </m:sup>
                    </m:sSubSup>
                    <m:r>
                      <w:rPr>
                        <w:rFonts w:ascii="Cambria Math" w:hAnsi="Cambria Math"/>
                        <w:strike/>
                      </w:rPr>
                      <m:t>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1680" w:dyaOrig="380" w14:anchorId="6F60E2C8">
                      <v:shape id="_x0000_i1033" type="#_x0000_t75" style="width:82.2pt;height:19.9pt" o:ole="">
                        <v:imagedata r:id="rId27" o:title=""/>
                      </v:shape>
                      <o:OLEObject Type="Embed" ProgID="Equation.3" ShapeID="_x0000_i1033" DrawAspect="Content" ObjectID="_1673181558" r:id="rId28"/>
                    </w:object>
                  </w:r>
                  <w:r w:rsidRPr="007F4984">
                    <w:t xml:space="preserve"> </w: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23CF1D07">
                      <v:shape id="_x0000_i1034" type="#_x0000_t75" style="width:15.05pt;height:18.25pt" o:ole="">
                        <v:imagedata r:id="rId29" o:title=""/>
                      </v:shape>
                      <o:OLEObject Type="Embed" ProgID="Equation.3" ShapeID="_x0000_i1034" DrawAspect="Content" ObjectID="_1673181559" r:id="rId30"/>
                    </w:object>
                  </w:r>
                  <w:r w:rsidRPr="00DD087B">
                    <w:rPr>
                      <w:lang w:eastAsia="ko-KR"/>
                    </w:rPr>
                    <w:t>,</w:t>
                  </w:r>
                  <w:r w:rsidRPr="00DD087B">
                    <w:t xml:space="preserve"> </w:t>
                  </w:r>
                  <w:r w:rsidRPr="00FE19A5">
                    <w:rPr>
                      <w:lang w:val="en-US"/>
                    </w:rPr>
                    <w:t>if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repeat</m:t>
                        </m:r>
                      </m:sup>
                    </m:sSubSup>
                  </m:oMath>
                  <w:r w:rsidRPr="00FE19A5">
                    <w:rPr>
                      <w:rFonts w:cs="Times"/>
                    </w:rPr>
                    <w:t xml:space="preserve"> is </w:t>
                  </w:r>
                  <w:r w:rsidRPr="00FE19A5">
                    <w:rPr>
                      <w:rFonts w:cs="Times"/>
                      <w:lang w:val="en-US"/>
                    </w:rPr>
                    <w:t>provided by</w:t>
                  </w:r>
                  <w:r w:rsidRPr="00FE19A5">
                    <w:rPr>
                      <w:rFonts w:cs="Times"/>
                    </w:rPr>
                    <w:t xml:space="preserve"> </w:t>
                  </w:r>
                  <w:r w:rsidRPr="00FE19A5">
                    <w:rPr>
                      <w:rFonts w:cs="Times"/>
                      <w:i/>
                      <w:iCs/>
                    </w:rPr>
                    <w:t>pdsch-AggregationFactor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w:r>
                    <w:rPr>
                      <w:rFonts w:cs="Times"/>
                      <w:lang w:val="en-US"/>
                    </w:rPr>
                    <w:t xml:space="preserve">or </w:t>
                  </w:r>
                  <w:r w:rsidRPr="00D1272A">
                    <w:rPr>
                      <w:i/>
                      <w:iCs/>
                    </w:rPr>
                    <w:t>pdsch-AggregationFactor</w:t>
                  </w:r>
                  <w:r>
                    <w:rPr>
                      <w:i/>
                      <w:iCs/>
                    </w:rPr>
                    <w:t>-r16</w:t>
                  </w:r>
                  <w:r w:rsidRPr="00FE19A5">
                    <w:rPr>
                      <w:rFonts w:cs="Times"/>
                      <w:lang w:val="en-US"/>
                    </w:rPr>
                    <w:t xml:space="preserve"> [6, TS 38.214]</w:t>
                  </w:r>
                  <w:r>
                    <w:t>, or</w:t>
                  </w:r>
                  <w:r w:rsidRPr="00DD087B">
                    <w:t xml:space="preserve"> </w:t>
                  </w:r>
                </w:p>
                <w:p w14:paraId="3AF14C9C" w14:textId="73EADC45" w:rsidR="003A45F5" w:rsidRDefault="003A45F5" w:rsidP="003A45F5">
                  <w:pPr>
                    <w:pStyle w:val="B10"/>
                    <w:rPr>
                      <w:lang w:eastAsia="ko-KR"/>
                    </w:rPr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n-repetitionNumber+1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3000" w:dyaOrig="360" w14:anchorId="2487683D">
                      <v:shape id="_x0000_i1035" type="#_x0000_t75" style="width:147.2pt;height:18.8pt" o:ole="">
                        <v:imagedata r:id="rId31" o:title=""/>
                      </v:shape>
                      <o:OLEObject Type="Embed" ProgID="Equation.3" ShapeID="_x0000_i1035" DrawAspect="Content" ObjectID="_1673181560" r:id="rId32"/>
                    </w:objec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1F7A110">
                      <v:shape id="_x0000_i1036" type="#_x0000_t75" style="width:15.05pt;height:18.25pt" o:ole="">
                        <v:imagedata r:id="rId29" o:title=""/>
                      </v:shape>
                      <o:OLEObject Type="Embed" ProgID="Equation.3" ShapeID="_x0000_i1036" DrawAspect="Content" ObjectID="_1673181561" r:id="rId33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t xml:space="preserve"> </w:t>
                  </w:r>
                  <w:r>
                    <w:rPr>
                      <w:lang w:eastAsia="ko-KR"/>
                    </w:rPr>
                    <w:t xml:space="preserve">if the </w:t>
                  </w:r>
                  <w:r>
                    <w:rPr>
                      <w:iCs/>
                      <w:lang w:val="en-US" w:eastAsia="ko-KR"/>
                    </w:rPr>
                    <w:t>t</w:t>
                  </w:r>
                  <w:r w:rsidRPr="00D86CB3">
                    <w:rPr>
                      <w:iCs/>
                      <w:lang w:eastAsia="ko-KR"/>
                    </w:rPr>
                    <w:t>ime domain resource assignment</w:t>
                  </w:r>
                  <w:r w:rsidRPr="00DD087B">
                    <w:rPr>
                      <w:lang w:eastAsia="ko-KR"/>
                    </w:rPr>
                    <w:t xml:space="preserve"> </w:t>
                  </w:r>
                  <w:r>
                    <w:rPr>
                      <w:lang w:val="en-US" w:eastAsia="ko-KR"/>
                    </w:rPr>
                    <w:t xml:space="preserve">field </w:t>
                  </w:r>
                  <w:r>
                    <w:rPr>
                      <w:lang w:eastAsia="ko-KR"/>
                    </w:rPr>
                    <w:t xml:space="preserve">in the DCI format scheduling the PDSCH reception </w:t>
                  </w:r>
                  <w:r w:rsidRPr="00DD087B">
                    <w:rPr>
                      <w:lang w:eastAsia="ko-KR"/>
                    </w:rPr>
                    <w:t xml:space="preserve">indicates an entry containing </w:t>
                  </w:r>
                  <w:r w:rsidRPr="00B03A96">
                    <w:rPr>
                      <w:i/>
                      <w:iCs/>
                      <w:lang w:val="en-US" w:eastAsia="zh-CN"/>
                    </w:rPr>
                    <w:t>repetitionNumber</w:t>
                  </w:r>
                  <w:r w:rsidRPr="00DD087B">
                    <w:rPr>
                      <w:i/>
                      <w:iCs/>
                      <w:lang w:eastAsia="ko-KR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or </w:t>
                  </w:r>
                </w:p>
                <w:p w14:paraId="5614D28A" w14:textId="0E8D4949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rPr>
                      <w:lang w:eastAsia="ko-KR"/>
                    </w:rPr>
                    <w:t xml:space="preserve">in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rPr>
                      <w:lang w:eastAsia="ko-KR"/>
                    </w:rPr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FE3BB17">
                      <v:shape id="_x0000_i1037" type="#_x0000_t75" style="width:15.05pt;height:18.25pt" o:ole="">
                        <v:imagedata r:id="rId29" o:title=""/>
                      </v:shape>
                      <o:OLEObject Type="Embed" ProgID="Equation.3" ShapeID="_x0000_i1037" DrawAspect="Content" ObjectID="_1673181562" r:id="rId34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otherwise</w:t>
                  </w:r>
                  <w:r w:rsidRPr="007F4984">
                    <w:t xml:space="preserve"> </w:t>
                  </w:r>
                </w:p>
                <w:p w14:paraId="539A4B56" w14:textId="181C9E09" w:rsidR="003A45F5" w:rsidRPr="003A45F5" w:rsidRDefault="003A45F5" w:rsidP="009C7253">
                  <w:pPr>
                    <w:rPr>
                      <w:rFonts w:eastAsia="Malgun Gothic"/>
                      <w:sz w:val="21"/>
                      <w:szCs w:val="21"/>
                      <w:lang w:eastAsia="ko-KR"/>
                    </w:rPr>
                  </w:pPr>
                  <w:r w:rsidRPr="007F4984">
                    <w:t xml:space="preserve">only in a HARQ-ACK codebook that the UE includes in a PUCCH or PUSCH transmission in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where</w:t>
                  </w:r>
                  <w:r>
                    <w:t xml:space="preserve"> </w:t>
                  </w:r>
                  <w:r w:rsidRPr="003A45F5">
                    <w:rPr>
                      <w:highlight w:val="yellow"/>
                    </w:rPr>
                    <w:t xml:space="preserve">n is an UL slot overlapping with the end of the PDSCH reception in DL slot </w:t>
                  </w:r>
                  <w:r w:rsidRPr="003A45F5">
                    <w:rPr>
                      <w:position w:val="-10"/>
                      <w:highlight w:val="yellow"/>
                    </w:rPr>
                    <w:object w:dxaOrig="300" w:dyaOrig="360" w14:anchorId="039E4D01">
                      <v:shape id="_x0000_i1038" type="#_x0000_t75" style="width:15.05pt;height:18.25pt" o:ole="">
                        <v:imagedata r:id="rId29" o:title=""/>
                      </v:shape>
                      <o:OLEObject Type="Embed" ProgID="Equation.3" ShapeID="_x0000_i1038" DrawAspect="Content" ObjectID="_1673181563" r:id="rId35"/>
                    </w:object>
                  </w:r>
                  <w:r w:rsidRPr="003A45F5">
                    <w:rPr>
                      <w:highlight w:val="yellow"/>
                    </w:rPr>
                    <w:t xml:space="preserve"> and </w:t>
                  </w:r>
                  <w:r w:rsidRPr="007F4984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k</m:t>
                    </m:r>
                  </m:oMath>
                  <w:r w:rsidRPr="007F4984">
                    <w:t xml:space="preserve"> is a number of slots indicated by the PDSCH-to-HARQ_feedback timing indicator field in a corresponding DCI format or provided by </w:t>
                  </w:r>
                  <w:r w:rsidRPr="007F4984">
                    <w:rPr>
                      <w:i/>
                    </w:rPr>
                    <w:t>dl-DataToUL-ACK</w:t>
                  </w:r>
                  <w:r w:rsidRPr="007F4984">
                    <w:rPr>
                      <w:rFonts w:hint="eastAsia"/>
                      <w:lang w:val="en-US" w:eastAsia="zh-CN"/>
                    </w:rPr>
                    <w:t xml:space="preserve"> </w:t>
                  </w:r>
                  <w:r w:rsidRPr="007F4984">
                    <w:rPr>
                      <w:lang w:val="en-US" w:eastAsia="zh-CN"/>
                    </w:rPr>
                    <w:t>if the PDSCH-to-HARQ</w:t>
                  </w:r>
                  <w:r>
                    <w:rPr>
                      <w:lang w:val="en-US" w:eastAsia="zh-CN"/>
                    </w:rPr>
                    <w:t>_</w:t>
                  </w:r>
                  <w:r w:rsidRPr="007F4984">
                    <w:rPr>
                      <w:lang w:val="en-US" w:eastAsia="zh-CN"/>
                    </w:rPr>
                    <w:t>feedback timing</w:t>
                  </w:r>
                  <w:r>
                    <w:rPr>
                      <w:lang w:val="en-US" w:eastAsia="zh-CN"/>
                    </w:rPr>
                    <w:t xml:space="preserve"> indicator</w:t>
                  </w:r>
                  <w:r w:rsidRPr="007F4984">
                    <w:rPr>
                      <w:lang w:val="en-US" w:eastAsia="zh-CN"/>
                    </w:rPr>
                    <w:t xml:space="preserve"> field is not present in the DCI format</w:t>
                  </w:r>
                  <w:r w:rsidRPr="007F4984">
                    <w:t>. If the UE reports HARQ-ACK inform</w:t>
                  </w:r>
                  <w:r>
                    <w:t>ation for the PDSCH reception in</w:t>
                  </w:r>
                  <w:r w:rsidRPr="007F4984">
                    <w:t xml:space="preserve"> a slot other than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the UE sets a value for each corresponding HARQ-ACK information bit to NACK</w:t>
                  </w:r>
                  <w:r>
                    <w:t xml:space="preserve">. </w:t>
                  </w: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Malgun Gothic"/>
                <w:szCs w:val="20"/>
                <w:lang w:eastAsia="ko-KR"/>
              </w:rPr>
            </w:pPr>
            <w:r w:rsidRPr="002524FB">
              <w:rPr>
                <w:rFonts w:eastAsia="Malgun Gothic" w:hint="eastAsia"/>
                <w:szCs w:val="20"/>
                <w:lang w:eastAsia="ko-KR"/>
              </w:rPr>
              <w:t>Q2:</w:t>
            </w:r>
            <w:r w:rsidRPr="002524FB">
              <w:rPr>
                <w:rFonts w:eastAsia="Malgun Gothic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51EF6D09" w:rsidR="00E41B38" w:rsidRDefault="001D6416" w:rsidP="00E41B38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8502" w:type="dxa"/>
            <w:shd w:val="clear" w:color="auto" w:fill="auto"/>
          </w:tcPr>
          <w:p w14:paraId="41183237" w14:textId="438FB7D9" w:rsidR="00E41B38" w:rsidRPr="001D6416" w:rsidRDefault="001D6416" w:rsidP="001D6416">
            <w:pPr>
              <w:rPr>
                <w:rFonts w:eastAsia="等线" w:hint="eastAsia"/>
                <w:lang w:val="en-US" w:eastAsia="zh-CN"/>
              </w:rPr>
            </w:pPr>
            <w:r>
              <w:rPr>
                <w:rFonts w:eastAsia="等线" w:hint="eastAsia"/>
                <w:lang w:val="en-US" w:eastAsia="zh-CN"/>
              </w:rPr>
              <w:t>W</w:t>
            </w:r>
            <w:r>
              <w:rPr>
                <w:rFonts w:eastAsia="等线"/>
                <w:lang w:val="en-US" w:eastAsia="zh-CN"/>
              </w:rPr>
              <w:t xml:space="preserve">e agree with the issue but prefer to limit the CR to R16. </w:t>
            </w:r>
            <w:bookmarkStart w:id="3" w:name="_GoBack"/>
            <w:bookmarkEnd w:id="3"/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77777777" w:rsidR="00E41B38" w:rsidRDefault="00E41B38" w:rsidP="00E41B38">
            <w:pPr>
              <w:rPr>
                <w:lang w:val="en-US"/>
              </w:rPr>
            </w:pPr>
          </w:p>
        </w:tc>
        <w:tc>
          <w:tcPr>
            <w:tcW w:w="8502" w:type="dxa"/>
            <w:shd w:val="clear" w:color="auto" w:fill="auto"/>
          </w:tcPr>
          <w:p w14:paraId="1CA83B61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</w:tbl>
    <w:p w14:paraId="4AC0DF33" w14:textId="7777777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1"/>
      </w:pPr>
      <w:r>
        <w:t>Conclusion</w:t>
      </w:r>
    </w:p>
    <w:p w14:paraId="7466B867" w14:textId="77777777" w:rsidR="00202478" w:rsidRPr="00202478" w:rsidRDefault="00202478" w:rsidP="00202478">
      <w:r>
        <w:t>To be updated with the outcome of the email discussion.</w:t>
      </w:r>
    </w:p>
    <w:p w14:paraId="23BD3B2F" w14:textId="77777777" w:rsidR="004960E7" w:rsidRPr="004960E7" w:rsidRDefault="00E43272" w:rsidP="004960E7">
      <w:pPr>
        <w:pStyle w:val="1"/>
      </w:pPr>
      <w:r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96330A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6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96330A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DB01D" w14:textId="77777777" w:rsidR="0096330A" w:rsidRDefault="0096330A" w:rsidP="001D48A6">
      <w:r>
        <w:separator/>
      </w:r>
    </w:p>
  </w:endnote>
  <w:endnote w:type="continuationSeparator" w:id="0">
    <w:p w14:paraId="7129164E" w14:textId="77777777" w:rsidR="0096330A" w:rsidRDefault="0096330A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B7E9C" w14:textId="77777777" w:rsidR="0096330A" w:rsidRDefault="0096330A" w:rsidP="001D48A6">
      <w:r>
        <w:separator/>
      </w:r>
    </w:p>
  </w:footnote>
  <w:footnote w:type="continuationSeparator" w:id="0">
    <w:p w14:paraId="3E0162B5" w14:textId="77777777" w:rsidR="0096330A" w:rsidRDefault="0096330A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5F2B"/>
    <w:multiLevelType w:val="multilevel"/>
    <w:tmpl w:val="1E2A7B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 w15:restartNumberingAfterBreak="0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宋体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 w15:restartNumberingAfterBreak="0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131078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2F6C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16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5F5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4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30A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253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97A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0"/>
    <w:next w:val="a0"/>
    <w:link w:val="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2 Char,h2 Char"/>
    <w:basedOn w:val="a0"/>
    <w:next w:val="a0"/>
    <w:link w:val="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0"/>
    <w:next w:val="a0"/>
    <w:link w:val="3Char1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5">
    <w:name w:val="heading 5"/>
    <w:basedOn w:val="4"/>
    <w:next w:val="a0"/>
    <w:link w:val="5Char1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7">
    <w:name w:val="heading 7"/>
    <w:basedOn w:val="a0"/>
    <w:next w:val="a0"/>
    <w:link w:val="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0"/>
    <w:next w:val="a0"/>
    <w:link w:val="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0"/>
    <w:next w:val="a0"/>
    <w:link w:val="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Char">
    <w:name w:val="批注框文本 Char"/>
    <w:link w:val="a7"/>
    <w:semiHidden/>
    <w:rPr>
      <w:rFonts w:ascii="Tahoma" w:hAnsi="Tahoma" w:cs="Tahoma"/>
      <w:sz w:val="16"/>
      <w:szCs w:val="16"/>
      <w:lang w:val="en-GB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har0">
    <w:name w:val="批注主题 Char"/>
    <w:link w:val="aa"/>
    <w:semiHidden/>
    <w:rPr>
      <w:rFonts w:ascii="Times" w:hAnsi="Times"/>
      <w:b/>
      <w:bCs/>
      <w:lang w:val="en-GB"/>
    </w:rPr>
  </w:style>
  <w:style w:type="character" w:customStyle="1" w:styleId="Char1">
    <w:name w:val="页脚 Char"/>
    <w:link w:val="ab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character" w:customStyle="1" w:styleId="Char2">
    <w:name w:val="正文文本 Char"/>
    <w:aliases w:val="bt Char"/>
    <w:link w:val="ac"/>
    <w:rPr>
      <w:rFonts w:ascii="Times" w:hAnsi="Times"/>
      <w:szCs w:val="24"/>
      <w:lang w:val="en-GB"/>
    </w:rPr>
  </w:style>
  <w:style w:type="character" w:customStyle="1" w:styleId="2Char0">
    <w:name w:val="正文文本 2 Char"/>
    <w:link w:val="20"/>
    <w:rPr>
      <w:rFonts w:ascii="Times" w:hAnsi="Times"/>
      <w:szCs w:val="24"/>
      <w:lang w:val="en-GB" w:eastAsia="en-US"/>
    </w:rPr>
  </w:style>
  <w:style w:type="character" w:customStyle="1" w:styleId="2Char">
    <w:name w:val="标题 2 Char"/>
    <w:aliases w:val="H2 Char1,h2 Char1,Head2A Char,2 Char,UNDERRUBRIK 1-2 Char,DO NOT USE_h2 Char,h21 Char,H2 Char Char,h2 Char Char"/>
    <w:link w:val="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Char3">
    <w:name w:val="日期 Char"/>
    <w:link w:val="ad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8Char">
    <w:name w:val="标题 8 Char"/>
    <w:link w:val="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0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character" w:customStyle="1" w:styleId="Char4">
    <w:name w:val="列出段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e"/>
    <w:uiPriority w:val="34"/>
    <w:qFormat/>
    <w:rPr>
      <w:rFonts w:ascii="Times" w:hAnsi="Times"/>
      <w:szCs w:val="24"/>
      <w:lang w:val="en-GB"/>
    </w:rPr>
  </w:style>
  <w:style w:type="character" w:customStyle="1" w:styleId="7Char">
    <w:name w:val="标题 7 Char"/>
    <w:link w:val="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customStyle="1" w:styleId="9Char">
    <w:name w:val="标题 9 Char"/>
    <w:link w:val="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Char5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f0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har6">
    <w:name w:val="题注 Char"/>
    <w:aliases w:val="cap Char3,cap Char Char2,Caption Char1 Char Char1,cap Char Char1 Char1,Caption Char Char1 Char Char1,cap Char2 Char1"/>
    <w:link w:val="af1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6Char">
    <w:name w:val="标题 6 Char"/>
    <w:link w:val="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3Char1">
    <w:name w:val="标题 3 Char1"/>
    <w:aliases w:val="no break Char2,H3 Char2,Underrubrik2 Char2,h3 Char2,Memo Heading 3 Char2,hello Char2,Titre 3 Car Char2,no break Car Char2,H3 Car Char2,Underrubrik2 Car Char2,h3 Car Char2,Memo Heading 3 Car Char2,hello Car Char2,Heading 3 Char Car Char2"/>
    <w:link w:val="3"/>
    <w:rPr>
      <w:rFonts w:ascii="Arial" w:hAnsi="Arial"/>
      <w:b/>
      <w:szCs w:val="26"/>
      <w:lang w:val="en-GB" w:eastAsia="en-US"/>
    </w:rPr>
  </w:style>
  <w:style w:type="character" w:customStyle="1" w:styleId="Char7">
    <w:name w:val="纯文本 Char"/>
    <w:link w:val="af2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宋体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宋体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Char8">
    <w:name w:val="脚注文本 Char"/>
    <w:link w:val="af3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5Char1">
    <w:name w:val="标题 5 Char1"/>
    <w:link w:val="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">
    <w:name w:val="标题 5 Char"/>
    <w:aliases w:val="H5 Char1"/>
    <w:link w:val="51"/>
    <w:rPr>
      <w:rFonts w:ascii="Arial" w:hAnsi="Arial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Pr>
      <w:rFonts w:ascii="Arial" w:hAnsi="Arial"/>
      <w:b/>
      <w:i/>
      <w:szCs w:val="26"/>
      <w:lang w:val="en-GB" w:eastAsia="en-US"/>
    </w:rPr>
  </w:style>
  <w:style w:type="character" w:customStyle="1" w:styleId="Char9">
    <w:name w:val="文档结构图 Char"/>
    <w:link w:val="af4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a">
    <w:name w:val="批注文字 Char"/>
    <w:link w:val="af5"/>
    <w:qFormat/>
    <w:rPr>
      <w:rFonts w:ascii="Times" w:eastAsia="Batang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ac">
    <w:name w:val="Body Text"/>
    <w:aliases w:val="bt"/>
    <w:basedOn w:val="a0"/>
    <w:link w:val="Char2"/>
    <w:pPr>
      <w:spacing w:after="120"/>
      <w:jc w:val="both"/>
    </w:pPr>
  </w:style>
  <w:style w:type="paragraph" w:styleId="af6">
    <w:name w:val="Normal (Web)"/>
    <w:basedOn w:val="a0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ad">
    <w:name w:val="Date"/>
    <w:basedOn w:val="a0"/>
    <w:next w:val="a0"/>
    <w:link w:val="Char3"/>
  </w:style>
  <w:style w:type="paragraph" w:styleId="60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b">
    <w:name w:val="footer"/>
    <w:basedOn w:val="a0"/>
    <w:link w:val="Char1"/>
    <w:pPr>
      <w:tabs>
        <w:tab w:val="center" w:pos="4153"/>
        <w:tab w:val="right" w:pos="8306"/>
      </w:tabs>
    </w:pPr>
  </w:style>
  <w:style w:type="paragraph" w:styleId="af1">
    <w:name w:val="caption"/>
    <w:aliases w:val="cap,cap Char,Caption Char1 Char,cap Char Char1,Caption Char Char1 Char,cap Char2"/>
    <w:basedOn w:val="a0"/>
    <w:next w:val="a0"/>
    <w:link w:val="Char6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a">
    <w:name w:val="annotation subject"/>
    <w:basedOn w:val="af5"/>
    <w:next w:val="af5"/>
    <w:link w:val="Char0"/>
    <w:semiHidden/>
    <w:rPr>
      <w:b/>
      <w:bCs/>
    </w:rPr>
  </w:style>
  <w:style w:type="paragraph" w:styleId="20">
    <w:name w:val="Body Text 2"/>
    <w:basedOn w:val="a0"/>
    <w:link w:val="2Char0"/>
    <w:pPr>
      <w:spacing w:after="120" w:line="480" w:lineRule="auto"/>
    </w:pPr>
  </w:style>
  <w:style w:type="paragraph" w:styleId="af7">
    <w:name w:val="List"/>
    <w:basedOn w:val="a0"/>
    <w:pPr>
      <w:ind w:left="283" w:hanging="283"/>
    </w:pPr>
  </w:style>
  <w:style w:type="paragraph" w:styleId="30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f5">
    <w:name w:val="annotation text"/>
    <w:basedOn w:val="a0"/>
    <w:link w:val="Chara"/>
    <w:qFormat/>
    <w:rPr>
      <w:szCs w:val="20"/>
    </w:rPr>
  </w:style>
  <w:style w:type="paragraph" w:styleId="90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10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af2">
    <w:name w:val="Plain Text"/>
    <w:basedOn w:val="a0"/>
    <w:link w:val="Char7"/>
    <w:uiPriority w:val="99"/>
    <w:unhideWhenUsed/>
    <w:rPr>
      <w:rFonts w:ascii="Arial" w:eastAsia="MS Gothic" w:hAnsi="Arial"/>
      <w:color w:val="000000"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22">
    <w:name w:val="List 2"/>
    <w:basedOn w:val="a0"/>
    <w:pPr>
      <w:ind w:left="566" w:hanging="283"/>
    </w:pPr>
  </w:style>
  <w:style w:type="paragraph" w:styleId="af4">
    <w:name w:val="Document Map"/>
    <w:basedOn w:val="a0"/>
    <w:link w:val="Char9"/>
    <w:semiHidden/>
    <w:pPr>
      <w:shd w:val="clear" w:color="auto" w:fill="000080"/>
    </w:pPr>
    <w:rPr>
      <w:rFonts w:ascii="Tahoma" w:hAnsi="Tahoma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70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11">
    <w:name w:val="index 1"/>
    <w:basedOn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3">
    <w:name w:val="footnote text"/>
    <w:basedOn w:val="a0"/>
    <w:link w:val="Char8"/>
    <w:semiHidden/>
    <w:pPr>
      <w:jc w:val="both"/>
    </w:pPr>
    <w:rPr>
      <w:szCs w:val="20"/>
    </w:r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0"/>
    <w:link w:val="Char5"/>
    <w:pPr>
      <w:tabs>
        <w:tab w:val="center" w:pos="4536"/>
        <w:tab w:val="right" w:pos="9072"/>
      </w:tabs>
    </w:pPr>
  </w:style>
  <w:style w:type="paragraph" w:styleId="80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52">
    <w:name w:val="toc 5"/>
    <w:basedOn w:val="a0"/>
    <w:next w:val="a0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a7">
    <w:name w:val="Balloon Text"/>
    <w:basedOn w:val="a0"/>
    <w:link w:val="Char"/>
    <w:semiHidden/>
    <w:rPr>
      <w:rFonts w:ascii="Tahoma" w:hAnsi="Tahoma"/>
      <w:sz w:val="16"/>
      <w:szCs w:val="16"/>
    </w:rPr>
  </w:style>
  <w:style w:type="paragraph" w:styleId="a">
    <w:name w:val="List Bullet"/>
    <w:basedOn w:val="a0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2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a0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paragraph" w:customStyle="1" w:styleId="StatementBody">
    <w:name w:val="Statement Body"/>
    <w:basedOn w:val="a0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a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a0"/>
  </w:style>
  <w:style w:type="paragraph" w:styleId="af9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1"/>
    <w:next w:val="ac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a0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ac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ae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,列出段"/>
    <w:basedOn w:val="a0"/>
    <w:link w:val="Char4"/>
    <w:uiPriority w:val="34"/>
    <w:qFormat/>
    <w:pPr>
      <w:ind w:leftChars="400" w:left="840"/>
    </w:pPr>
  </w:style>
  <w:style w:type="paragraph" w:customStyle="1" w:styleId="Review">
    <w:name w:val="Review"/>
    <w:basedOn w:val="a0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ac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af7"/>
    <w:link w:val="B1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a0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a0"/>
  </w:style>
  <w:style w:type="paragraph" w:customStyle="1" w:styleId="TdocHeader1">
    <w:name w:val="Tdoc_Header_1"/>
    <w:basedOn w:val="af0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a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af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グリッド (表) 4 - アクセント 51"/>
    <w:basedOn w:val="a2"/>
    <w:uiPriority w:val="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a0"/>
    <w:rsid w:val="000439E8"/>
    <w:pPr>
      <w:widowControl w:val="0"/>
      <w:jc w:val="both"/>
    </w:pPr>
    <w:rPr>
      <w:rFonts w:ascii="宋体" w:hAnsi="宋体" w:cs="宋体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ac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20">
    <w:name w:val="标题 52"/>
    <w:aliases w:val="H5"/>
    <w:basedOn w:val="a0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Batang" w:hAnsi="Arial"/>
      <w:szCs w:val="20"/>
      <w:lang w:val="x-none" w:eastAsia="x-none"/>
    </w:rPr>
  </w:style>
  <w:style w:type="paragraph" w:customStyle="1" w:styleId="82">
    <w:name w:val="标题 82"/>
    <w:aliases w:val="Table Heading"/>
    <w:basedOn w:val="a0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2"/>
    <w:aliases w:val="Figure Heading,FH"/>
    <w:basedOn w:val="a0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a0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a0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a0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a0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">
    <w:name w:val="listparagraph"/>
    <w:basedOn w:val="a0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a0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a0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afb">
    <w:name w:val="table of figures"/>
    <w:basedOn w:val="ac"/>
    <w:next w:val="a0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9" Type="http://schemas.openxmlformats.org/officeDocument/2006/relationships/theme" Target="theme/theme1.xml"/><Relationship Id="rId21" Type="http://schemas.openxmlformats.org/officeDocument/2006/relationships/image" Target="cid:image006.png@01D6EE4B.ABA910B0" TargetMode="External"/><Relationship Id="rId34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32" Type="http://schemas.openxmlformats.org/officeDocument/2006/relationships/oleObject" Target="embeddings/oleObject4.bin"/><Relationship Id="rId37" Type="http://schemas.openxmlformats.org/officeDocument/2006/relationships/hyperlink" Target="https://www.3gpp.org/ftp/TSG_RAN/WG1_RL1/TSGR1_104-e/Docs/R1-210172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oleObject" Target="embeddings/oleObject2.bin"/><Relationship Id="rId36" Type="http://schemas.openxmlformats.org/officeDocument/2006/relationships/hyperlink" Target="https://www.3gpp.org/ftp/TSG_RAN/WG1_RL1/TSGR1_104-e/Docs/R1-2101722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7.bin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D3FC91-F02A-4CF9-9AF5-B0D802BB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7336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2021-01-26T07:53:00Z</dcterms:created>
  <dcterms:modified xsi:type="dcterms:W3CDTF">2021-01-26T07:53:00Z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(2)2QSvTJLt+P3huoTDqxQSKMruxNPEfv5v+gw0P1qGj9B2IHadVi0vKtSE5ooCxkELUOqekzYL
LEquS7e+5SOdEaGs8NwtZieHWhYS8gjSAhGOV3sqqND/vD5C9w+PXDNK07mTk9N5jVHiTjkh
N8TJ7FwTAQT2XN6Jd/2+KpvWtSEsV4fpu6H3phZOUis2c05x4lEF438uMA/GQJZhBg5zZt9Y
emCq5dlDOAxPp0XDx2</vt:lpwstr>
  </property>
  <property fmtid="{D5CDD505-2E9C-101B-9397-08002B2CF9AE}" pid="12" name="_2015_ms_pID_7253431">
    <vt:lpwstr>k3d7Nk7BUOPctSi+hbx63BFfI/VwPOqRZzgUAzsETbBF5LvjX8odI7
iXyHcZX4E6ZApWW+I8xXE8B0THE6WCcR+letHUnrbOLc5nkaqV/zyI1VjuaHiZXxp0fTVjeR
NzuXdP14mB1QsqYa+/fvE2LnZk10mhd8vdUzn1H35hBnONnDV2lszuYAIh7grFOhmIIC2+df
Q2qWDJ1fwNAa6OIF</vt:lpwstr>
  </property>
</Properties>
</file>