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DD073" w14:textId="05891310" w:rsidR="00E67CBE" w:rsidRPr="00E67CBE" w:rsidRDefault="00E67CBE" w:rsidP="00E67CB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bookmarkStart w:id="0" w:name="_Hlk61443644"/>
      <w:r w:rsidRPr="00E67CBE">
        <w:rPr>
          <w:rFonts w:ascii="Arial" w:hAnsi="Arial" w:cs="Arial"/>
          <w:b/>
          <w:bCs/>
          <w:sz w:val="24"/>
          <w:szCs w:val="18"/>
        </w:rPr>
        <w:t>3GPP TSG RAN WG1 #104-e</w:t>
      </w:r>
      <w:r w:rsidRPr="00E67CBE">
        <w:rPr>
          <w:rFonts w:ascii="Arial" w:hAnsi="Arial" w:cs="Arial"/>
          <w:b/>
          <w:bCs/>
          <w:sz w:val="24"/>
          <w:szCs w:val="18"/>
        </w:rPr>
        <w:tab/>
      </w:r>
      <w:r w:rsidRPr="00E67CBE">
        <w:rPr>
          <w:rFonts w:ascii="Arial" w:hAnsi="Arial" w:cs="Arial"/>
          <w:b/>
          <w:bCs/>
          <w:sz w:val="24"/>
          <w:szCs w:val="18"/>
        </w:rPr>
        <w:tab/>
      </w:r>
      <w:r w:rsidRPr="00E67CBE">
        <w:rPr>
          <w:rFonts w:ascii="Arial" w:hAnsi="Arial" w:cs="Arial"/>
          <w:b/>
          <w:bCs/>
          <w:sz w:val="24"/>
          <w:szCs w:val="18"/>
        </w:rPr>
        <w:tab/>
        <w:t>R1-210</w:t>
      </w:r>
      <w:r w:rsidR="00B2490B">
        <w:rPr>
          <w:rFonts w:ascii="Arial" w:hAnsi="Arial" w:cs="Arial"/>
          <w:b/>
          <w:bCs/>
          <w:sz w:val="24"/>
          <w:szCs w:val="18"/>
        </w:rPr>
        <w:t>1424</w:t>
      </w:r>
    </w:p>
    <w:p w14:paraId="09826D0D" w14:textId="77777777" w:rsidR="00E67CBE" w:rsidRPr="00E67CBE" w:rsidRDefault="00E67CBE" w:rsidP="00E67CB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E67CBE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January 25</w:t>
      </w:r>
      <w:r w:rsidRPr="00E67CBE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E67CBE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February 5</w:t>
      </w:r>
      <w:r w:rsidRPr="00E67CBE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E67CBE">
        <w:rPr>
          <w:rFonts w:ascii="Arial" w:eastAsia="MS Mincho" w:hAnsi="Arial" w:cs="Arial"/>
          <w:b/>
          <w:bCs/>
          <w:sz w:val="24"/>
          <w:szCs w:val="18"/>
          <w:lang w:eastAsia="ja-JP"/>
        </w:rPr>
        <w:t>, 2021</w:t>
      </w:r>
    </w:p>
    <w:bookmarkEnd w:id="0"/>
    <w:p w14:paraId="0B78BA6E" w14:textId="77777777" w:rsidR="005004DB" w:rsidRPr="00A2299C" w:rsidRDefault="005004DB" w:rsidP="005004DB">
      <w:pPr>
        <w:rPr>
          <w:rFonts w:ascii="Arial" w:hAnsi="Arial" w:cs="Arial"/>
          <w:sz w:val="22"/>
        </w:rPr>
      </w:pPr>
    </w:p>
    <w:p w14:paraId="2FABF9AA" w14:textId="23104F63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>8.</w:t>
      </w:r>
      <w:r w:rsidR="005004DB">
        <w:rPr>
          <w:rFonts w:ascii="Arial" w:hAnsi="Arial" w:cs="Arial"/>
          <w:b/>
          <w:sz w:val="22"/>
        </w:rPr>
        <w:t>12</w:t>
      </w:r>
      <w:r w:rsidR="00F0032C">
        <w:rPr>
          <w:rFonts w:ascii="Arial" w:hAnsi="Arial" w:cs="Arial"/>
          <w:b/>
          <w:sz w:val="22"/>
        </w:rPr>
        <w:t>.</w:t>
      </w:r>
      <w:r w:rsidR="006668A8">
        <w:rPr>
          <w:rFonts w:ascii="Arial" w:hAnsi="Arial" w:cs="Arial"/>
          <w:b/>
          <w:sz w:val="22"/>
        </w:rPr>
        <w:t>1</w:t>
      </w:r>
      <w:r w:rsidR="00F0032C">
        <w:rPr>
          <w:rFonts w:ascii="Arial" w:hAnsi="Arial" w:cs="Arial"/>
          <w:b/>
          <w:sz w:val="22"/>
        </w:rPr>
        <w:t xml:space="preserve"> </w:t>
      </w:r>
      <w:r w:rsidR="006668A8" w:rsidRPr="006668A8">
        <w:rPr>
          <w:rFonts w:ascii="Arial" w:hAnsi="Arial" w:cs="Arial"/>
          <w:b/>
          <w:sz w:val="22"/>
        </w:rPr>
        <w:t xml:space="preserve">Mechanisms to support group scheduling </w:t>
      </w:r>
      <w:r w:rsidR="005004DB" w:rsidRPr="005004DB">
        <w:rPr>
          <w:rFonts w:ascii="Arial" w:hAnsi="Arial" w:cs="Arial"/>
          <w:b/>
          <w:sz w:val="22"/>
        </w:rPr>
        <w:t>for RRC_CONNECTED UEs</w:t>
      </w:r>
    </w:p>
    <w:p w14:paraId="7395AB72" w14:textId="10E9FF05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 xml:space="preserve">On </w:t>
      </w:r>
      <w:r w:rsidR="006668A8" w:rsidRPr="006668A8">
        <w:rPr>
          <w:rFonts w:ascii="Arial" w:hAnsi="Arial" w:cs="Arial"/>
          <w:b/>
          <w:sz w:val="22"/>
        </w:rPr>
        <w:t>group scheduling</w:t>
      </w:r>
      <w:r w:rsidR="006668A8">
        <w:rPr>
          <w:rFonts w:ascii="Arial" w:hAnsi="Arial" w:cs="Arial"/>
          <w:b/>
          <w:sz w:val="22"/>
        </w:rPr>
        <w:t xml:space="preserve"> mechanism</w:t>
      </w:r>
      <w:r w:rsidR="006668A8" w:rsidRPr="006668A8">
        <w:rPr>
          <w:rFonts w:ascii="Arial" w:hAnsi="Arial" w:cs="Arial"/>
          <w:b/>
          <w:sz w:val="22"/>
        </w:rPr>
        <w:t xml:space="preserve"> </w:t>
      </w:r>
      <w:r w:rsidR="00B51139">
        <w:rPr>
          <w:rFonts w:ascii="Arial" w:hAnsi="Arial" w:cs="Arial"/>
          <w:b/>
          <w:sz w:val="22"/>
        </w:rPr>
        <w:t xml:space="preserve">for </w:t>
      </w:r>
      <w:r w:rsidR="00B51139" w:rsidRPr="00B51139">
        <w:rPr>
          <w:rFonts w:ascii="Arial" w:hAnsi="Arial" w:cs="Arial"/>
          <w:b/>
          <w:sz w:val="22"/>
        </w:rPr>
        <w:t xml:space="preserve">NR </w:t>
      </w:r>
      <w:r w:rsidR="00B51139">
        <w:rPr>
          <w:rFonts w:ascii="Arial" w:hAnsi="Arial" w:cs="Arial"/>
          <w:b/>
          <w:sz w:val="22"/>
        </w:rPr>
        <w:t>m</w:t>
      </w:r>
      <w:r w:rsidR="00B51139" w:rsidRPr="00B51139">
        <w:rPr>
          <w:rFonts w:ascii="Arial" w:hAnsi="Arial" w:cs="Arial"/>
          <w:b/>
          <w:sz w:val="22"/>
        </w:rPr>
        <w:t xml:space="preserve">ulticast and </w:t>
      </w:r>
      <w:r w:rsidR="00B51139">
        <w:rPr>
          <w:rFonts w:ascii="Arial" w:hAnsi="Arial" w:cs="Arial"/>
          <w:b/>
          <w:sz w:val="22"/>
        </w:rPr>
        <w:t>b</w:t>
      </w:r>
      <w:r w:rsidR="00B51139" w:rsidRPr="00B51139">
        <w:rPr>
          <w:rFonts w:ascii="Arial" w:hAnsi="Arial" w:cs="Arial"/>
          <w:b/>
          <w:sz w:val="22"/>
        </w:rPr>
        <w:t>roadcast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71D11E6F" w:rsidR="004607C3" w:rsidRDefault="005D20F1" w:rsidP="00905F64">
      <w:pPr>
        <w:pStyle w:val="Heading1"/>
        <w:numPr>
          <w:ilvl w:val="0"/>
          <w:numId w:val="24"/>
        </w:numPr>
      </w:pPr>
      <w:r w:rsidRPr="000D37D3">
        <w:t>Introduction</w:t>
      </w:r>
    </w:p>
    <w:p w14:paraId="2DF4AD4D" w14:textId="4855A876" w:rsidR="004929C9" w:rsidRDefault="004929C9" w:rsidP="004929C9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  <w:r>
        <w:rPr>
          <w:rFonts w:eastAsia="Batang"/>
          <w:sz w:val="24"/>
          <w:szCs w:val="24"/>
          <w:lang w:val="en-US"/>
        </w:rPr>
        <w:t>In the RAN1 #10</w:t>
      </w:r>
      <w:r w:rsidR="004E13B1">
        <w:rPr>
          <w:rFonts w:eastAsia="Batang"/>
          <w:sz w:val="24"/>
          <w:szCs w:val="24"/>
          <w:lang w:val="en-US"/>
        </w:rPr>
        <w:t>3</w:t>
      </w:r>
      <w:r>
        <w:rPr>
          <w:rFonts w:eastAsia="Batang"/>
          <w:sz w:val="24"/>
          <w:szCs w:val="24"/>
          <w:lang w:val="en-US"/>
        </w:rPr>
        <w:t>-e meeting, the following agreements</w:t>
      </w:r>
      <w:r w:rsidR="002058B4">
        <w:rPr>
          <w:rFonts w:eastAsia="Batang"/>
          <w:sz w:val="24"/>
          <w:szCs w:val="24"/>
          <w:lang w:val="en-US"/>
        </w:rPr>
        <w:t xml:space="preserve"> and working assumption</w:t>
      </w:r>
      <w:r>
        <w:rPr>
          <w:rFonts w:eastAsia="Batang"/>
          <w:sz w:val="24"/>
          <w:szCs w:val="24"/>
          <w:lang w:val="en-US"/>
        </w:rPr>
        <w:t xml:space="preserve"> were reached on</w:t>
      </w:r>
      <w:r w:rsidR="008816E4">
        <w:rPr>
          <w:rFonts w:eastAsia="Batang"/>
          <w:sz w:val="24"/>
          <w:szCs w:val="24"/>
          <w:lang w:val="en-US"/>
        </w:rPr>
        <w:t xml:space="preserve"> MBS</w:t>
      </w:r>
      <w:r>
        <w:rPr>
          <w:rFonts w:eastAsia="Batang"/>
          <w:sz w:val="24"/>
          <w:szCs w:val="24"/>
          <w:lang w:val="en-US"/>
        </w:rPr>
        <w:t xml:space="preserve"> </w:t>
      </w:r>
      <w:r w:rsidR="004E13B1" w:rsidRPr="008235BF">
        <w:rPr>
          <w:rFonts w:eastAsia="Batang"/>
          <w:sz w:val="24"/>
          <w:szCs w:val="24"/>
        </w:rPr>
        <w:t>group scheduling</w:t>
      </w:r>
      <w:r w:rsidR="008816E4" w:rsidRPr="008816E4">
        <w:rPr>
          <w:rFonts w:eastAsia="Batang"/>
          <w:sz w:val="24"/>
          <w:szCs w:val="24"/>
        </w:rPr>
        <w:t xml:space="preserve"> </w:t>
      </w:r>
      <w:r w:rsidR="008816E4" w:rsidRPr="008235BF">
        <w:rPr>
          <w:rFonts w:eastAsia="Batang"/>
          <w:sz w:val="24"/>
          <w:szCs w:val="24"/>
        </w:rPr>
        <w:t>mechanism</w:t>
      </w:r>
      <w:r w:rsidR="004E13B1" w:rsidRPr="008235BF">
        <w:rPr>
          <w:rFonts w:eastAsia="Batang"/>
          <w:sz w:val="24"/>
          <w:szCs w:val="24"/>
        </w:rPr>
        <w:t xml:space="preserve"> </w:t>
      </w:r>
      <w:r>
        <w:rPr>
          <w:rFonts w:eastAsia="Batang"/>
          <w:sz w:val="24"/>
          <w:szCs w:val="24"/>
          <w:lang w:val="en-US"/>
        </w:rPr>
        <w:t>[</w:t>
      </w:r>
      <w:r w:rsidR="008816E4">
        <w:rPr>
          <w:rFonts w:eastAsia="Batang"/>
          <w:sz w:val="24"/>
          <w:szCs w:val="24"/>
          <w:lang w:val="en-US"/>
        </w:rPr>
        <w:t>1</w:t>
      </w:r>
      <w:r>
        <w:rPr>
          <w:rFonts w:eastAsia="Batang"/>
          <w:sz w:val="24"/>
          <w:szCs w:val="24"/>
          <w:lang w:val="en-US"/>
        </w:rPr>
        <w:t>]:</w:t>
      </w:r>
    </w:p>
    <w:p w14:paraId="1EA91F5E" w14:textId="16E999E4" w:rsidR="004929C9" w:rsidRDefault="002058B4" w:rsidP="004929C9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B24D27" wp14:editId="4C969818">
                <wp:simplePos x="0" y="0"/>
                <wp:positionH relativeFrom="column">
                  <wp:posOffset>-635</wp:posOffset>
                </wp:positionH>
                <wp:positionV relativeFrom="paragraph">
                  <wp:posOffset>175895</wp:posOffset>
                </wp:positionV>
                <wp:extent cx="1828800" cy="5589270"/>
                <wp:effectExtent l="0" t="0" r="15875" b="1143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5892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568AA0" w14:textId="77777777" w:rsidR="002058B4" w:rsidRPr="002058B4" w:rsidRDefault="002058B4" w:rsidP="002058B4">
                            <w:pPr>
                              <w:widowControl w:val="0"/>
                              <w:rPr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058B4">
                              <w:rPr>
                                <w:bCs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  <w:t>Agreements</w:t>
                            </w:r>
                            <w:r w:rsidRPr="002058B4"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  <w:t xml:space="preserve">: </w:t>
                            </w:r>
                            <w:r w:rsidRPr="002058B4">
                              <w:rPr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  <w:t>For RRC_CONNECTED UEs, if initial transmission for multicast is based on PTM transmission scheme 1, at least support retransmission(s) can use PTM transmission scheme 1.</w:t>
                            </w:r>
                          </w:p>
                          <w:p w14:paraId="5210EB2C" w14:textId="77777777" w:rsidR="002058B4" w:rsidRPr="002058B4" w:rsidRDefault="002058B4" w:rsidP="002058B4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3"/>
                              </w:numPr>
                              <w:spacing w:before="0" w:line="240" w:lineRule="auto"/>
                              <w:rPr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058B4">
                              <w:rPr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  <w:t>FFS: whether to support PTP transmission for retransmission(s).</w:t>
                            </w:r>
                          </w:p>
                          <w:p w14:paraId="6E1AE906" w14:textId="77777777" w:rsidR="002058B4" w:rsidRPr="002058B4" w:rsidRDefault="002058B4" w:rsidP="002058B4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3"/>
                              </w:numPr>
                              <w:spacing w:before="0" w:line="240" w:lineRule="auto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058B4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FFS: whether to support PTM transmission scheme 2 for retransmission(s).</w:t>
                            </w:r>
                          </w:p>
                          <w:p w14:paraId="196A768E" w14:textId="77777777" w:rsidR="002058B4" w:rsidRPr="002058B4" w:rsidRDefault="002058B4" w:rsidP="002058B4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3"/>
                              </w:numPr>
                              <w:spacing w:before="0" w:line="240" w:lineRule="auto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058B4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FFS: How to indicate the association between PTM scheme 1 and PTP transmitting the same TB.</w:t>
                            </w:r>
                          </w:p>
                          <w:p w14:paraId="2452E44E" w14:textId="77777777" w:rsidR="002058B4" w:rsidRPr="002058B4" w:rsidRDefault="002058B4" w:rsidP="002058B4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3"/>
                              </w:numPr>
                              <w:spacing w:before="0" w:after="360" w:line="240" w:lineRule="auto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058B4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FFS: If multiple retransmission schemes are supported, then can different retransmission schemes be supported simultaneously for different UEs in the same group?</w:t>
                            </w:r>
                          </w:p>
                          <w:p w14:paraId="7968F907" w14:textId="77777777" w:rsidR="002058B4" w:rsidRPr="002058B4" w:rsidRDefault="002058B4" w:rsidP="002058B4">
                            <w:pPr>
                              <w:widowControl w:val="0"/>
                              <w:rPr>
                                <w:b/>
                                <w:sz w:val="22"/>
                                <w:szCs w:val="22"/>
                                <w:highlight w:val="darkYellow"/>
                                <w:u w:val="single"/>
                                <w:lang w:eastAsia="zh-CN"/>
                              </w:rPr>
                            </w:pPr>
                            <w:r w:rsidRPr="002058B4">
                              <w:rPr>
                                <w:b/>
                                <w:sz w:val="22"/>
                                <w:szCs w:val="22"/>
                                <w:highlight w:val="darkYellow"/>
                                <w:u w:val="single"/>
                                <w:lang w:eastAsia="zh-CN"/>
                              </w:rPr>
                              <w:t xml:space="preserve">Working assumption: </w:t>
                            </w:r>
                          </w:p>
                          <w:p w14:paraId="4B268498" w14:textId="77777777" w:rsidR="002058B4" w:rsidRPr="002058B4" w:rsidRDefault="002058B4" w:rsidP="002058B4">
                            <w:pPr>
                              <w:widowControl w:val="0"/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058B4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For multicast of RRC-CONNECTED UEs, a common frequency resource for group-common PDCCH / PDSCH is confined within the frequency resource of a dedicated unicast BWP to support simultaneous reception of unicast and multicast in the same slot</w:t>
                            </w:r>
                          </w:p>
                          <w:p w14:paraId="1FB98939" w14:textId="77777777" w:rsidR="002058B4" w:rsidRPr="002058B4" w:rsidRDefault="002058B4" w:rsidP="002058B4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0" w:line="240" w:lineRule="auto"/>
                              <w:jc w:val="left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058B4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Down select from the two options for the common frequency resource for group-common PDCCH/ PDSCH</w:t>
                            </w:r>
                          </w:p>
                          <w:p w14:paraId="2BD2068E" w14:textId="77777777" w:rsidR="002058B4" w:rsidRPr="002058B4" w:rsidRDefault="002058B4" w:rsidP="002058B4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36"/>
                              </w:numPr>
                              <w:spacing w:before="0" w:line="240" w:lineRule="auto"/>
                              <w:jc w:val="left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058B4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Option 2A: The common frequency resource is defined as an MBS specific BWP, which is associated with the dedicated unicast BWP and using the same numerology (SCS and CP)</w:t>
                            </w:r>
                          </w:p>
                          <w:p w14:paraId="33524DED" w14:textId="77777777" w:rsidR="002058B4" w:rsidRPr="002058B4" w:rsidRDefault="002058B4" w:rsidP="002058B4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36"/>
                              </w:numPr>
                              <w:spacing w:before="0" w:line="240" w:lineRule="auto"/>
                              <w:jc w:val="left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058B4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FFS BWP switching is needed between the multicast reception in the MBS specific BWP and unicast reception in its associated dedicated BWP</w:t>
                            </w:r>
                          </w:p>
                          <w:p w14:paraId="77845CDA" w14:textId="77777777" w:rsidR="002058B4" w:rsidRPr="002058B4" w:rsidRDefault="002058B4" w:rsidP="002058B4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36"/>
                              </w:numPr>
                              <w:spacing w:before="0" w:line="240" w:lineRule="auto"/>
                              <w:jc w:val="left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058B4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Option 2B: The common frequency resource is defined as an ‘MBS frequency region’ with a number of contiguous PRBs, which is configured within the dedicated unicast BWP.</w:t>
                            </w:r>
                          </w:p>
                          <w:p w14:paraId="2BEB1CA5" w14:textId="77777777" w:rsidR="002058B4" w:rsidRPr="002058B4" w:rsidRDefault="002058B4" w:rsidP="002058B4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36"/>
                              </w:numPr>
                              <w:spacing w:before="0" w:line="240" w:lineRule="auto"/>
                              <w:jc w:val="left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058B4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FFS: How to indicate the starting PRB and the length of PRBs of the MBS frequency region</w:t>
                            </w:r>
                          </w:p>
                          <w:p w14:paraId="75B6ACBF" w14:textId="77777777" w:rsidR="002058B4" w:rsidRPr="002058B4" w:rsidRDefault="002058B4" w:rsidP="002058B4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0" w:line="240" w:lineRule="auto"/>
                              <w:jc w:val="left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058B4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FFS whether UE can be configured with no unicast reception in the common frequency resource</w:t>
                            </w:r>
                          </w:p>
                          <w:p w14:paraId="7C0E0E2C" w14:textId="77777777" w:rsidR="002058B4" w:rsidRPr="002058B4" w:rsidRDefault="002058B4" w:rsidP="002058B4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0" w:line="240" w:lineRule="auto"/>
                              <w:jc w:val="left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058B4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FFS on details of the group-common PDCCH / PDSCH configuration</w:t>
                            </w:r>
                          </w:p>
                          <w:p w14:paraId="4242B8AD" w14:textId="77777777" w:rsidR="002058B4" w:rsidRPr="002058B4" w:rsidRDefault="002058B4" w:rsidP="002058B4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0" w:line="240" w:lineRule="auto"/>
                              <w:jc w:val="left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058B4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FFS whether to support more than one common frequency resources per UE / per dedicated unicast BWP subjected to UE capabilities</w:t>
                            </w:r>
                          </w:p>
                          <w:p w14:paraId="5398F4D0" w14:textId="6DE6D3C1" w:rsidR="004929C9" w:rsidRPr="002058B4" w:rsidRDefault="004929C9" w:rsidP="002058B4">
                            <w:pPr>
                              <w:spacing w:before="0" w:after="0"/>
                              <w:jc w:val="left"/>
                              <w:rPr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B24D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05pt;margin-top:13.85pt;width:2in;height:440.1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pGTQAIAAHgEAAAOAAAAZHJzL2Uyb0RvYy54bWysVN9v2jAQfp+0/8Hy+xrIoKWIULFWnSZV&#10;bSWo+mwcB6I5Pst2Sdhfv88OUNTtadqLc798vvu+u8xuukaznXK+JlPw4cWAM2UklbXZFPxldf9l&#10;wpkPwpRCk1EF3yvPb+afP81aO1U5bUmXyjEkMX7a2oJvQ7DTLPNyqxrhL8gqA2dFrhEBqttkpRMt&#10;sjc6yweDy6wlV1pHUnkP613v5POUv6qUDE9V5VVguuCoLaTTpXMdz2w+E9ONE3Zby0MZ4h+qaERt&#10;8Ogp1Z0Igr25+o9UTS0dearChaQmo6qqpUo9oJvh4EM3y62wKvUCcLw9weT/X1r5uHt2rC4LnnNm&#10;RAOKVqoL7Bt1LI/otNZPEbS0CAsdzGD5aPcwxqa7yjXxi3YY/MB5f8I2JpPx0iSfTAZwSfjG48l1&#10;fpXQz96vW+fDd0UNi0LBHchLmIrdgw8oBaHHkPiaofta60SgNqwt+OXX8SBd8KTrMjpjWLxyqx3b&#10;CYzAWgv5M5aPXGdR0LSBMTbbNxWl0K27AwJrKvcAwFE/QN7K+xp5H4QPz8JhYtAYtiA84ag0oRg6&#10;SJxtyf36mz3Gg0h4OWsxgQU3WBHO9A8Dgq+Ho1Ec2KSMxlc5FHfuWZ97zFtzS+hviG2zMokxPuij&#10;WDlqXrEqi/gmXMJIvFzwcBRvQ78VWDWpFosUhBG1IjyYpZUx9RHNVfcqnD2wFEDwIx0nVUw/kNXH&#10;9nQt3gJVdWIywttjekAd451IOaxi3J9zPUW9/zDmvwEAAP//AwBQSwMEFAAGAAgAAAAhAHbmyIDh&#10;AAAACAEAAA8AAABkcnMvZG93bnJldi54bWxMj1FLwzAUhd8F/0O4gi+yJSvSbl3TsQniizhWFfaY&#10;NbEpa25Kk3X133t90rdzOYdzvltsJtex0Qyh9ShhMRfADNZet9hI+Hh/ni2BhahQq86jkfBtAmzK&#10;25tC5dpf8WDGKjaMSjDkSoKNsc85D7U1ToW57w2S9+UHpyKdQ8P1oK5U7jqeCJFyp1qkBat682RN&#10;fa4uTsKuedmPn+NxV6Xp1r4+PE7nN3GQ8v5u2q6BRTPFvzD84hM6lMR08hfUgXUSZgsKSkiyDBjZ&#10;yTJbATtJWAkSvCz4/wfKHwAAAP//AwBQSwECLQAUAAYACAAAACEAtoM4kv4AAADhAQAAEwAAAAAA&#10;AAAAAAAAAAAAAAAAW0NvbnRlbnRfVHlwZXNdLnhtbFBLAQItABQABgAIAAAAIQA4/SH/1gAAAJQB&#10;AAALAAAAAAAAAAAAAAAAAC8BAABfcmVscy8ucmVsc1BLAQItABQABgAIAAAAIQDGHpGTQAIAAHgE&#10;AAAOAAAAAAAAAAAAAAAAAC4CAABkcnMvZTJvRG9jLnhtbFBLAQItABQABgAIAAAAIQB25siA4QAA&#10;AAgBAAAPAAAAAAAAAAAAAAAAAJoEAABkcnMvZG93bnJldi54bWxQSwUGAAAAAAQABADzAAAAqAUA&#10;AAAA&#10;" filled="f" strokeweight=".5pt">
                <v:textbox>
                  <w:txbxContent>
                    <w:p w14:paraId="4B568AA0" w14:textId="77777777" w:rsidR="002058B4" w:rsidRPr="002058B4" w:rsidRDefault="002058B4" w:rsidP="002058B4">
                      <w:pPr>
                        <w:widowControl w:val="0"/>
                        <w:rPr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2058B4">
                        <w:rPr>
                          <w:bCs/>
                          <w:sz w:val="22"/>
                          <w:szCs w:val="22"/>
                          <w:highlight w:val="green"/>
                          <w:lang w:eastAsia="zh-CN"/>
                        </w:rPr>
                        <w:t>Agreements</w:t>
                      </w:r>
                      <w:r w:rsidRPr="002058B4">
                        <w:rPr>
                          <w:b/>
                          <w:sz w:val="22"/>
                          <w:szCs w:val="22"/>
                          <w:lang w:eastAsia="zh-CN"/>
                        </w:rPr>
                        <w:t xml:space="preserve">: </w:t>
                      </w:r>
                      <w:r w:rsidRPr="002058B4">
                        <w:rPr>
                          <w:color w:val="000000"/>
                          <w:sz w:val="22"/>
                          <w:szCs w:val="22"/>
                          <w:lang w:eastAsia="zh-CN"/>
                        </w:rPr>
                        <w:t>For RRC_CONNECTED UEs, if initial transmission for multicast is based on PTM transmission scheme 1, at least support retransmission(s) can use PTM transmission scheme 1.</w:t>
                      </w:r>
                    </w:p>
                    <w:p w14:paraId="5210EB2C" w14:textId="77777777" w:rsidR="002058B4" w:rsidRPr="002058B4" w:rsidRDefault="002058B4" w:rsidP="002058B4">
                      <w:pPr>
                        <w:pStyle w:val="ListParagraph"/>
                        <w:widowControl w:val="0"/>
                        <w:numPr>
                          <w:ilvl w:val="0"/>
                          <w:numId w:val="33"/>
                        </w:numPr>
                        <w:spacing w:before="0" w:line="240" w:lineRule="auto"/>
                        <w:rPr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2058B4">
                        <w:rPr>
                          <w:color w:val="000000"/>
                          <w:sz w:val="22"/>
                          <w:szCs w:val="22"/>
                          <w:lang w:eastAsia="zh-CN"/>
                        </w:rPr>
                        <w:t>FFS: whether to support PTP transmission for retransmission(s).</w:t>
                      </w:r>
                    </w:p>
                    <w:p w14:paraId="6E1AE906" w14:textId="77777777" w:rsidR="002058B4" w:rsidRPr="002058B4" w:rsidRDefault="002058B4" w:rsidP="002058B4">
                      <w:pPr>
                        <w:pStyle w:val="ListParagraph"/>
                        <w:widowControl w:val="0"/>
                        <w:numPr>
                          <w:ilvl w:val="0"/>
                          <w:numId w:val="33"/>
                        </w:numPr>
                        <w:spacing w:before="0" w:line="240" w:lineRule="auto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2058B4">
                        <w:rPr>
                          <w:sz w:val="22"/>
                          <w:szCs w:val="22"/>
                          <w:lang w:eastAsia="zh-CN"/>
                        </w:rPr>
                        <w:t>FFS: whether to support PTM transmission scheme 2 for retransmission(s).</w:t>
                      </w:r>
                    </w:p>
                    <w:p w14:paraId="196A768E" w14:textId="77777777" w:rsidR="002058B4" w:rsidRPr="002058B4" w:rsidRDefault="002058B4" w:rsidP="002058B4">
                      <w:pPr>
                        <w:pStyle w:val="ListParagraph"/>
                        <w:widowControl w:val="0"/>
                        <w:numPr>
                          <w:ilvl w:val="0"/>
                          <w:numId w:val="33"/>
                        </w:numPr>
                        <w:spacing w:before="0" w:line="240" w:lineRule="auto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2058B4">
                        <w:rPr>
                          <w:sz w:val="22"/>
                          <w:szCs w:val="22"/>
                          <w:lang w:eastAsia="zh-CN"/>
                        </w:rPr>
                        <w:t>FFS: How to indicate the association between PTM scheme 1 and PTP transmitting the same TB.</w:t>
                      </w:r>
                    </w:p>
                    <w:p w14:paraId="2452E44E" w14:textId="77777777" w:rsidR="002058B4" w:rsidRPr="002058B4" w:rsidRDefault="002058B4" w:rsidP="002058B4">
                      <w:pPr>
                        <w:pStyle w:val="ListParagraph"/>
                        <w:widowControl w:val="0"/>
                        <w:numPr>
                          <w:ilvl w:val="0"/>
                          <w:numId w:val="33"/>
                        </w:numPr>
                        <w:spacing w:before="0" w:after="360" w:line="240" w:lineRule="auto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2058B4">
                        <w:rPr>
                          <w:sz w:val="22"/>
                          <w:szCs w:val="22"/>
                          <w:lang w:eastAsia="zh-CN"/>
                        </w:rPr>
                        <w:t>FFS: If multiple retransmission schemes are supported, then can different retransmission schemes be supported simultaneously for different UEs in the same group?</w:t>
                      </w:r>
                    </w:p>
                    <w:p w14:paraId="7968F907" w14:textId="77777777" w:rsidR="002058B4" w:rsidRPr="002058B4" w:rsidRDefault="002058B4" w:rsidP="002058B4">
                      <w:pPr>
                        <w:widowControl w:val="0"/>
                        <w:rPr>
                          <w:b/>
                          <w:sz w:val="22"/>
                          <w:szCs w:val="22"/>
                          <w:highlight w:val="darkYellow"/>
                          <w:u w:val="single"/>
                          <w:lang w:eastAsia="zh-CN"/>
                        </w:rPr>
                      </w:pPr>
                      <w:r w:rsidRPr="002058B4">
                        <w:rPr>
                          <w:b/>
                          <w:sz w:val="22"/>
                          <w:szCs w:val="22"/>
                          <w:highlight w:val="darkYellow"/>
                          <w:u w:val="single"/>
                          <w:lang w:eastAsia="zh-CN"/>
                        </w:rPr>
                        <w:t xml:space="preserve">Working assumption: </w:t>
                      </w:r>
                    </w:p>
                    <w:p w14:paraId="4B268498" w14:textId="77777777" w:rsidR="002058B4" w:rsidRPr="002058B4" w:rsidRDefault="002058B4" w:rsidP="002058B4">
                      <w:pPr>
                        <w:widowControl w:val="0"/>
                        <w:rPr>
                          <w:b/>
                          <w:sz w:val="22"/>
                          <w:szCs w:val="22"/>
                          <w:lang w:eastAsia="zh-CN"/>
                        </w:rPr>
                      </w:pPr>
                      <w:r w:rsidRPr="002058B4">
                        <w:rPr>
                          <w:sz w:val="22"/>
                          <w:szCs w:val="22"/>
                          <w:lang w:eastAsia="zh-CN"/>
                        </w:rPr>
                        <w:t>For multicast of RRC-CONNECTED UEs, a common frequency resource for group-common PDCCH / PDSCH is confined within the frequency resource of a dedicated unicast BWP to support simultaneous reception of unicast and multicast in the same slot</w:t>
                      </w:r>
                    </w:p>
                    <w:p w14:paraId="1FB98939" w14:textId="77777777" w:rsidR="002058B4" w:rsidRPr="002058B4" w:rsidRDefault="002058B4" w:rsidP="002058B4">
                      <w:pPr>
                        <w:pStyle w:val="ListParagraph"/>
                        <w:widowControl w:val="0"/>
                        <w:numPr>
                          <w:ilvl w:val="0"/>
                          <w:numId w:val="36"/>
                        </w:numPr>
                        <w:spacing w:before="0" w:line="240" w:lineRule="auto"/>
                        <w:jc w:val="left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2058B4">
                        <w:rPr>
                          <w:sz w:val="22"/>
                          <w:szCs w:val="22"/>
                          <w:lang w:eastAsia="zh-CN"/>
                        </w:rPr>
                        <w:t>Down select from the two options for the common frequency resource for group-common PDCCH/ PDSCH</w:t>
                      </w:r>
                    </w:p>
                    <w:p w14:paraId="2BD2068E" w14:textId="77777777" w:rsidR="002058B4" w:rsidRPr="002058B4" w:rsidRDefault="002058B4" w:rsidP="002058B4">
                      <w:pPr>
                        <w:pStyle w:val="ListParagraph"/>
                        <w:widowControl w:val="0"/>
                        <w:numPr>
                          <w:ilvl w:val="1"/>
                          <w:numId w:val="36"/>
                        </w:numPr>
                        <w:spacing w:before="0" w:line="240" w:lineRule="auto"/>
                        <w:jc w:val="left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2058B4">
                        <w:rPr>
                          <w:sz w:val="22"/>
                          <w:szCs w:val="22"/>
                          <w:lang w:eastAsia="zh-CN"/>
                        </w:rPr>
                        <w:t>Option 2A: The common frequency resource is defined as an MBS specific BWP, which is associated with the dedicated unicast BWP and using the same numerology (SCS and CP)</w:t>
                      </w:r>
                    </w:p>
                    <w:p w14:paraId="33524DED" w14:textId="77777777" w:rsidR="002058B4" w:rsidRPr="002058B4" w:rsidRDefault="002058B4" w:rsidP="002058B4">
                      <w:pPr>
                        <w:pStyle w:val="ListParagraph"/>
                        <w:widowControl w:val="0"/>
                        <w:numPr>
                          <w:ilvl w:val="2"/>
                          <w:numId w:val="36"/>
                        </w:numPr>
                        <w:spacing w:before="0" w:line="240" w:lineRule="auto"/>
                        <w:jc w:val="left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2058B4">
                        <w:rPr>
                          <w:sz w:val="22"/>
                          <w:szCs w:val="22"/>
                          <w:lang w:eastAsia="zh-CN"/>
                        </w:rPr>
                        <w:t>FFS BWP switching is needed between the multicast reception in the MBS specific BWP and unicast reception in its associated dedicated BWP</w:t>
                      </w:r>
                    </w:p>
                    <w:p w14:paraId="77845CDA" w14:textId="77777777" w:rsidR="002058B4" w:rsidRPr="002058B4" w:rsidRDefault="002058B4" w:rsidP="002058B4">
                      <w:pPr>
                        <w:pStyle w:val="ListParagraph"/>
                        <w:widowControl w:val="0"/>
                        <w:numPr>
                          <w:ilvl w:val="1"/>
                          <w:numId w:val="36"/>
                        </w:numPr>
                        <w:spacing w:before="0" w:line="240" w:lineRule="auto"/>
                        <w:jc w:val="left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2058B4">
                        <w:rPr>
                          <w:sz w:val="22"/>
                          <w:szCs w:val="22"/>
                          <w:lang w:eastAsia="zh-CN"/>
                        </w:rPr>
                        <w:t>Option 2B: The common frequency resource is defined as an ‘MBS frequency region’ with a number of contiguous PRBs, which is configured within the dedicated unicast BWP.</w:t>
                      </w:r>
                    </w:p>
                    <w:p w14:paraId="2BEB1CA5" w14:textId="77777777" w:rsidR="002058B4" w:rsidRPr="002058B4" w:rsidRDefault="002058B4" w:rsidP="002058B4">
                      <w:pPr>
                        <w:pStyle w:val="ListParagraph"/>
                        <w:widowControl w:val="0"/>
                        <w:numPr>
                          <w:ilvl w:val="2"/>
                          <w:numId w:val="36"/>
                        </w:numPr>
                        <w:spacing w:before="0" w:line="240" w:lineRule="auto"/>
                        <w:jc w:val="left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2058B4">
                        <w:rPr>
                          <w:sz w:val="22"/>
                          <w:szCs w:val="22"/>
                          <w:lang w:eastAsia="zh-CN"/>
                        </w:rPr>
                        <w:t>FFS: How to indicate the starting PRB and the length of PRBs of the MBS frequency region</w:t>
                      </w:r>
                    </w:p>
                    <w:p w14:paraId="75B6ACBF" w14:textId="77777777" w:rsidR="002058B4" w:rsidRPr="002058B4" w:rsidRDefault="002058B4" w:rsidP="002058B4">
                      <w:pPr>
                        <w:pStyle w:val="ListParagraph"/>
                        <w:widowControl w:val="0"/>
                        <w:numPr>
                          <w:ilvl w:val="0"/>
                          <w:numId w:val="36"/>
                        </w:numPr>
                        <w:spacing w:before="0" w:line="240" w:lineRule="auto"/>
                        <w:jc w:val="left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2058B4">
                        <w:rPr>
                          <w:sz w:val="22"/>
                          <w:szCs w:val="22"/>
                          <w:lang w:eastAsia="zh-CN"/>
                        </w:rPr>
                        <w:t>FFS whether UE can be configured with no unicast reception in the common frequency resource</w:t>
                      </w:r>
                    </w:p>
                    <w:p w14:paraId="7C0E0E2C" w14:textId="77777777" w:rsidR="002058B4" w:rsidRPr="002058B4" w:rsidRDefault="002058B4" w:rsidP="002058B4">
                      <w:pPr>
                        <w:pStyle w:val="ListParagraph"/>
                        <w:widowControl w:val="0"/>
                        <w:numPr>
                          <w:ilvl w:val="0"/>
                          <w:numId w:val="36"/>
                        </w:numPr>
                        <w:spacing w:before="0" w:line="240" w:lineRule="auto"/>
                        <w:jc w:val="left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2058B4">
                        <w:rPr>
                          <w:sz w:val="22"/>
                          <w:szCs w:val="22"/>
                          <w:lang w:eastAsia="zh-CN"/>
                        </w:rPr>
                        <w:t>FFS on details of the group-common PDCCH / PDSCH configuration</w:t>
                      </w:r>
                    </w:p>
                    <w:p w14:paraId="4242B8AD" w14:textId="77777777" w:rsidR="002058B4" w:rsidRPr="002058B4" w:rsidRDefault="002058B4" w:rsidP="002058B4">
                      <w:pPr>
                        <w:pStyle w:val="ListParagraph"/>
                        <w:widowControl w:val="0"/>
                        <w:numPr>
                          <w:ilvl w:val="0"/>
                          <w:numId w:val="36"/>
                        </w:numPr>
                        <w:spacing w:before="0" w:line="240" w:lineRule="auto"/>
                        <w:jc w:val="left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2058B4">
                        <w:rPr>
                          <w:sz w:val="22"/>
                          <w:szCs w:val="22"/>
                          <w:lang w:eastAsia="zh-CN"/>
                        </w:rPr>
                        <w:t>FFS whether to support more than one common frequency resources per UE / per dedicated unicast BWP subjected to UE capabilities</w:t>
                      </w:r>
                    </w:p>
                    <w:p w14:paraId="5398F4D0" w14:textId="6DE6D3C1" w:rsidR="004929C9" w:rsidRPr="002058B4" w:rsidRDefault="004929C9" w:rsidP="002058B4">
                      <w:pPr>
                        <w:spacing w:before="0" w:after="0"/>
                        <w:jc w:val="left"/>
                        <w:rPr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251C0F" w14:textId="1BA2A1B0" w:rsidR="004929C9" w:rsidRDefault="004929C9" w:rsidP="004929C9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</w:p>
    <w:p w14:paraId="15C0CECC" w14:textId="08CF679B" w:rsidR="00006C6F" w:rsidRDefault="00B049FC" w:rsidP="00BC2D59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 w:rsidRPr="00B049FC">
        <w:rPr>
          <w:rFonts w:eastAsia="Batang"/>
          <w:sz w:val="24"/>
          <w:szCs w:val="24"/>
        </w:rPr>
        <w:t>In this contribution</w:t>
      </w:r>
      <w:r w:rsidR="00F712AB">
        <w:rPr>
          <w:rFonts w:eastAsia="Batang"/>
          <w:sz w:val="24"/>
          <w:szCs w:val="24"/>
        </w:rPr>
        <w:t>,</w:t>
      </w:r>
      <w:r w:rsidRPr="00B049FC">
        <w:rPr>
          <w:rFonts w:eastAsia="Batang"/>
          <w:sz w:val="24"/>
          <w:szCs w:val="24"/>
        </w:rPr>
        <w:t xml:space="preserve"> we provide our views on the </w:t>
      </w:r>
      <w:r>
        <w:rPr>
          <w:rFonts w:eastAsia="Batang"/>
          <w:sz w:val="24"/>
          <w:szCs w:val="24"/>
        </w:rPr>
        <w:t xml:space="preserve">potential </w:t>
      </w:r>
      <w:r w:rsidR="008235BF" w:rsidRPr="008235BF">
        <w:rPr>
          <w:rFonts w:eastAsia="Batang"/>
          <w:sz w:val="24"/>
          <w:szCs w:val="24"/>
        </w:rPr>
        <w:t xml:space="preserve">group scheduling mechanism </w:t>
      </w:r>
      <w:r w:rsidRPr="00B049FC">
        <w:rPr>
          <w:rFonts w:eastAsia="Batang"/>
          <w:sz w:val="24"/>
          <w:szCs w:val="24"/>
        </w:rPr>
        <w:t xml:space="preserve">to support </w:t>
      </w:r>
      <w:r>
        <w:rPr>
          <w:rFonts w:eastAsia="Batang"/>
          <w:sz w:val="24"/>
          <w:szCs w:val="24"/>
        </w:rPr>
        <w:t xml:space="preserve">the </w:t>
      </w:r>
      <w:r w:rsidR="00EB7358" w:rsidRPr="00EB7358">
        <w:rPr>
          <w:rFonts w:eastAsia="Batang"/>
          <w:sz w:val="24"/>
          <w:szCs w:val="24"/>
        </w:rPr>
        <w:t>NR multicast and broadcast</w:t>
      </w:r>
      <w:r w:rsidRPr="00B049FC">
        <w:rPr>
          <w:rFonts w:eastAsia="Batang"/>
          <w:sz w:val="24"/>
          <w:szCs w:val="24"/>
        </w:rPr>
        <w:t>.</w:t>
      </w:r>
    </w:p>
    <w:p w14:paraId="52167704" w14:textId="689C7FFA" w:rsidR="00F751CF" w:rsidRPr="001E533C" w:rsidRDefault="001E533C" w:rsidP="001D4EA1">
      <w:pPr>
        <w:pStyle w:val="Heading1"/>
        <w:numPr>
          <w:ilvl w:val="0"/>
          <w:numId w:val="24"/>
        </w:numPr>
        <w:rPr>
          <w:rFonts w:eastAsia="Batang"/>
          <w:sz w:val="32"/>
          <w:szCs w:val="28"/>
        </w:rPr>
      </w:pPr>
      <w:r>
        <w:rPr>
          <w:rFonts w:eastAsia="Batang"/>
          <w:szCs w:val="28"/>
        </w:rPr>
        <w:lastRenderedPageBreak/>
        <w:t>Discussion</w:t>
      </w:r>
    </w:p>
    <w:p w14:paraId="1673BE27" w14:textId="0EC0574C" w:rsidR="00250439" w:rsidRDefault="00BD576A" w:rsidP="00A74889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In </w:t>
      </w:r>
      <w:r w:rsidR="00250439">
        <w:rPr>
          <w:rFonts w:eastAsia="Batang"/>
          <w:sz w:val="24"/>
          <w:szCs w:val="24"/>
        </w:rPr>
        <w:t xml:space="preserve">the past RAN1 </w:t>
      </w:r>
      <w:r w:rsidR="00B60A6A">
        <w:rPr>
          <w:rFonts w:eastAsia="Batang"/>
          <w:sz w:val="24"/>
          <w:szCs w:val="24"/>
        </w:rPr>
        <w:t xml:space="preserve">#102-e and </w:t>
      </w:r>
      <w:r w:rsidR="00250439">
        <w:rPr>
          <w:rFonts w:eastAsia="Batang"/>
          <w:sz w:val="24"/>
          <w:szCs w:val="24"/>
        </w:rPr>
        <w:t>#10</w:t>
      </w:r>
      <w:r w:rsidR="003F79AC">
        <w:rPr>
          <w:rFonts w:eastAsia="Batang"/>
          <w:sz w:val="24"/>
          <w:szCs w:val="24"/>
        </w:rPr>
        <w:t>3</w:t>
      </w:r>
      <w:r w:rsidR="00250439">
        <w:rPr>
          <w:rFonts w:eastAsia="Batang"/>
          <w:sz w:val="24"/>
          <w:szCs w:val="24"/>
        </w:rPr>
        <w:t>-e meeting</w:t>
      </w:r>
      <w:r w:rsidR="00B60A6A">
        <w:rPr>
          <w:rFonts w:eastAsia="Batang"/>
          <w:sz w:val="24"/>
          <w:szCs w:val="24"/>
        </w:rPr>
        <w:t>s</w:t>
      </w:r>
      <w:r w:rsidR="00250439">
        <w:rPr>
          <w:rFonts w:eastAsia="Batang"/>
          <w:sz w:val="24"/>
          <w:szCs w:val="24"/>
        </w:rPr>
        <w:t xml:space="preserve">, it has been agreed that using </w:t>
      </w:r>
      <w:r w:rsidR="00250439" w:rsidRPr="008E7B1A">
        <w:rPr>
          <w:color w:val="000000"/>
          <w:sz w:val="24"/>
          <w:szCs w:val="24"/>
        </w:rPr>
        <w:t>group-common PDCCH</w:t>
      </w:r>
      <w:r w:rsidR="00250439">
        <w:rPr>
          <w:color w:val="000000"/>
          <w:sz w:val="24"/>
          <w:szCs w:val="24"/>
        </w:rPr>
        <w:t xml:space="preserve"> to schedule the </w:t>
      </w:r>
      <w:r w:rsidR="00250439" w:rsidRPr="008E7B1A">
        <w:rPr>
          <w:sz w:val="24"/>
          <w:szCs w:val="24"/>
        </w:rPr>
        <w:t xml:space="preserve">PDSCH for </w:t>
      </w:r>
      <w:r w:rsidR="00250439">
        <w:rPr>
          <w:color w:val="000000"/>
          <w:sz w:val="24"/>
          <w:szCs w:val="24"/>
        </w:rPr>
        <w:t>MBS transmission</w:t>
      </w:r>
      <w:r w:rsidR="00B60A6A">
        <w:rPr>
          <w:color w:val="000000"/>
          <w:sz w:val="24"/>
          <w:szCs w:val="24"/>
        </w:rPr>
        <w:t xml:space="preserve">, i.e., </w:t>
      </w:r>
      <w:r w:rsidR="00B60A6A" w:rsidRPr="00B60A6A">
        <w:rPr>
          <w:color w:val="000000"/>
          <w:sz w:val="24"/>
          <w:szCs w:val="24"/>
        </w:rPr>
        <w:t xml:space="preserve">PTM transmission scheme </w:t>
      </w:r>
      <w:r w:rsidR="00B60A6A">
        <w:rPr>
          <w:color w:val="000000"/>
          <w:sz w:val="24"/>
          <w:szCs w:val="24"/>
        </w:rPr>
        <w:t>1,</w:t>
      </w:r>
      <w:r w:rsidR="00250439">
        <w:rPr>
          <w:color w:val="000000"/>
          <w:sz w:val="24"/>
          <w:szCs w:val="24"/>
        </w:rPr>
        <w:t xml:space="preserve"> will be supported. Using </w:t>
      </w:r>
      <w:r w:rsidR="00250439" w:rsidRPr="008E7B1A">
        <w:rPr>
          <w:color w:val="000000"/>
          <w:sz w:val="24"/>
          <w:szCs w:val="24"/>
        </w:rPr>
        <w:t>group-common PDCCH</w:t>
      </w:r>
      <w:r w:rsidR="00250439">
        <w:rPr>
          <w:color w:val="000000"/>
          <w:sz w:val="24"/>
          <w:szCs w:val="24"/>
        </w:rPr>
        <w:t xml:space="preserve"> has the advantage of low signaling overhead when the number of the UEs to be scheduled is large. However, as another option, using </w:t>
      </w:r>
      <w:r w:rsidR="00250439" w:rsidRPr="008E7B1A">
        <w:rPr>
          <w:sz w:val="24"/>
          <w:szCs w:val="24"/>
        </w:rPr>
        <w:t>UE-specific PDCCH</w:t>
      </w:r>
      <w:r w:rsidR="00250439">
        <w:rPr>
          <w:sz w:val="24"/>
          <w:szCs w:val="24"/>
        </w:rPr>
        <w:t xml:space="preserve"> to schedule the </w:t>
      </w:r>
      <w:r w:rsidR="00250439" w:rsidRPr="008E7B1A">
        <w:rPr>
          <w:sz w:val="24"/>
          <w:szCs w:val="24"/>
        </w:rPr>
        <w:t>PDSCH for</w:t>
      </w:r>
      <w:r w:rsidR="00250439">
        <w:rPr>
          <w:sz w:val="24"/>
          <w:szCs w:val="24"/>
        </w:rPr>
        <w:t xml:space="preserve"> MBS is also under consideration</w:t>
      </w:r>
      <w:r w:rsidR="00B60A6A">
        <w:rPr>
          <w:sz w:val="24"/>
          <w:szCs w:val="24"/>
        </w:rPr>
        <w:t xml:space="preserve"> e.g., </w:t>
      </w:r>
      <w:r w:rsidR="00B60A6A" w:rsidRPr="00B60A6A">
        <w:rPr>
          <w:color w:val="000000"/>
          <w:sz w:val="24"/>
          <w:szCs w:val="24"/>
        </w:rPr>
        <w:t>PT</w:t>
      </w:r>
      <w:r w:rsidR="00B60A6A">
        <w:rPr>
          <w:color w:val="000000"/>
          <w:sz w:val="24"/>
          <w:szCs w:val="24"/>
        </w:rPr>
        <w:t>P</w:t>
      </w:r>
      <w:r w:rsidR="00B60A6A" w:rsidRPr="00B60A6A">
        <w:rPr>
          <w:color w:val="000000"/>
          <w:sz w:val="24"/>
          <w:szCs w:val="24"/>
        </w:rPr>
        <w:t xml:space="preserve"> transmission</w:t>
      </w:r>
      <w:r w:rsidR="00B60A6A">
        <w:rPr>
          <w:color w:val="000000"/>
          <w:sz w:val="24"/>
          <w:szCs w:val="24"/>
        </w:rPr>
        <w:t xml:space="preserve">, </w:t>
      </w:r>
      <w:r w:rsidR="00B60A6A" w:rsidRPr="00B60A6A">
        <w:rPr>
          <w:color w:val="000000"/>
          <w:sz w:val="24"/>
          <w:szCs w:val="24"/>
        </w:rPr>
        <w:t xml:space="preserve">PTM transmission scheme </w:t>
      </w:r>
      <w:r w:rsidR="00B60A6A">
        <w:rPr>
          <w:color w:val="000000"/>
          <w:sz w:val="24"/>
          <w:szCs w:val="24"/>
        </w:rPr>
        <w:t>2</w:t>
      </w:r>
      <w:r w:rsidR="00250439">
        <w:rPr>
          <w:sz w:val="24"/>
          <w:szCs w:val="24"/>
        </w:rPr>
        <w:t xml:space="preserve">. From our view, we agree that using </w:t>
      </w:r>
      <w:r w:rsidR="00250439" w:rsidRPr="008E7B1A">
        <w:rPr>
          <w:sz w:val="24"/>
          <w:szCs w:val="24"/>
        </w:rPr>
        <w:t>UE-specific PDCCH</w:t>
      </w:r>
      <w:r w:rsidR="00250439">
        <w:rPr>
          <w:sz w:val="24"/>
          <w:szCs w:val="24"/>
        </w:rPr>
        <w:t xml:space="preserve"> may be </w:t>
      </w:r>
      <w:r w:rsidR="004B7CAF">
        <w:rPr>
          <w:sz w:val="24"/>
          <w:szCs w:val="24"/>
        </w:rPr>
        <w:t>beneficial</w:t>
      </w:r>
      <w:r w:rsidR="00250439">
        <w:rPr>
          <w:sz w:val="24"/>
          <w:szCs w:val="24"/>
        </w:rPr>
        <w:t xml:space="preserve"> in some cases, e.g., when the number of the UEs to be </w:t>
      </w:r>
      <w:r w:rsidR="00250439">
        <w:rPr>
          <w:color w:val="000000"/>
          <w:sz w:val="24"/>
          <w:szCs w:val="24"/>
        </w:rPr>
        <w:t>scheduled is small</w:t>
      </w:r>
      <w:r w:rsidR="00B60A6A">
        <w:rPr>
          <w:color w:val="000000"/>
          <w:sz w:val="24"/>
          <w:szCs w:val="24"/>
        </w:rPr>
        <w:t>, improv</w:t>
      </w:r>
      <w:r w:rsidR="001F779F">
        <w:rPr>
          <w:color w:val="000000"/>
          <w:sz w:val="24"/>
          <w:szCs w:val="24"/>
        </w:rPr>
        <w:t>ing</w:t>
      </w:r>
      <w:r w:rsidR="00B60A6A">
        <w:rPr>
          <w:color w:val="000000"/>
          <w:sz w:val="24"/>
          <w:szCs w:val="24"/>
        </w:rPr>
        <w:t xml:space="preserve"> the robustness of the DCI transmission, etc</w:t>
      </w:r>
      <w:r w:rsidR="00250439">
        <w:rPr>
          <w:color w:val="000000"/>
          <w:sz w:val="24"/>
          <w:szCs w:val="24"/>
        </w:rPr>
        <w:t xml:space="preserve">. Therefore, we propose </w:t>
      </w:r>
      <w:r w:rsidR="00250439" w:rsidRPr="008E7B1A">
        <w:rPr>
          <w:sz w:val="24"/>
          <w:szCs w:val="24"/>
        </w:rPr>
        <w:t>UE-specific PDCCH</w:t>
      </w:r>
      <w:r w:rsidR="00250439">
        <w:rPr>
          <w:sz w:val="24"/>
          <w:szCs w:val="24"/>
        </w:rPr>
        <w:t xml:space="preserve"> </w:t>
      </w:r>
      <w:r w:rsidR="00450B4E" w:rsidRPr="00450B4E">
        <w:rPr>
          <w:sz w:val="24"/>
          <w:szCs w:val="24"/>
        </w:rPr>
        <w:t xml:space="preserve">with CRC scrambled by C-RNTI </w:t>
      </w:r>
      <w:r w:rsidR="00250439">
        <w:rPr>
          <w:sz w:val="24"/>
          <w:szCs w:val="24"/>
        </w:rPr>
        <w:t xml:space="preserve">can be supported to </w:t>
      </w:r>
      <w:r w:rsidR="00250439" w:rsidRPr="008E7B1A">
        <w:rPr>
          <w:sz w:val="24"/>
          <w:szCs w:val="24"/>
        </w:rPr>
        <w:t xml:space="preserve">schedule </w:t>
      </w:r>
      <w:r w:rsidR="00250439">
        <w:rPr>
          <w:sz w:val="24"/>
          <w:szCs w:val="24"/>
        </w:rPr>
        <w:t>the</w:t>
      </w:r>
      <w:r w:rsidR="00250439" w:rsidRPr="008E7B1A">
        <w:rPr>
          <w:sz w:val="24"/>
          <w:szCs w:val="24"/>
        </w:rPr>
        <w:t xml:space="preserve"> PDSCH for MBS</w:t>
      </w:r>
      <w:r w:rsidR="00250439">
        <w:rPr>
          <w:sz w:val="24"/>
          <w:szCs w:val="24"/>
        </w:rPr>
        <w:t xml:space="preserve"> in addition to the</w:t>
      </w:r>
      <w:r w:rsidR="00250439" w:rsidRPr="00250439">
        <w:rPr>
          <w:color w:val="000000"/>
          <w:sz w:val="24"/>
          <w:szCs w:val="24"/>
        </w:rPr>
        <w:t xml:space="preserve"> </w:t>
      </w:r>
      <w:r w:rsidR="00250439" w:rsidRPr="008E7B1A">
        <w:rPr>
          <w:color w:val="000000"/>
          <w:sz w:val="24"/>
          <w:szCs w:val="24"/>
        </w:rPr>
        <w:t>group-common PDCCH</w:t>
      </w:r>
      <w:r w:rsidR="00250439">
        <w:rPr>
          <w:color w:val="000000"/>
          <w:sz w:val="24"/>
          <w:szCs w:val="24"/>
        </w:rPr>
        <w:t xml:space="preserve"> </w:t>
      </w:r>
      <w:r w:rsidR="00AE534F">
        <w:rPr>
          <w:color w:val="000000"/>
          <w:sz w:val="24"/>
          <w:szCs w:val="24"/>
        </w:rPr>
        <w:t>f</w:t>
      </w:r>
      <w:r w:rsidR="00AE534F" w:rsidRPr="008E7B1A">
        <w:rPr>
          <w:color w:val="000000"/>
          <w:sz w:val="24"/>
          <w:szCs w:val="24"/>
        </w:rPr>
        <w:t>or RRC_CONNECTED UEs</w:t>
      </w:r>
      <w:r w:rsidR="00AE534F">
        <w:rPr>
          <w:color w:val="000000"/>
          <w:sz w:val="24"/>
          <w:szCs w:val="24"/>
        </w:rPr>
        <w:t xml:space="preserve"> </w:t>
      </w:r>
      <w:r w:rsidR="00250439">
        <w:rPr>
          <w:color w:val="000000"/>
          <w:sz w:val="24"/>
          <w:szCs w:val="24"/>
        </w:rPr>
        <w:t xml:space="preserve">in NR MBS. </w:t>
      </w:r>
      <w:r w:rsidR="00250439">
        <w:rPr>
          <w:sz w:val="24"/>
          <w:szCs w:val="24"/>
        </w:rPr>
        <w:t xml:space="preserve"> </w:t>
      </w:r>
    </w:p>
    <w:p w14:paraId="0ACF1468" w14:textId="220D7E94" w:rsidR="00250439" w:rsidRDefault="00250439" w:rsidP="00A74889">
      <w:pPr>
        <w:spacing w:before="0" w:after="0" w:line="276" w:lineRule="auto"/>
        <w:jc w:val="left"/>
        <w:rPr>
          <w:rFonts w:eastAsia="Batang"/>
          <w:sz w:val="24"/>
          <w:szCs w:val="24"/>
        </w:rPr>
      </w:pPr>
    </w:p>
    <w:p w14:paraId="5A487FC3" w14:textId="757CE5CB" w:rsidR="00F405CA" w:rsidRDefault="00F405CA" w:rsidP="00F405CA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 w:rsidR="006C486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250439" w:rsidRPr="002504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UE-specific PDCCH</w:t>
      </w:r>
      <w:r w:rsidR="00450B4E" w:rsidRPr="00450B4E">
        <w:t xml:space="preserve"> </w:t>
      </w:r>
      <w:r w:rsidR="00450B4E"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with CRC scrambled by C-RNTI</w:t>
      </w:r>
      <w:r w:rsidR="00250439" w:rsidRPr="002504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0D303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is</w:t>
      </w:r>
      <w:r w:rsidR="00250439" w:rsidRPr="002504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supported to schedule the PDSCH for MBS in addition to the group-common PDCCH </w:t>
      </w:r>
      <w:r w:rsidR="00AE534F" w:rsidRPr="00AE534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for </w:t>
      </w:r>
      <w:r w:rsidR="00FF7E68" w:rsidRPr="00AE534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RRC_CONNECTED UEs </w:t>
      </w:r>
      <w:r w:rsidR="00FF7E68" w:rsidRPr="002504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in NR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1F39AA9" w14:textId="7B58C9F4" w:rsidR="00F751CF" w:rsidRDefault="00F751CF" w:rsidP="00F405CA">
      <w:pPr>
        <w:spacing w:before="0" w:after="0"/>
        <w:jc w:val="left"/>
        <w:rPr>
          <w:rFonts w:eastAsia="Batang"/>
          <w:b/>
          <w:bCs/>
          <w:sz w:val="24"/>
          <w:szCs w:val="24"/>
        </w:rPr>
      </w:pPr>
    </w:p>
    <w:p w14:paraId="18487D92" w14:textId="3669FE4F" w:rsidR="00450B4E" w:rsidRDefault="00450B4E" w:rsidP="00F405CA">
      <w:pPr>
        <w:spacing w:before="0" w:after="0"/>
        <w:jc w:val="left"/>
        <w:rPr>
          <w:rFonts w:eastAsia="Batang"/>
          <w:sz w:val="24"/>
          <w:szCs w:val="24"/>
        </w:rPr>
      </w:pPr>
      <w:r w:rsidRPr="00450B4E">
        <w:rPr>
          <w:rFonts w:eastAsia="Batang"/>
          <w:sz w:val="24"/>
          <w:szCs w:val="24"/>
        </w:rPr>
        <w:t>As UE-specific PDCCH with CRC scrambled by C-RNTI</w:t>
      </w:r>
      <w:r>
        <w:rPr>
          <w:rFonts w:eastAsia="Batang"/>
          <w:sz w:val="24"/>
          <w:szCs w:val="24"/>
        </w:rPr>
        <w:t xml:space="preserve"> is also used for scheduling the PDSCH for unicast service, when a UE receives a </w:t>
      </w:r>
      <w:r w:rsidRPr="00450B4E">
        <w:rPr>
          <w:rFonts w:eastAsia="Batang"/>
          <w:sz w:val="24"/>
          <w:szCs w:val="24"/>
        </w:rPr>
        <w:t>UE-specific PDCCH</w:t>
      </w:r>
      <w:r>
        <w:rPr>
          <w:rFonts w:eastAsia="Batang"/>
          <w:sz w:val="24"/>
          <w:szCs w:val="24"/>
        </w:rPr>
        <w:t>,</w:t>
      </w:r>
      <w:r w:rsidRPr="00450B4E">
        <w:rPr>
          <w:rFonts w:eastAsia="Batang"/>
          <w:sz w:val="24"/>
          <w:szCs w:val="24"/>
        </w:rPr>
        <w:t xml:space="preserve"> </w:t>
      </w:r>
      <w:r>
        <w:rPr>
          <w:rFonts w:eastAsia="Batang"/>
          <w:sz w:val="24"/>
          <w:szCs w:val="24"/>
        </w:rPr>
        <w:t xml:space="preserve">the UE need to distinguish which type of PDSCH, </w:t>
      </w:r>
      <w:r w:rsidR="000D3035">
        <w:rPr>
          <w:rFonts w:eastAsia="Batang"/>
          <w:sz w:val="24"/>
          <w:szCs w:val="24"/>
        </w:rPr>
        <w:t xml:space="preserve">i.e., </w:t>
      </w:r>
      <w:r>
        <w:rPr>
          <w:rFonts w:eastAsia="Batang"/>
          <w:sz w:val="24"/>
          <w:szCs w:val="24"/>
        </w:rPr>
        <w:t>MBS or unicast</w:t>
      </w:r>
      <w:r w:rsidR="000D3035">
        <w:rPr>
          <w:rFonts w:eastAsia="Batang"/>
          <w:sz w:val="24"/>
          <w:szCs w:val="24"/>
        </w:rPr>
        <w:t xml:space="preserve"> type</w:t>
      </w:r>
      <w:r>
        <w:rPr>
          <w:rFonts w:eastAsia="Batang"/>
          <w:sz w:val="24"/>
          <w:szCs w:val="24"/>
        </w:rPr>
        <w:t xml:space="preserve">, </w:t>
      </w:r>
      <w:r w:rsidR="000D3035">
        <w:rPr>
          <w:rFonts w:eastAsia="Batang"/>
          <w:sz w:val="24"/>
          <w:szCs w:val="24"/>
        </w:rPr>
        <w:t xml:space="preserve">that </w:t>
      </w:r>
      <w:r>
        <w:rPr>
          <w:rFonts w:eastAsia="Batang"/>
          <w:sz w:val="24"/>
          <w:szCs w:val="24"/>
        </w:rPr>
        <w:t xml:space="preserve">the DCI is scheduling. Therefore, mechanism needs to be introduced for the UE to distinguish </w:t>
      </w:r>
      <w:r w:rsidR="000D3035">
        <w:rPr>
          <w:rFonts w:eastAsia="Batang"/>
          <w:sz w:val="24"/>
          <w:szCs w:val="24"/>
        </w:rPr>
        <w:t xml:space="preserve">between two types, namely </w:t>
      </w:r>
      <w:r>
        <w:rPr>
          <w:rFonts w:eastAsia="Batang"/>
          <w:sz w:val="24"/>
          <w:szCs w:val="24"/>
        </w:rPr>
        <w:t xml:space="preserve">the </w:t>
      </w:r>
      <w:r w:rsidRPr="00450B4E">
        <w:rPr>
          <w:rFonts w:eastAsia="Batang"/>
          <w:sz w:val="24"/>
          <w:szCs w:val="24"/>
        </w:rPr>
        <w:t>UE-specific PDCCH</w:t>
      </w:r>
      <w:r>
        <w:rPr>
          <w:rFonts w:eastAsia="Batang"/>
          <w:sz w:val="24"/>
          <w:szCs w:val="24"/>
        </w:rPr>
        <w:t xml:space="preserve"> scheduling the </w:t>
      </w:r>
      <w:r w:rsidRPr="00450B4E">
        <w:rPr>
          <w:rFonts w:eastAsia="Batang"/>
          <w:sz w:val="24"/>
          <w:szCs w:val="24"/>
        </w:rPr>
        <w:t>MBS</w:t>
      </w:r>
      <w:r>
        <w:rPr>
          <w:rFonts w:eastAsia="Batang"/>
          <w:sz w:val="24"/>
          <w:szCs w:val="24"/>
        </w:rPr>
        <w:t xml:space="preserve"> PDSCH and the PDSCH carrying the payload for unicast service. </w:t>
      </w:r>
    </w:p>
    <w:p w14:paraId="71B77419" w14:textId="77777777" w:rsidR="00450B4E" w:rsidRDefault="00450B4E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42B08E30" w14:textId="0EC364DA" w:rsidR="00450B4E" w:rsidRDefault="00450B4E" w:rsidP="00450B4E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M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echanism needs to be introduced for the UE to distinguish </w:t>
      </w:r>
      <w:r w:rsidR="000D303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between 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the UE-specific PDCCH scheduling the MBS PDSCH and the PDSCH carrying the payload for unicast service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3BF81486" w14:textId="77777777" w:rsidR="00450B4E" w:rsidRPr="00450B4E" w:rsidRDefault="00450B4E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4F5A0739" w14:textId="5F743C77" w:rsidR="00AE534F" w:rsidRDefault="00AE534F" w:rsidP="00A74889">
      <w:pPr>
        <w:spacing w:after="0" w:line="276" w:lineRule="auto"/>
        <w:jc w:val="left"/>
        <w:rPr>
          <w:color w:val="000000"/>
          <w:sz w:val="24"/>
          <w:szCs w:val="24"/>
        </w:rPr>
      </w:pPr>
      <w:r>
        <w:rPr>
          <w:rFonts w:eastAsia="Batang"/>
          <w:sz w:val="24"/>
          <w:szCs w:val="24"/>
        </w:rPr>
        <w:t xml:space="preserve">Another issue </w:t>
      </w:r>
      <w:r w:rsidR="003170D5">
        <w:rPr>
          <w:rFonts w:eastAsia="Batang"/>
          <w:sz w:val="24"/>
          <w:szCs w:val="24"/>
        </w:rPr>
        <w:t>that</w:t>
      </w:r>
      <w:r>
        <w:rPr>
          <w:rFonts w:eastAsia="Batang"/>
          <w:sz w:val="24"/>
          <w:szCs w:val="24"/>
        </w:rPr>
        <w:t xml:space="preserve"> was heavily discussed in </w:t>
      </w:r>
      <w:r w:rsidR="00CE3947">
        <w:rPr>
          <w:rFonts w:eastAsia="Batang"/>
          <w:sz w:val="24"/>
          <w:szCs w:val="24"/>
        </w:rPr>
        <w:t>past two</w:t>
      </w:r>
      <w:r>
        <w:rPr>
          <w:rFonts w:eastAsia="Batang"/>
          <w:sz w:val="24"/>
          <w:szCs w:val="24"/>
        </w:rPr>
        <w:t xml:space="preserve"> meeting</w:t>
      </w:r>
      <w:r w:rsidR="00CE3947">
        <w:rPr>
          <w:rFonts w:eastAsia="Batang"/>
          <w:sz w:val="24"/>
          <w:szCs w:val="24"/>
        </w:rPr>
        <w:t>s</w:t>
      </w:r>
      <w:r>
        <w:rPr>
          <w:rFonts w:eastAsia="Batang"/>
          <w:sz w:val="24"/>
          <w:szCs w:val="24"/>
        </w:rPr>
        <w:t xml:space="preserve"> is whether </w:t>
      </w:r>
      <w:r w:rsidR="003170D5">
        <w:rPr>
          <w:rFonts w:eastAsia="Batang"/>
          <w:sz w:val="24"/>
          <w:szCs w:val="24"/>
        </w:rPr>
        <w:t xml:space="preserve">the </w:t>
      </w:r>
      <w:r>
        <w:rPr>
          <w:rFonts w:eastAsia="Batang"/>
          <w:sz w:val="24"/>
          <w:szCs w:val="24"/>
        </w:rPr>
        <w:t xml:space="preserve">dedicated </w:t>
      </w:r>
      <w:r w:rsidR="00BA657D">
        <w:rPr>
          <w:rFonts w:eastAsia="Batang"/>
          <w:sz w:val="24"/>
          <w:szCs w:val="24"/>
        </w:rPr>
        <w:t xml:space="preserve">MBS </w:t>
      </w:r>
      <w:r>
        <w:rPr>
          <w:rFonts w:eastAsia="Batang"/>
          <w:sz w:val="24"/>
          <w:szCs w:val="24"/>
        </w:rPr>
        <w:t>BWP</w:t>
      </w:r>
      <w:r w:rsidR="00CE3947">
        <w:rPr>
          <w:rFonts w:eastAsia="Batang"/>
          <w:sz w:val="24"/>
          <w:szCs w:val="24"/>
        </w:rPr>
        <w:t xml:space="preserve"> (option 2A)</w:t>
      </w:r>
      <w:r>
        <w:rPr>
          <w:rFonts w:eastAsia="Batang"/>
          <w:sz w:val="24"/>
          <w:szCs w:val="24"/>
        </w:rPr>
        <w:t xml:space="preserve"> or </w:t>
      </w:r>
      <w:r w:rsidR="003170D5">
        <w:rPr>
          <w:rFonts w:eastAsia="Batang"/>
          <w:sz w:val="24"/>
          <w:szCs w:val="24"/>
        </w:rPr>
        <w:t xml:space="preserve">the </w:t>
      </w:r>
      <w:r w:rsidRPr="008E7B1A">
        <w:rPr>
          <w:color w:val="000000"/>
          <w:sz w:val="24"/>
          <w:szCs w:val="24"/>
        </w:rPr>
        <w:t>common frequency resource</w:t>
      </w:r>
      <w:r w:rsidRPr="00AE534F">
        <w:t xml:space="preserve"> </w:t>
      </w:r>
      <w:r w:rsidRPr="00AE534F">
        <w:rPr>
          <w:color w:val="000000"/>
          <w:sz w:val="24"/>
          <w:szCs w:val="24"/>
        </w:rPr>
        <w:t>confined within UEs</w:t>
      </w:r>
      <w:r w:rsidR="00E85881">
        <w:rPr>
          <w:color w:val="000000"/>
          <w:sz w:val="24"/>
          <w:szCs w:val="24"/>
        </w:rPr>
        <w:t>’</w:t>
      </w:r>
      <w:r w:rsidRPr="00AE534F">
        <w:rPr>
          <w:color w:val="000000"/>
          <w:sz w:val="24"/>
          <w:szCs w:val="24"/>
        </w:rPr>
        <w:t xml:space="preserve"> active BWP</w:t>
      </w:r>
      <w:r w:rsidR="003170D5">
        <w:rPr>
          <w:color w:val="000000"/>
          <w:sz w:val="24"/>
          <w:szCs w:val="24"/>
        </w:rPr>
        <w:t>s</w:t>
      </w:r>
      <w:r w:rsidR="00CE3947">
        <w:rPr>
          <w:color w:val="000000"/>
          <w:sz w:val="24"/>
          <w:szCs w:val="24"/>
        </w:rPr>
        <w:t xml:space="preserve"> </w:t>
      </w:r>
      <w:r w:rsidR="00CE3947">
        <w:rPr>
          <w:rFonts w:eastAsia="Batang"/>
          <w:sz w:val="24"/>
          <w:szCs w:val="24"/>
        </w:rPr>
        <w:t>(option 2</w:t>
      </w:r>
      <w:r w:rsidR="00923472">
        <w:rPr>
          <w:rFonts w:eastAsia="Batang"/>
          <w:sz w:val="24"/>
          <w:szCs w:val="24"/>
        </w:rPr>
        <w:t xml:space="preserve">B) </w:t>
      </w:r>
      <w:r w:rsidR="00923472">
        <w:rPr>
          <w:color w:val="000000"/>
          <w:sz w:val="24"/>
          <w:szCs w:val="24"/>
        </w:rPr>
        <w:t>should</w:t>
      </w:r>
      <w:r>
        <w:rPr>
          <w:color w:val="000000"/>
          <w:sz w:val="24"/>
          <w:szCs w:val="24"/>
        </w:rPr>
        <w:t xml:space="preserve"> be used for the MBS operation. </w:t>
      </w:r>
    </w:p>
    <w:p w14:paraId="0ACBE7B8" w14:textId="5D7A0DAF" w:rsidR="00B87FF0" w:rsidRPr="001D1A67" w:rsidRDefault="00AE534F" w:rsidP="00A74889">
      <w:pPr>
        <w:spacing w:after="0" w:line="276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For the </w:t>
      </w:r>
      <w:r w:rsidR="006C1A71">
        <w:rPr>
          <w:color w:val="000000"/>
          <w:sz w:val="24"/>
          <w:szCs w:val="24"/>
        </w:rPr>
        <w:t xml:space="preserve">option </w:t>
      </w:r>
      <w:r w:rsidR="00CE3947">
        <w:rPr>
          <w:color w:val="000000"/>
          <w:sz w:val="24"/>
          <w:szCs w:val="24"/>
        </w:rPr>
        <w:t>2B</w:t>
      </w:r>
      <w:r>
        <w:rPr>
          <w:color w:val="000000"/>
          <w:sz w:val="24"/>
          <w:szCs w:val="24"/>
        </w:rPr>
        <w:t xml:space="preserve">, </w:t>
      </w:r>
      <w:r w:rsidR="003170D5">
        <w:rPr>
          <w:rFonts w:eastAsia="Batang"/>
          <w:sz w:val="24"/>
          <w:szCs w:val="24"/>
        </w:rPr>
        <w:t xml:space="preserve">the </w:t>
      </w:r>
      <w:r w:rsidR="00BA657D" w:rsidRPr="008E7B1A">
        <w:rPr>
          <w:color w:val="000000"/>
          <w:sz w:val="24"/>
          <w:szCs w:val="24"/>
        </w:rPr>
        <w:t>common frequency resource</w:t>
      </w:r>
      <w:r w:rsidR="00BA657D">
        <w:rPr>
          <w:color w:val="000000"/>
          <w:sz w:val="24"/>
          <w:szCs w:val="24"/>
        </w:rPr>
        <w:t xml:space="preserve"> </w:t>
      </w:r>
      <w:r w:rsidR="003170D5">
        <w:rPr>
          <w:color w:val="000000"/>
          <w:sz w:val="24"/>
          <w:szCs w:val="24"/>
        </w:rPr>
        <w:t>is</w:t>
      </w:r>
      <w:r w:rsidR="003170D5" w:rsidRPr="00AE534F">
        <w:t xml:space="preserve"> </w:t>
      </w:r>
      <w:r w:rsidR="003170D5" w:rsidRPr="00AE534F">
        <w:rPr>
          <w:color w:val="000000"/>
          <w:sz w:val="24"/>
          <w:szCs w:val="24"/>
        </w:rPr>
        <w:t>confined within UEs</w:t>
      </w:r>
      <w:r w:rsidR="004D29B7">
        <w:rPr>
          <w:color w:val="000000"/>
          <w:sz w:val="24"/>
          <w:szCs w:val="24"/>
        </w:rPr>
        <w:t>’</w:t>
      </w:r>
      <w:r w:rsidR="003170D5" w:rsidRPr="00AE534F">
        <w:rPr>
          <w:color w:val="000000"/>
          <w:sz w:val="24"/>
          <w:szCs w:val="24"/>
        </w:rPr>
        <w:t xml:space="preserve"> active BWP</w:t>
      </w:r>
      <w:r w:rsidR="003170D5">
        <w:rPr>
          <w:color w:val="000000"/>
          <w:sz w:val="24"/>
          <w:szCs w:val="24"/>
        </w:rPr>
        <w:t>s and</w:t>
      </w:r>
      <w:r w:rsidR="00971976">
        <w:rPr>
          <w:color w:val="000000"/>
          <w:sz w:val="24"/>
          <w:szCs w:val="24"/>
        </w:rPr>
        <w:t xml:space="preserve"> the</w:t>
      </w:r>
      <w:r w:rsidR="003170D5">
        <w:rPr>
          <w:color w:val="000000"/>
          <w:sz w:val="24"/>
          <w:szCs w:val="24"/>
        </w:rPr>
        <w:t xml:space="preserve"> intersection of the </w:t>
      </w:r>
      <w:r w:rsidR="003170D5" w:rsidRPr="00AE534F">
        <w:rPr>
          <w:color w:val="000000"/>
          <w:sz w:val="24"/>
          <w:szCs w:val="24"/>
        </w:rPr>
        <w:t>UEs</w:t>
      </w:r>
      <w:r w:rsidR="00E85881">
        <w:rPr>
          <w:color w:val="000000"/>
          <w:sz w:val="24"/>
          <w:szCs w:val="24"/>
        </w:rPr>
        <w:t>’</w:t>
      </w:r>
      <w:r w:rsidR="003170D5" w:rsidRPr="00AE534F">
        <w:rPr>
          <w:color w:val="000000"/>
          <w:sz w:val="24"/>
          <w:szCs w:val="24"/>
        </w:rPr>
        <w:t xml:space="preserve"> active BWP</w:t>
      </w:r>
      <w:r w:rsidR="003170D5">
        <w:rPr>
          <w:color w:val="000000"/>
          <w:sz w:val="24"/>
          <w:szCs w:val="24"/>
        </w:rPr>
        <w:t xml:space="preserve">s will be used for NR MBS. It is </w:t>
      </w:r>
      <w:r w:rsidR="004B7CAF">
        <w:rPr>
          <w:color w:val="000000"/>
          <w:sz w:val="24"/>
          <w:szCs w:val="24"/>
        </w:rPr>
        <w:t>obvious</w:t>
      </w:r>
      <w:r w:rsidR="003170D5">
        <w:rPr>
          <w:color w:val="000000"/>
          <w:sz w:val="24"/>
          <w:szCs w:val="24"/>
        </w:rPr>
        <w:t xml:space="preserve"> that this approach works only when such </w:t>
      </w:r>
      <w:r w:rsidR="00971976" w:rsidRPr="008E7B1A">
        <w:rPr>
          <w:color w:val="000000"/>
          <w:sz w:val="24"/>
          <w:szCs w:val="24"/>
        </w:rPr>
        <w:t>common frequency resource</w:t>
      </w:r>
      <w:r w:rsidR="00971976">
        <w:rPr>
          <w:color w:val="000000"/>
          <w:sz w:val="24"/>
          <w:szCs w:val="24"/>
        </w:rPr>
        <w:t xml:space="preserve"> </w:t>
      </w:r>
      <w:r w:rsidR="004B7CAF">
        <w:rPr>
          <w:color w:val="000000"/>
          <w:sz w:val="24"/>
          <w:szCs w:val="24"/>
        </w:rPr>
        <w:t>exists</w:t>
      </w:r>
      <w:r w:rsidR="00971976">
        <w:rPr>
          <w:color w:val="000000"/>
          <w:sz w:val="24"/>
          <w:szCs w:val="24"/>
        </w:rPr>
        <w:t xml:space="preserve">. However, in NR, different UEs can be configured and activated with different BWPs. Also, different numerologies may be used </w:t>
      </w:r>
      <w:r w:rsidR="004B7CAF">
        <w:rPr>
          <w:color w:val="000000"/>
          <w:sz w:val="24"/>
          <w:szCs w:val="24"/>
        </w:rPr>
        <w:t>for</w:t>
      </w:r>
      <w:r w:rsidR="00971976">
        <w:rPr>
          <w:color w:val="000000"/>
          <w:sz w:val="24"/>
          <w:szCs w:val="24"/>
        </w:rPr>
        <w:t xml:space="preserve"> different BWPs. </w:t>
      </w:r>
      <w:r w:rsidR="007C578E">
        <w:rPr>
          <w:color w:val="000000"/>
          <w:sz w:val="24"/>
          <w:szCs w:val="24"/>
        </w:rPr>
        <w:t xml:space="preserve">In a practical system, such </w:t>
      </w:r>
      <w:r w:rsidR="007C578E" w:rsidRPr="008E7B1A">
        <w:rPr>
          <w:color w:val="000000"/>
          <w:sz w:val="24"/>
          <w:szCs w:val="24"/>
        </w:rPr>
        <w:t>common frequency resource</w:t>
      </w:r>
      <w:r w:rsidR="007C578E">
        <w:rPr>
          <w:color w:val="000000"/>
          <w:sz w:val="24"/>
          <w:szCs w:val="24"/>
        </w:rPr>
        <w:t xml:space="preserve"> may not always </w:t>
      </w:r>
      <w:r w:rsidR="004B7CAF">
        <w:rPr>
          <w:color w:val="000000"/>
          <w:sz w:val="24"/>
          <w:szCs w:val="24"/>
        </w:rPr>
        <w:t>exist</w:t>
      </w:r>
      <w:r w:rsidR="007C578E">
        <w:rPr>
          <w:color w:val="000000"/>
          <w:sz w:val="24"/>
          <w:szCs w:val="24"/>
        </w:rPr>
        <w:t xml:space="preserve"> unless the network force</w:t>
      </w:r>
      <w:r w:rsidR="00FF7A87">
        <w:rPr>
          <w:color w:val="000000"/>
          <w:sz w:val="24"/>
          <w:szCs w:val="24"/>
        </w:rPr>
        <w:t>s</w:t>
      </w:r>
      <w:r w:rsidR="007C578E">
        <w:rPr>
          <w:color w:val="000000"/>
          <w:sz w:val="24"/>
          <w:szCs w:val="24"/>
        </w:rPr>
        <w:t xml:space="preserve"> </w:t>
      </w:r>
      <w:r w:rsidR="001D1A67">
        <w:rPr>
          <w:color w:val="000000"/>
          <w:sz w:val="24"/>
          <w:szCs w:val="24"/>
        </w:rPr>
        <w:t xml:space="preserve">it </w:t>
      </w:r>
      <w:r w:rsidR="00FF7A87">
        <w:rPr>
          <w:color w:val="000000"/>
          <w:sz w:val="24"/>
          <w:szCs w:val="24"/>
        </w:rPr>
        <w:t xml:space="preserve">to </w:t>
      </w:r>
      <w:r w:rsidR="001D1A67">
        <w:rPr>
          <w:color w:val="000000"/>
          <w:sz w:val="24"/>
          <w:szCs w:val="24"/>
        </w:rPr>
        <w:t xml:space="preserve">happen which will </w:t>
      </w:r>
      <w:r w:rsidR="00FF7A87">
        <w:rPr>
          <w:color w:val="000000"/>
          <w:sz w:val="24"/>
          <w:szCs w:val="24"/>
        </w:rPr>
        <w:t xml:space="preserve">result in </w:t>
      </w:r>
      <w:r w:rsidR="001D1A67">
        <w:rPr>
          <w:color w:val="000000"/>
          <w:sz w:val="24"/>
          <w:szCs w:val="24"/>
        </w:rPr>
        <w:t xml:space="preserve">restriction to the system. Therefore, it is not wise to select an approach that </w:t>
      </w:r>
      <w:r w:rsidR="00B21BE5">
        <w:rPr>
          <w:color w:val="000000"/>
          <w:sz w:val="24"/>
          <w:szCs w:val="24"/>
        </w:rPr>
        <w:t>ca</w:t>
      </w:r>
      <w:r w:rsidR="006C02B2">
        <w:rPr>
          <w:color w:val="000000"/>
          <w:sz w:val="24"/>
          <w:szCs w:val="24"/>
        </w:rPr>
        <w:t>n not</w:t>
      </w:r>
      <w:r w:rsidR="00B21BE5">
        <w:rPr>
          <w:color w:val="000000"/>
          <w:sz w:val="24"/>
          <w:szCs w:val="24"/>
        </w:rPr>
        <w:t xml:space="preserve"> be</w:t>
      </w:r>
      <w:r w:rsidR="00D744D4">
        <w:rPr>
          <w:color w:val="000000"/>
          <w:sz w:val="24"/>
          <w:szCs w:val="24"/>
        </w:rPr>
        <w:t xml:space="preserve"> fulfilled in</w:t>
      </w:r>
      <w:r w:rsidR="001D1A67">
        <w:rPr>
          <w:color w:val="000000"/>
          <w:sz w:val="24"/>
          <w:szCs w:val="24"/>
        </w:rPr>
        <w:t xml:space="preserve"> all the MBS scenarios, </w:t>
      </w:r>
      <w:r w:rsidR="004B7CAF">
        <w:rPr>
          <w:color w:val="000000"/>
          <w:sz w:val="24"/>
          <w:szCs w:val="24"/>
        </w:rPr>
        <w:t>especially</w:t>
      </w:r>
      <w:r w:rsidR="001D1A67">
        <w:rPr>
          <w:color w:val="000000"/>
          <w:sz w:val="24"/>
          <w:szCs w:val="24"/>
        </w:rPr>
        <w:t xml:space="preserve"> when we are designing the very basic and fundamental function of the MBS in the very early stage of the MBS discussion. Also, from </w:t>
      </w:r>
      <w:r w:rsidR="001D1A67" w:rsidRPr="001D1A67">
        <w:rPr>
          <w:color w:val="000000"/>
          <w:sz w:val="24"/>
          <w:szCs w:val="24"/>
        </w:rPr>
        <w:t>forward compatibility</w:t>
      </w:r>
      <w:r w:rsidR="001D1A67">
        <w:rPr>
          <w:color w:val="000000"/>
          <w:sz w:val="24"/>
          <w:szCs w:val="24"/>
        </w:rPr>
        <w:t xml:space="preserve"> perspective, this approach is not desirable either.</w:t>
      </w:r>
    </w:p>
    <w:p w14:paraId="6431C88E" w14:textId="59879633" w:rsidR="00CE3947" w:rsidRDefault="00CE3947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  <w:r>
        <w:rPr>
          <w:color w:val="000000"/>
          <w:sz w:val="24"/>
          <w:szCs w:val="24"/>
        </w:rPr>
        <w:t>Option 2A uses</w:t>
      </w:r>
      <w:r w:rsidR="001D1A67">
        <w:rPr>
          <w:rFonts w:eastAsia="Batang"/>
          <w:sz w:val="24"/>
          <w:szCs w:val="24"/>
        </w:rPr>
        <w:t xml:space="preserve"> the dedicated</w:t>
      </w:r>
      <w:r w:rsidR="00BA657D">
        <w:rPr>
          <w:rFonts w:eastAsia="Batang"/>
          <w:sz w:val="24"/>
          <w:szCs w:val="24"/>
        </w:rPr>
        <w:t xml:space="preserve"> MBS</w:t>
      </w:r>
      <w:r w:rsidR="001D1A67">
        <w:rPr>
          <w:rFonts w:eastAsia="Batang"/>
          <w:sz w:val="24"/>
          <w:szCs w:val="24"/>
        </w:rPr>
        <w:t xml:space="preserve"> BWP</w:t>
      </w:r>
      <w:r>
        <w:rPr>
          <w:rFonts w:eastAsia="Batang"/>
          <w:sz w:val="24"/>
          <w:szCs w:val="24"/>
        </w:rPr>
        <w:t xml:space="preserve"> for the MBS operation</w:t>
      </w:r>
      <w:r w:rsidR="00034079">
        <w:rPr>
          <w:rFonts w:eastAsia="Batang"/>
          <w:sz w:val="24"/>
          <w:szCs w:val="24"/>
        </w:rPr>
        <w:t>.</w:t>
      </w:r>
      <w:r w:rsidR="00BA657D">
        <w:rPr>
          <w:rFonts w:eastAsia="Batang"/>
          <w:sz w:val="24"/>
          <w:szCs w:val="24"/>
        </w:rPr>
        <w:t xml:space="preserve"> In this approach, the network has the full flexibility to configure and activate the MBS BWP used by the UEs to receive the MBS. For example, when the </w:t>
      </w:r>
      <w:r w:rsidR="00BA657D" w:rsidRPr="008E7B1A">
        <w:rPr>
          <w:color w:val="000000"/>
          <w:sz w:val="24"/>
          <w:szCs w:val="24"/>
        </w:rPr>
        <w:t>common frequency resource</w:t>
      </w:r>
      <w:r w:rsidR="00BA657D">
        <w:rPr>
          <w:rFonts w:eastAsia="Batang"/>
          <w:sz w:val="24"/>
          <w:szCs w:val="24"/>
        </w:rPr>
        <w:t xml:space="preserve"> </w:t>
      </w:r>
      <w:r w:rsidR="00BA657D" w:rsidRPr="00AE534F">
        <w:rPr>
          <w:color w:val="000000"/>
          <w:sz w:val="24"/>
          <w:szCs w:val="24"/>
        </w:rPr>
        <w:t>confined within UEs</w:t>
      </w:r>
      <w:r w:rsidR="00E85881">
        <w:rPr>
          <w:color w:val="000000"/>
          <w:sz w:val="24"/>
          <w:szCs w:val="24"/>
        </w:rPr>
        <w:t>’</w:t>
      </w:r>
      <w:r w:rsidR="00BA657D" w:rsidRPr="00AE534F">
        <w:rPr>
          <w:color w:val="000000"/>
          <w:sz w:val="24"/>
          <w:szCs w:val="24"/>
        </w:rPr>
        <w:t xml:space="preserve"> active BWP</w:t>
      </w:r>
      <w:r w:rsidR="00BA657D">
        <w:rPr>
          <w:color w:val="000000"/>
          <w:sz w:val="24"/>
          <w:szCs w:val="24"/>
        </w:rPr>
        <w:t xml:space="preserve">s exists, the network may configure it as the MBS BWP and </w:t>
      </w:r>
      <w:r w:rsidR="004B7CAF">
        <w:rPr>
          <w:color w:val="000000"/>
          <w:sz w:val="24"/>
          <w:szCs w:val="24"/>
        </w:rPr>
        <w:t>utilize</w:t>
      </w:r>
      <w:r w:rsidR="00BA657D">
        <w:rPr>
          <w:color w:val="000000"/>
          <w:sz w:val="24"/>
          <w:szCs w:val="24"/>
        </w:rPr>
        <w:t xml:space="preserve"> the advantages it </w:t>
      </w:r>
      <w:r w:rsidR="00FF7A87">
        <w:rPr>
          <w:color w:val="000000"/>
          <w:sz w:val="24"/>
          <w:szCs w:val="24"/>
        </w:rPr>
        <w:t>offers</w:t>
      </w:r>
      <w:r w:rsidR="00BA657D">
        <w:rPr>
          <w:color w:val="000000"/>
          <w:sz w:val="24"/>
          <w:szCs w:val="24"/>
        </w:rPr>
        <w:t xml:space="preserve">. When such </w:t>
      </w:r>
      <w:r w:rsidR="00BA657D" w:rsidRPr="008E7B1A">
        <w:rPr>
          <w:color w:val="000000"/>
          <w:sz w:val="24"/>
          <w:szCs w:val="24"/>
        </w:rPr>
        <w:t>common frequency resource</w:t>
      </w:r>
      <w:r w:rsidR="00BA657D">
        <w:rPr>
          <w:color w:val="000000"/>
          <w:sz w:val="24"/>
          <w:szCs w:val="24"/>
        </w:rPr>
        <w:t xml:space="preserve"> does</w:t>
      </w:r>
      <w:r w:rsidR="006C02B2">
        <w:rPr>
          <w:color w:val="000000"/>
          <w:sz w:val="24"/>
          <w:szCs w:val="24"/>
        </w:rPr>
        <w:t xml:space="preserve"> not</w:t>
      </w:r>
      <w:r w:rsidR="00BA657D">
        <w:rPr>
          <w:color w:val="000000"/>
          <w:sz w:val="24"/>
          <w:szCs w:val="24"/>
        </w:rPr>
        <w:t xml:space="preserve"> exist, the network can still configure and </w:t>
      </w:r>
      <w:r w:rsidR="00BA657D">
        <w:rPr>
          <w:rFonts w:eastAsia="Batang"/>
          <w:sz w:val="24"/>
          <w:szCs w:val="24"/>
        </w:rPr>
        <w:t xml:space="preserve">activate some other frequency band as the MBS BWP to make the system work. From our view, the previous approach is a subset of </w:t>
      </w:r>
      <w:r w:rsidR="00FF7E68">
        <w:rPr>
          <w:rFonts w:eastAsia="Batang"/>
          <w:sz w:val="24"/>
          <w:szCs w:val="24"/>
        </w:rPr>
        <w:lastRenderedPageBreak/>
        <w:t>the dedicated MBS BWP</w:t>
      </w:r>
      <w:r w:rsidR="00BA657D">
        <w:rPr>
          <w:rFonts w:eastAsia="Batang"/>
          <w:sz w:val="24"/>
          <w:szCs w:val="24"/>
        </w:rPr>
        <w:t xml:space="preserve"> approach</w:t>
      </w:r>
      <w:r w:rsidR="00FF7E68">
        <w:rPr>
          <w:rFonts w:eastAsia="Batang"/>
          <w:sz w:val="24"/>
          <w:szCs w:val="24"/>
        </w:rPr>
        <w:t>, where the dedicated MBS BWP approach</w:t>
      </w:r>
      <w:r w:rsidR="00BA657D">
        <w:rPr>
          <w:rFonts w:eastAsia="Batang"/>
          <w:sz w:val="24"/>
          <w:szCs w:val="24"/>
        </w:rPr>
        <w:t xml:space="preserve"> can address </w:t>
      </w:r>
      <w:r w:rsidR="00FF7E68">
        <w:rPr>
          <w:rFonts w:eastAsia="Batang"/>
          <w:sz w:val="24"/>
          <w:szCs w:val="24"/>
        </w:rPr>
        <w:t>all the different use cases</w:t>
      </w:r>
      <w:r w:rsidR="00BA657D">
        <w:rPr>
          <w:rFonts w:eastAsia="Batang"/>
          <w:sz w:val="24"/>
          <w:szCs w:val="24"/>
        </w:rPr>
        <w:t xml:space="preserve">. </w:t>
      </w:r>
    </w:p>
    <w:p w14:paraId="5062E138" w14:textId="23608807" w:rsidR="00B87FF0" w:rsidRDefault="00CE3947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During the RAN1 #103e meeting, some companies raised that </w:t>
      </w:r>
      <w:r w:rsidRPr="00CE3947">
        <w:rPr>
          <w:rFonts w:eastAsia="Batang"/>
          <w:sz w:val="24"/>
          <w:szCs w:val="24"/>
        </w:rPr>
        <w:t>BWP switching is needed</w:t>
      </w:r>
      <w:r>
        <w:rPr>
          <w:rFonts w:eastAsia="Batang"/>
          <w:sz w:val="24"/>
          <w:szCs w:val="24"/>
        </w:rPr>
        <w:t xml:space="preserve"> </w:t>
      </w:r>
      <w:r w:rsidR="00923472">
        <w:rPr>
          <w:rFonts w:eastAsia="Batang"/>
          <w:sz w:val="24"/>
          <w:szCs w:val="24"/>
        </w:rPr>
        <w:t>between</w:t>
      </w:r>
      <w:r>
        <w:rPr>
          <w:rFonts w:eastAsia="Batang"/>
          <w:sz w:val="24"/>
          <w:szCs w:val="24"/>
        </w:rPr>
        <w:t xml:space="preserve"> the </w:t>
      </w:r>
      <w:r w:rsidRPr="00CE3947">
        <w:rPr>
          <w:rFonts w:eastAsia="Batang"/>
          <w:sz w:val="24"/>
          <w:szCs w:val="24"/>
        </w:rPr>
        <w:t>MBS specific</w:t>
      </w:r>
      <w:r>
        <w:rPr>
          <w:rFonts w:eastAsia="Batang"/>
          <w:sz w:val="24"/>
          <w:szCs w:val="24"/>
        </w:rPr>
        <w:t xml:space="preserve"> BWP and the </w:t>
      </w:r>
      <w:r w:rsidRPr="00CE3947">
        <w:rPr>
          <w:rFonts w:eastAsia="Batang"/>
          <w:sz w:val="24"/>
          <w:szCs w:val="24"/>
        </w:rPr>
        <w:t>dedicated unicast BWP</w:t>
      </w:r>
      <w:r>
        <w:rPr>
          <w:rFonts w:eastAsia="Batang"/>
          <w:sz w:val="24"/>
          <w:szCs w:val="24"/>
        </w:rPr>
        <w:t xml:space="preserve"> even when the </w:t>
      </w:r>
      <w:r w:rsidRPr="00CE3947">
        <w:rPr>
          <w:rFonts w:eastAsia="Batang"/>
          <w:sz w:val="24"/>
          <w:szCs w:val="24"/>
        </w:rPr>
        <w:t>MBS specific</w:t>
      </w:r>
      <w:r>
        <w:rPr>
          <w:rFonts w:eastAsia="Batang"/>
          <w:sz w:val="24"/>
          <w:szCs w:val="24"/>
        </w:rPr>
        <w:t xml:space="preserve"> BWP is confined within the</w:t>
      </w:r>
      <w:r w:rsidR="006C02B2" w:rsidRPr="006C02B2">
        <w:rPr>
          <w:rFonts w:eastAsia="Batang"/>
          <w:sz w:val="24"/>
          <w:szCs w:val="24"/>
        </w:rPr>
        <w:t xml:space="preserve"> </w:t>
      </w:r>
      <w:r w:rsidR="006C02B2" w:rsidRPr="00CE3947">
        <w:rPr>
          <w:rFonts w:eastAsia="Batang"/>
          <w:sz w:val="24"/>
          <w:szCs w:val="24"/>
        </w:rPr>
        <w:t>dedicated unicast BWP</w:t>
      </w:r>
      <w:r w:rsidR="006012CC">
        <w:rPr>
          <w:rFonts w:eastAsia="Batang"/>
          <w:sz w:val="24"/>
          <w:szCs w:val="24"/>
        </w:rPr>
        <w:t>, which will introduce delay to the system</w:t>
      </w:r>
      <w:r w:rsidR="006C02B2">
        <w:rPr>
          <w:rFonts w:eastAsia="Batang"/>
          <w:sz w:val="24"/>
          <w:szCs w:val="24"/>
        </w:rPr>
        <w:t xml:space="preserve">. In our view, BWP </w:t>
      </w:r>
      <w:r w:rsidR="006C02B2" w:rsidRPr="00CE3947">
        <w:rPr>
          <w:rFonts w:eastAsia="Batang"/>
          <w:sz w:val="24"/>
          <w:szCs w:val="24"/>
        </w:rPr>
        <w:t>switching</w:t>
      </w:r>
      <w:r w:rsidR="006C02B2">
        <w:rPr>
          <w:rFonts w:eastAsia="Batang"/>
          <w:sz w:val="24"/>
          <w:szCs w:val="24"/>
        </w:rPr>
        <w:t xml:space="preserve"> is not needed as the UE does not need to tune its RF chain to receive the MBS and such argument does not hold.</w:t>
      </w:r>
      <w:r>
        <w:rPr>
          <w:rFonts w:eastAsia="Batang"/>
          <w:sz w:val="24"/>
          <w:szCs w:val="24"/>
        </w:rPr>
        <w:t xml:space="preserve"> </w:t>
      </w:r>
      <w:r w:rsidR="00FF7E68">
        <w:rPr>
          <w:rFonts w:eastAsia="Batang"/>
          <w:sz w:val="24"/>
          <w:szCs w:val="24"/>
        </w:rPr>
        <w:t xml:space="preserve">Therefore, we propose </w:t>
      </w:r>
      <w:bookmarkStart w:id="1" w:name="_Hlk53736116"/>
      <w:r w:rsidR="00FF7A87">
        <w:rPr>
          <w:rFonts w:eastAsia="Batang"/>
          <w:sz w:val="24"/>
          <w:szCs w:val="24"/>
        </w:rPr>
        <w:t xml:space="preserve">that </w:t>
      </w:r>
      <w:r w:rsidR="00FF7E68">
        <w:rPr>
          <w:rFonts w:eastAsia="Batang"/>
          <w:sz w:val="24"/>
          <w:szCs w:val="24"/>
        </w:rPr>
        <w:t>dedicated MBS BWP</w:t>
      </w:r>
      <w:r w:rsidR="006C02B2">
        <w:rPr>
          <w:rFonts w:eastAsia="Batang"/>
          <w:sz w:val="24"/>
          <w:szCs w:val="24"/>
        </w:rPr>
        <w:t xml:space="preserve"> (option 2A)</w:t>
      </w:r>
      <w:r w:rsidR="00FF7E68">
        <w:rPr>
          <w:rFonts w:eastAsia="Batang"/>
          <w:sz w:val="24"/>
          <w:szCs w:val="24"/>
        </w:rPr>
        <w:t xml:space="preserve"> should be supported for </w:t>
      </w:r>
      <w:r w:rsidR="00FF7E68" w:rsidRPr="00FF7E68">
        <w:rPr>
          <w:rFonts w:eastAsia="Batang"/>
          <w:sz w:val="24"/>
          <w:szCs w:val="24"/>
        </w:rPr>
        <w:t>RRC_CONNECTED UEs in NR MBS</w:t>
      </w:r>
      <w:r w:rsidR="00FF7E68">
        <w:rPr>
          <w:rFonts w:eastAsia="Batang"/>
          <w:sz w:val="24"/>
          <w:szCs w:val="24"/>
        </w:rPr>
        <w:t>.</w:t>
      </w:r>
      <w:bookmarkEnd w:id="1"/>
    </w:p>
    <w:p w14:paraId="77172C58" w14:textId="4F0D1564" w:rsidR="00034079" w:rsidRDefault="00034079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56A7A2B9" w14:textId="4394DBCA" w:rsidR="00034079" w:rsidRDefault="00034079" w:rsidP="00034079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3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D</w:t>
      </w:r>
      <w:r w:rsidR="00FF7E68"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edicated MBS BWP</w:t>
      </w:r>
      <w:r w:rsid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(option 2A)</w:t>
      </w:r>
      <w:r w:rsidR="00FF7E68"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should be supported for RRC_CONNECTED UEs in NR MBS.</w:t>
      </w:r>
    </w:p>
    <w:p w14:paraId="43FA8D0C" w14:textId="689C9422" w:rsidR="00034079" w:rsidRDefault="00034079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5239DC32" w14:textId="688BAB0B" w:rsidR="00FD1946" w:rsidRPr="005D2338" w:rsidRDefault="004262A9" w:rsidP="00905F64">
      <w:pPr>
        <w:pStyle w:val="Heading1"/>
        <w:numPr>
          <w:ilvl w:val="0"/>
          <w:numId w:val="24"/>
        </w:numPr>
        <w:spacing w:before="0" w:after="120"/>
      </w:pPr>
      <w:r>
        <w:t>Conclusion</w:t>
      </w:r>
    </w:p>
    <w:p w14:paraId="704B46AB" w14:textId="5DE0213B" w:rsidR="00387F84" w:rsidRDefault="00387F84" w:rsidP="00387F84">
      <w:pPr>
        <w:rPr>
          <w:rFonts w:eastAsia="Batang"/>
          <w:b/>
          <w:i/>
          <w:sz w:val="24"/>
          <w:szCs w:val="22"/>
          <w:lang w:val="en-US" w:eastAsia="ko-KR"/>
        </w:rPr>
      </w:pPr>
      <w:r w:rsidRPr="00A650EE">
        <w:rPr>
          <w:rFonts w:eastAsia="Batang"/>
          <w:sz w:val="24"/>
          <w:szCs w:val="24"/>
          <w:lang w:val="en-US" w:eastAsia="ko-KR"/>
        </w:rPr>
        <w:t>In this contribution,</w:t>
      </w:r>
      <w:r>
        <w:rPr>
          <w:rFonts w:eastAsia="Batang"/>
          <w:sz w:val="24"/>
          <w:szCs w:val="24"/>
          <w:lang w:val="en-US" w:eastAsia="ko-KR"/>
        </w:rPr>
        <w:t xml:space="preserve"> we have the following proposals</w:t>
      </w:r>
      <w:r w:rsidR="00A77CD9">
        <w:rPr>
          <w:rFonts w:eastAsia="Batang"/>
          <w:sz w:val="24"/>
          <w:szCs w:val="24"/>
          <w:lang w:val="en-US" w:eastAsia="ko-KR"/>
        </w:rPr>
        <w:t>:</w:t>
      </w:r>
    </w:p>
    <w:p w14:paraId="0F783299" w14:textId="4E30D444" w:rsidR="00450B4E" w:rsidRDefault="00450B4E" w:rsidP="00450B4E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2504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UE-specific PDCCH</w:t>
      </w:r>
      <w:r w:rsidRPr="00450B4E">
        <w:t xml:space="preserve"> 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with CRC scrambled by C-RNTI</w:t>
      </w:r>
      <w:r w:rsidRPr="002504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707AF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is</w:t>
      </w:r>
      <w:r w:rsidRPr="002504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supported to schedule the PDSCH for MBS in addition to the group-common PDCCH </w:t>
      </w:r>
      <w:r w:rsidRPr="00AE534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for RRC_CONNECTED UEs </w:t>
      </w:r>
      <w:r w:rsidRPr="002504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in NR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2C2F4FC2" w14:textId="7271BD78" w:rsidR="00450B4E" w:rsidRDefault="00450B4E" w:rsidP="00450B4E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M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echanism needs to be introduced for the UE to distinguish </w:t>
      </w:r>
      <w:r w:rsidR="00707AF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between 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the UE-specific PDCCH scheduling the MBS PDSCH and the PDSCH carrying the payload for unicast service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3C9D7EB9" w14:textId="77777777" w:rsidR="00450B4E" w:rsidRDefault="00450B4E" w:rsidP="00450B4E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3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D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edicated MBS BWP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(option 2A)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should be supported for RRC_CONNECTED UEs in NR MBS.</w:t>
      </w:r>
    </w:p>
    <w:p w14:paraId="3BDEC2A1" w14:textId="4D185793" w:rsidR="009F4B00" w:rsidRDefault="009F4B00" w:rsidP="00905F64">
      <w:pPr>
        <w:spacing w:before="0"/>
        <w:rPr>
          <w:b/>
          <w:i/>
          <w:szCs w:val="22"/>
        </w:rPr>
      </w:pPr>
    </w:p>
    <w:p w14:paraId="0267DF52" w14:textId="77777777" w:rsidR="005764E8" w:rsidRPr="005D2338" w:rsidRDefault="00A650EE" w:rsidP="00905F64">
      <w:pPr>
        <w:pStyle w:val="Heading1"/>
        <w:numPr>
          <w:ilvl w:val="0"/>
          <w:numId w:val="24"/>
        </w:numPr>
        <w:spacing w:before="0" w:after="120"/>
      </w:pPr>
      <w:r w:rsidRPr="00A650EE">
        <w:t>Reference</w:t>
      </w:r>
      <w:r w:rsidR="004D29B6">
        <w:t>s</w:t>
      </w:r>
    </w:p>
    <w:p w14:paraId="3C76903D" w14:textId="743AF00F" w:rsidR="004929C9" w:rsidRPr="00AD541F" w:rsidRDefault="004929C9" w:rsidP="004929C9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bookmarkStart w:id="2" w:name="_Ref47528408"/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>Chairman Notes, RAN1 #10</w:t>
      </w:r>
      <w:r w:rsidR="00773155">
        <w:rPr>
          <w:rFonts w:ascii="Times New Roman" w:eastAsia="PMingLiU" w:hAnsi="Times New Roman" w:cs="Times New Roman"/>
          <w:color w:val="000000" w:themeColor="text1"/>
          <w:sz w:val="22"/>
        </w:rPr>
        <w:t>3</w:t>
      </w:r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 xml:space="preserve">-e, </w:t>
      </w:r>
      <w:bookmarkEnd w:id="2"/>
      <w:r w:rsidR="00773155" w:rsidRPr="00773155">
        <w:rPr>
          <w:rFonts w:ascii="Times New Roman" w:eastAsia="MS Mincho" w:hAnsi="Times New Roman" w:cs="Times New Roman"/>
          <w:bCs/>
          <w:sz w:val="22"/>
          <w:szCs w:val="22"/>
          <w:lang w:eastAsia="ja-JP"/>
        </w:rPr>
        <w:t>October 26</w:t>
      </w:r>
      <w:r w:rsidR="00773155" w:rsidRPr="00773155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eastAsia="ja-JP"/>
        </w:rPr>
        <w:t>th</w:t>
      </w:r>
      <w:r w:rsidR="00773155" w:rsidRPr="00773155">
        <w:rPr>
          <w:rFonts w:ascii="Times New Roman" w:eastAsia="MS Mincho" w:hAnsi="Times New Roman" w:cs="Times New Roman"/>
          <w:bCs/>
          <w:sz w:val="22"/>
          <w:szCs w:val="22"/>
          <w:lang w:eastAsia="ja-JP"/>
        </w:rPr>
        <w:t xml:space="preserve"> – November 13</w:t>
      </w:r>
      <w:r w:rsidR="00773155" w:rsidRPr="00773155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eastAsia="ja-JP"/>
        </w:rPr>
        <w:t>th</w:t>
      </w:r>
      <w:r w:rsidR="00773155" w:rsidRPr="00773155">
        <w:rPr>
          <w:rFonts w:ascii="Times New Roman" w:eastAsia="MS Mincho" w:hAnsi="Times New Roman" w:cs="Times New Roman"/>
          <w:bCs/>
          <w:sz w:val="22"/>
          <w:szCs w:val="22"/>
          <w:lang w:eastAsia="ja-JP"/>
        </w:rPr>
        <w:t>, 2020</w:t>
      </w:r>
    </w:p>
    <w:p w14:paraId="6283EB2A" w14:textId="5DDA3329" w:rsidR="002E6AD0" w:rsidRPr="004655C2" w:rsidRDefault="002E6AD0" w:rsidP="00B049FC">
      <w:pPr>
        <w:pStyle w:val="iReference"/>
        <w:spacing w:after="120"/>
        <w:ind w:left="360"/>
        <w:rPr>
          <w:rFonts w:ascii="Times New Roman" w:eastAsia="PMingLiU" w:hAnsi="Times New Roman" w:cs="Times New Roman"/>
          <w:color w:val="000000" w:themeColor="text1"/>
          <w:sz w:val="22"/>
        </w:rPr>
      </w:pPr>
    </w:p>
    <w:sectPr w:rsidR="002E6AD0" w:rsidRPr="004655C2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7DB94" w14:textId="77777777" w:rsidR="00BD3E21" w:rsidRDefault="00BD3E21">
      <w:r>
        <w:separator/>
      </w:r>
    </w:p>
  </w:endnote>
  <w:endnote w:type="continuationSeparator" w:id="0">
    <w:p w14:paraId="687A0A62" w14:textId="77777777" w:rsidR="00BD3E21" w:rsidRDefault="00BD3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19031769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BAAE4CC" w14:textId="77777777" w:rsidR="00F55EB0" w:rsidRDefault="00F55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1969AD02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F55EB0" w:rsidRDefault="00F55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5A0EF" w14:textId="77777777" w:rsidR="00BD3E21" w:rsidRDefault="00BD3E21">
      <w:r>
        <w:separator/>
      </w:r>
    </w:p>
  </w:footnote>
  <w:footnote w:type="continuationSeparator" w:id="0">
    <w:p w14:paraId="270399A9" w14:textId="77777777" w:rsidR="00BD3E21" w:rsidRDefault="00BD3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CC39A5"/>
    <w:multiLevelType w:val="hybridMultilevel"/>
    <w:tmpl w:val="7F542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241716"/>
    <w:multiLevelType w:val="multilevel"/>
    <w:tmpl w:val="807204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A8773D7"/>
    <w:multiLevelType w:val="hybridMultilevel"/>
    <w:tmpl w:val="AFF4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42C06"/>
    <w:multiLevelType w:val="hybridMultilevel"/>
    <w:tmpl w:val="2B8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B7D17"/>
    <w:multiLevelType w:val="hybridMultilevel"/>
    <w:tmpl w:val="5D2AA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696"/>
    <w:multiLevelType w:val="hybridMultilevel"/>
    <w:tmpl w:val="F05CA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B64E8"/>
    <w:multiLevelType w:val="hybridMultilevel"/>
    <w:tmpl w:val="D5CEBD3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D4759"/>
    <w:multiLevelType w:val="hybridMultilevel"/>
    <w:tmpl w:val="E6C6E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516D1"/>
    <w:multiLevelType w:val="hybridMultilevel"/>
    <w:tmpl w:val="6C3CCC28"/>
    <w:lvl w:ilvl="0" w:tplc="A4EEE46E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C1F94"/>
    <w:multiLevelType w:val="hybridMultilevel"/>
    <w:tmpl w:val="37C88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62D1547"/>
    <w:multiLevelType w:val="hybridMultilevel"/>
    <w:tmpl w:val="0728D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181312"/>
    <w:multiLevelType w:val="hybridMultilevel"/>
    <w:tmpl w:val="A24A84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54DBE"/>
    <w:multiLevelType w:val="multilevel"/>
    <w:tmpl w:val="7F98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C047912"/>
    <w:multiLevelType w:val="hybridMultilevel"/>
    <w:tmpl w:val="91D05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87994"/>
    <w:multiLevelType w:val="multilevel"/>
    <w:tmpl w:val="7A466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8"/>
  </w:num>
  <w:num w:numId="2">
    <w:abstractNumId w:val="24"/>
  </w:num>
  <w:num w:numId="3">
    <w:abstractNumId w:val="19"/>
  </w:num>
  <w:num w:numId="4">
    <w:abstractNumId w:val="6"/>
  </w:num>
  <w:num w:numId="5">
    <w:abstractNumId w:val="0"/>
  </w:num>
  <w:num w:numId="6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9"/>
  </w:num>
  <w:num w:numId="9">
    <w:abstractNumId w:val="13"/>
  </w:num>
  <w:num w:numId="10">
    <w:abstractNumId w:val="9"/>
  </w:num>
  <w:num w:numId="11">
    <w:abstractNumId w:val="34"/>
  </w:num>
  <w:num w:numId="12">
    <w:abstractNumId w:val="20"/>
  </w:num>
  <w:num w:numId="13">
    <w:abstractNumId w:val="17"/>
  </w:num>
  <w:num w:numId="14">
    <w:abstractNumId w:val="16"/>
  </w:num>
  <w:num w:numId="15">
    <w:abstractNumId w:val="12"/>
  </w:num>
  <w:num w:numId="16">
    <w:abstractNumId w:val="14"/>
  </w:num>
  <w:num w:numId="17">
    <w:abstractNumId w:val="3"/>
  </w:num>
  <w:num w:numId="18">
    <w:abstractNumId w:val="27"/>
  </w:num>
  <w:num w:numId="19">
    <w:abstractNumId w:val="1"/>
  </w:num>
  <w:num w:numId="20">
    <w:abstractNumId w:val="33"/>
  </w:num>
  <w:num w:numId="21">
    <w:abstractNumId w:val="2"/>
  </w:num>
  <w:num w:numId="22">
    <w:abstractNumId w:val="7"/>
  </w:num>
  <w:num w:numId="23">
    <w:abstractNumId w:val="8"/>
  </w:num>
  <w:num w:numId="24">
    <w:abstractNumId w:val="35"/>
  </w:num>
  <w:num w:numId="25">
    <w:abstractNumId w:val="32"/>
  </w:num>
  <w:num w:numId="26">
    <w:abstractNumId w:val="10"/>
  </w:num>
  <w:num w:numId="27">
    <w:abstractNumId w:val="11"/>
  </w:num>
  <w:num w:numId="28">
    <w:abstractNumId w:val="5"/>
  </w:num>
  <w:num w:numId="29">
    <w:abstractNumId w:val="30"/>
  </w:num>
  <w:num w:numId="30">
    <w:abstractNumId w:val="25"/>
  </w:num>
  <w:num w:numId="31">
    <w:abstractNumId w:val="21"/>
  </w:num>
  <w:num w:numId="32">
    <w:abstractNumId w:val="22"/>
  </w:num>
  <w:num w:numId="33">
    <w:abstractNumId w:val="23"/>
  </w:num>
  <w:num w:numId="34">
    <w:abstractNumId w:val="15"/>
  </w:num>
  <w:num w:numId="35">
    <w:abstractNumId w:val="26"/>
  </w:num>
  <w:num w:numId="36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06C6F"/>
    <w:rsid w:val="000104C8"/>
    <w:rsid w:val="0001102D"/>
    <w:rsid w:val="000146B8"/>
    <w:rsid w:val="000153A8"/>
    <w:rsid w:val="000154B1"/>
    <w:rsid w:val="00016953"/>
    <w:rsid w:val="0001718E"/>
    <w:rsid w:val="00022E5D"/>
    <w:rsid w:val="00024B1D"/>
    <w:rsid w:val="00025F13"/>
    <w:rsid w:val="00026407"/>
    <w:rsid w:val="000319FD"/>
    <w:rsid w:val="00032BAB"/>
    <w:rsid w:val="00034079"/>
    <w:rsid w:val="00035021"/>
    <w:rsid w:val="0003533D"/>
    <w:rsid w:val="000355D7"/>
    <w:rsid w:val="00037201"/>
    <w:rsid w:val="0004009F"/>
    <w:rsid w:val="00040139"/>
    <w:rsid w:val="0004388B"/>
    <w:rsid w:val="00044018"/>
    <w:rsid w:val="00051F4B"/>
    <w:rsid w:val="00053E0E"/>
    <w:rsid w:val="000550E1"/>
    <w:rsid w:val="00060536"/>
    <w:rsid w:val="0006095E"/>
    <w:rsid w:val="00060EA9"/>
    <w:rsid w:val="00061116"/>
    <w:rsid w:val="00062DF5"/>
    <w:rsid w:val="00062E74"/>
    <w:rsid w:val="00063C13"/>
    <w:rsid w:val="00065F7D"/>
    <w:rsid w:val="000674FE"/>
    <w:rsid w:val="00073F85"/>
    <w:rsid w:val="00077095"/>
    <w:rsid w:val="00077788"/>
    <w:rsid w:val="00077A26"/>
    <w:rsid w:val="0008236D"/>
    <w:rsid w:val="00083978"/>
    <w:rsid w:val="00084276"/>
    <w:rsid w:val="0008597B"/>
    <w:rsid w:val="000871B1"/>
    <w:rsid w:val="0008754B"/>
    <w:rsid w:val="000950C5"/>
    <w:rsid w:val="00095298"/>
    <w:rsid w:val="000955F8"/>
    <w:rsid w:val="000A26C4"/>
    <w:rsid w:val="000A4A9E"/>
    <w:rsid w:val="000A7639"/>
    <w:rsid w:val="000B5D47"/>
    <w:rsid w:val="000B7FB2"/>
    <w:rsid w:val="000C377B"/>
    <w:rsid w:val="000C40EF"/>
    <w:rsid w:val="000C5B22"/>
    <w:rsid w:val="000D00F4"/>
    <w:rsid w:val="000D27A6"/>
    <w:rsid w:val="000D3035"/>
    <w:rsid w:val="000D37D3"/>
    <w:rsid w:val="000D6FAC"/>
    <w:rsid w:val="000E070A"/>
    <w:rsid w:val="000E2378"/>
    <w:rsid w:val="000E783A"/>
    <w:rsid w:val="000F1176"/>
    <w:rsid w:val="000F2AFF"/>
    <w:rsid w:val="000F421F"/>
    <w:rsid w:val="000F5EB5"/>
    <w:rsid w:val="000F7CA1"/>
    <w:rsid w:val="001052F3"/>
    <w:rsid w:val="00111482"/>
    <w:rsid w:val="00116796"/>
    <w:rsid w:val="00124270"/>
    <w:rsid w:val="00130FC3"/>
    <w:rsid w:val="00131B39"/>
    <w:rsid w:val="00132628"/>
    <w:rsid w:val="00136D13"/>
    <w:rsid w:val="00137C4C"/>
    <w:rsid w:val="00140681"/>
    <w:rsid w:val="001447A7"/>
    <w:rsid w:val="00153720"/>
    <w:rsid w:val="00153B57"/>
    <w:rsid w:val="0015653D"/>
    <w:rsid w:val="00160048"/>
    <w:rsid w:val="0016442F"/>
    <w:rsid w:val="001669AF"/>
    <w:rsid w:val="00167063"/>
    <w:rsid w:val="00167CD5"/>
    <w:rsid w:val="00172677"/>
    <w:rsid w:val="00177616"/>
    <w:rsid w:val="00185133"/>
    <w:rsid w:val="00186EBA"/>
    <w:rsid w:val="00187149"/>
    <w:rsid w:val="00187541"/>
    <w:rsid w:val="001A2C84"/>
    <w:rsid w:val="001A33D3"/>
    <w:rsid w:val="001A36E9"/>
    <w:rsid w:val="001A3AD4"/>
    <w:rsid w:val="001A41A1"/>
    <w:rsid w:val="001A4370"/>
    <w:rsid w:val="001A5BE4"/>
    <w:rsid w:val="001B03EA"/>
    <w:rsid w:val="001B1175"/>
    <w:rsid w:val="001B2C52"/>
    <w:rsid w:val="001B2F23"/>
    <w:rsid w:val="001B3AF1"/>
    <w:rsid w:val="001C225C"/>
    <w:rsid w:val="001C4DB9"/>
    <w:rsid w:val="001C6945"/>
    <w:rsid w:val="001D1A67"/>
    <w:rsid w:val="001D4EA1"/>
    <w:rsid w:val="001E18D6"/>
    <w:rsid w:val="001E3155"/>
    <w:rsid w:val="001E3B88"/>
    <w:rsid w:val="001E533C"/>
    <w:rsid w:val="001E5393"/>
    <w:rsid w:val="001F0B78"/>
    <w:rsid w:val="001F3CA0"/>
    <w:rsid w:val="001F4117"/>
    <w:rsid w:val="001F76F0"/>
    <w:rsid w:val="001F779F"/>
    <w:rsid w:val="00200E11"/>
    <w:rsid w:val="002058B4"/>
    <w:rsid w:val="002119E3"/>
    <w:rsid w:val="00214FB9"/>
    <w:rsid w:val="00215377"/>
    <w:rsid w:val="00215E4F"/>
    <w:rsid w:val="00217347"/>
    <w:rsid w:val="002263AA"/>
    <w:rsid w:val="00231627"/>
    <w:rsid w:val="00231AEA"/>
    <w:rsid w:val="00231E42"/>
    <w:rsid w:val="00232C5E"/>
    <w:rsid w:val="00233C1E"/>
    <w:rsid w:val="002372D7"/>
    <w:rsid w:val="00237D50"/>
    <w:rsid w:val="0024020C"/>
    <w:rsid w:val="002409F4"/>
    <w:rsid w:val="00242995"/>
    <w:rsid w:val="00250439"/>
    <w:rsid w:val="00251375"/>
    <w:rsid w:val="00252218"/>
    <w:rsid w:val="002522D7"/>
    <w:rsid w:val="00253197"/>
    <w:rsid w:val="0025363F"/>
    <w:rsid w:val="0025464A"/>
    <w:rsid w:val="002609A6"/>
    <w:rsid w:val="00260BF4"/>
    <w:rsid w:val="0026396D"/>
    <w:rsid w:val="00263E95"/>
    <w:rsid w:val="00266C98"/>
    <w:rsid w:val="00267C3C"/>
    <w:rsid w:val="002755E8"/>
    <w:rsid w:val="00282603"/>
    <w:rsid w:val="00294A99"/>
    <w:rsid w:val="002A0913"/>
    <w:rsid w:val="002A161A"/>
    <w:rsid w:val="002A4DB3"/>
    <w:rsid w:val="002A56D3"/>
    <w:rsid w:val="002A62EA"/>
    <w:rsid w:val="002A7310"/>
    <w:rsid w:val="002B1D6E"/>
    <w:rsid w:val="002B22E3"/>
    <w:rsid w:val="002B318E"/>
    <w:rsid w:val="002B3C03"/>
    <w:rsid w:val="002B4F54"/>
    <w:rsid w:val="002B52A6"/>
    <w:rsid w:val="002B5C4F"/>
    <w:rsid w:val="002B728D"/>
    <w:rsid w:val="002C7317"/>
    <w:rsid w:val="002D0FA4"/>
    <w:rsid w:val="002D1794"/>
    <w:rsid w:val="002D2246"/>
    <w:rsid w:val="002D32BE"/>
    <w:rsid w:val="002D40BC"/>
    <w:rsid w:val="002D49E1"/>
    <w:rsid w:val="002E166E"/>
    <w:rsid w:val="002E6AD0"/>
    <w:rsid w:val="002F2971"/>
    <w:rsid w:val="002F4A9B"/>
    <w:rsid w:val="002F71FE"/>
    <w:rsid w:val="00300E4B"/>
    <w:rsid w:val="00305D68"/>
    <w:rsid w:val="00306C5F"/>
    <w:rsid w:val="00311110"/>
    <w:rsid w:val="00311369"/>
    <w:rsid w:val="003118DA"/>
    <w:rsid w:val="00315276"/>
    <w:rsid w:val="0031577A"/>
    <w:rsid w:val="003170D5"/>
    <w:rsid w:val="00317EC9"/>
    <w:rsid w:val="003201E7"/>
    <w:rsid w:val="00322338"/>
    <w:rsid w:val="0032366B"/>
    <w:rsid w:val="003252F1"/>
    <w:rsid w:val="00327B5B"/>
    <w:rsid w:val="00335638"/>
    <w:rsid w:val="00342A22"/>
    <w:rsid w:val="00343812"/>
    <w:rsid w:val="0034698C"/>
    <w:rsid w:val="00350B4E"/>
    <w:rsid w:val="00352982"/>
    <w:rsid w:val="00355806"/>
    <w:rsid w:val="003558A2"/>
    <w:rsid w:val="003567E2"/>
    <w:rsid w:val="003673C1"/>
    <w:rsid w:val="00372E07"/>
    <w:rsid w:val="00374A5B"/>
    <w:rsid w:val="0037504A"/>
    <w:rsid w:val="00377439"/>
    <w:rsid w:val="00380126"/>
    <w:rsid w:val="00386636"/>
    <w:rsid w:val="00387F84"/>
    <w:rsid w:val="00394AA6"/>
    <w:rsid w:val="003A0958"/>
    <w:rsid w:val="003A675E"/>
    <w:rsid w:val="003B45F3"/>
    <w:rsid w:val="003B58AC"/>
    <w:rsid w:val="003B7FEE"/>
    <w:rsid w:val="003C2CA1"/>
    <w:rsid w:val="003C2E9F"/>
    <w:rsid w:val="003C4CA2"/>
    <w:rsid w:val="003C53E5"/>
    <w:rsid w:val="003C5CD9"/>
    <w:rsid w:val="003C6B96"/>
    <w:rsid w:val="003C6CD9"/>
    <w:rsid w:val="003D5B78"/>
    <w:rsid w:val="003D77C4"/>
    <w:rsid w:val="003E0454"/>
    <w:rsid w:val="003E1C7C"/>
    <w:rsid w:val="003E2ECE"/>
    <w:rsid w:val="003E3C09"/>
    <w:rsid w:val="003E6639"/>
    <w:rsid w:val="003F2578"/>
    <w:rsid w:val="003F4847"/>
    <w:rsid w:val="003F79AC"/>
    <w:rsid w:val="00404F25"/>
    <w:rsid w:val="00406E30"/>
    <w:rsid w:val="00410F6A"/>
    <w:rsid w:val="00411664"/>
    <w:rsid w:val="00413475"/>
    <w:rsid w:val="00414C99"/>
    <w:rsid w:val="004214CF"/>
    <w:rsid w:val="00421EF9"/>
    <w:rsid w:val="004224C0"/>
    <w:rsid w:val="00424E3F"/>
    <w:rsid w:val="00424F5E"/>
    <w:rsid w:val="00425CB4"/>
    <w:rsid w:val="0042624C"/>
    <w:rsid w:val="004262A9"/>
    <w:rsid w:val="00427F95"/>
    <w:rsid w:val="00431779"/>
    <w:rsid w:val="0043276F"/>
    <w:rsid w:val="004417C6"/>
    <w:rsid w:val="004444DC"/>
    <w:rsid w:val="004453C1"/>
    <w:rsid w:val="00446ACE"/>
    <w:rsid w:val="00447234"/>
    <w:rsid w:val="00447DE7"/>
    <w:rsid w:val="00450B4E"/>
    <w:rsid w:val="0045388F"/>
    <w:rsid w:val="00457DCB"/>
    <w:rsid w:val="004607C3"/>
    <w:rsid w:val="00461C38"/>
    <w:rsid w:val="00463A51"/>
    <w:rsid w:val="00464434"/>
    <w:rsid w:val="00464453"/>
    <w:rsid w:val="004655C2"/>
    <w:rsid w:val="00466DEE"/>
    <w:rsid w:val="00466E9F"/>
    <w:rsid w:val="00467491"/>
    <w:rsid w:val="00470E2A"/>
    <w:rsid w:val="004778AF"/>
    <w:rsid w:val="00483A74"/>
    <w:rsid w:val="00485C27"/>
    <w:rsid w:val="00491E32"/>
    <w:rsid w:val="004929C9"/>
    <w:rsid w:val="004A3FAE"/>
    <w:rsid w:val="004A40C9"/>
    <w:rsid w:val="004A4C8C"/>
    <w:rsid w:val="004A6090"/>
    <w:rsid w:val="004A6BBB"/>
    <w:rsid w:val="004A71E2"/>
    <w:rsid w:val="004A7BB0"/>
    <w:rsid w:val="004B547B"/>
    <w:rsid w:val="004B5C52"/>
    <w:rsid w:val="004B7CAF"/>
    <w:rsid w:val="004C0855"/>
    <w:rsid w:val="004C14CA"/>
    <w:rsid w:val="004C301F"/>
    <w:rsid w:val="004C38CC"/>
    <w:rsid w:val="004C52B0"/>
    <w:rsid w:val="004D12A4"/>
    <w:rsid w:val="004D29B6"/>
    <w:rsid w:val="004D29B7"/>
    <w:rsid w:val="004D2C6E"/>
    <w:rsid w:val="004D7818"/>
    <w:rsid w:val="004E13B1"/>
    <w:rsid w:val="004E257E"/>
    <w:rsid w:val="004E2EEE"/>
    <w:rsid w:val="004E5D0A"/>
    <w:rsid w:val="004F1B6F"/>
    <w:rsid w:val="004F4C93"/>
    <w:rsid w:val="005004DB"/>
    <w:rsid w:val="00500B8F"/>
    <w:rsid w:val="00502C90"/>
    <w:rsid w:val="00506FCC"/>
    <w:rsid w:val="005072FC"/>
    <w:rsid w:val="005079EB"/>
    <w:rsid w:val="0051679B"/>
    <w:rsid w:val="00521D95"/>
    <w:rsid w:val="0053076A"/>
    <w:rsid w:val="00531ECF"/>
    <w:rsid w:val="00532CCA"/>
    <w:rsid w:val="00532F9A"/>
    <w:rsid w:val="00533170"/>
    <w:rsid w:val="0053719A"/>
    <w:rsid w:val="00546B64"/>
    <w:rsid w:val="005506CE"/>
    <w:rsid w:val="00550A71"/>
    <w:rsid w:val="00550FF9"/>
    <w:rsid w:val="00554E84"/>
    <w:rsid w:val="00557B02"/>
    <w:rsid w:val="005658B2"/>
    <w:rsid w:val="00566B53"/>
    <w:rsid w:val="005764E8"/>
    <w:rsid w:val="00580381"/>
    <w:rsid w:val="005820DF"/>
    <w:rsid w:val="00584A9C"/>
    <w:rsid w:val="00591A33"/>
    <w:rsid w:val="0059341F"/>
    <w:rsid w:val="00593AEB"/>
    <w:rsid w:val="00593D73"/>
    <w:rsid w:val="005977B0"/>
    <w:rsid w:val="005A05BE"/>
    <w:rsid w:val="005A1A03"/>
    <w:rsid w:val="005A2572"/>
    <w:rsid w:val="005A2685"/>
    <w:rsid w:val="005A2A8E"/>
    <w:rsid w:val="005A32C2"/>
    <w:rsid w:val="005A506E"/>
    <w:rsid w:val="005B2076"/>
    <w:rsid w:val="005B4701"/>
    <w:rsid w:val="005B601E"/>
    <w:rsid w:val="005B66A4"/>
    <w:rsid w:val="005C0F6F"/>
    <w:rsid w:val="005C3384"/>
    <w:rsid w:val="005C3D8D"/>
    <w:rsid w:val="005D09B1"/>
    <w:rsid w:val="005D1467"/>
    <w:rsid w:val="005D20F1"/>
    <w:rsid w:val="005D2338"/>
    <w:rsid w:val="005D2D51"/>
    <w:rsid w:val="005D3981"/>
    <w:rsid w:val="005D4BE2"/>
    <w:rsid w:val="005E1727"/>
    <w:rsid w:val="005E1ABD"/>
    <w:rsid w:val="005E363C"/>
    <w:rsid w:val="005E7958"/>
    <w:rsid w:val="005F2539"/>
    <w:rsid w:val="005F318B"/>
    <w:rsid w:val="00600072"/>
    <w:rsid w:val="00600805"/>
    <w:rsid w:val="006012CC"/>
    <w:rsid w:val="00602F21"/>
    <w:rsid w:val="00607022"/>
    <w:rsid w:val="006136C8"/>
    <w:rsid w:val="0061417F"/>
    <w:rsid w:val="00614D21"/>
    <w:rsid w:val="00615CBE"/>
    <w:rsid w:val="00616D0B"/>
    <w:rsid w:val="00617C99"/>
    <w:rsid w:val="006204C2"/>
    <w:rsid w:val="00620E89"/>
    <w:rsid w:val="0062449A"/>
    <w:rsid w:val="00627366"/>
    <w:rsid w:val="006277A0"/>
    <w:rsid w:val="00630F3A"/>
    <w:rsid w:val="00634154"/>
    <w:rsid w:val="00637283"/>
    <w:rsid w:val="00640C43"/>
    <w:rsid w:val="00641A9E"/>
    <w:rsid w:val="0064318F"/>
    <w:rsid w:val="00645A3D"/>
    <w:rsid w:val="0064615E"/>
    <w:rsid w:val="0065077B"/>
    <w:rsid w:val="00652082"/>
    <w:rsid w:val="006535EC"/>
    <w:rsid w:val="00654A39"/>
    <w:rsid w:val="006558A4"/>
    <w:rsid w:val="00655C2A"/>
    <w:rsid w:val="00657BE5"/>
    <w:rsid w:val="006616F6"/>
    <w:rsid w:val="00662DBC"/>
    <w:rsid w:val="00664455"/>
    <w:rsid w:val="00665941"/>
    <w:rsid w:val="006668A8"/>
    <w:rsid w:val="0066763A"/>
    <w:rsid w:val="00671969"/>
    <w:rsid w:val="006733DB"/>
    <w:rsid w:val="00675062"/>
    <w:rsid w:val="006758DE"/>
    <w:rsid w:val="006762AC"/>
    <w:rsid w:val="006770B7"/>
    <w:rsid w:val="0067796F"/>
    <w:rsid w:val="00677A39"/>
    <w:rsid w:val="00682F72"/>
    <w:rsid w:val="0068736A"/>
    <w:rsid w:val="00687F23"/>
    <w:rsid w:val="0069390B"/>
    <w:rsid w:val="00694BBB"/>
    <w:rsid w:val="00695505"/>
    <w:rsid w:val="006A192B"/>
    <w:rsid w:val="006A7DD0"/>
    <w:rsid w:val="006B1113"/>
    <w:rsid w:val="006B1946"/>
    <w:rsid w:val="006B2C44"/>
    <w:rsid w:val="006B6069"/>
    <w:rsid w:val="006B6D77"/>
    <w:rsid w:val="006C02B2"/>
    <w:rsid w:val="006C1A71"/>
    <w:rsid w:val="006C4867"/>
    <w:rsid w:val="006C60AC"/>
    <w:rsid w:val="006C70F4"/>
    <w:rsid w:val="006D02B6"/>
    <w:rsid w:val="006D1D99"/>
    <w:rsid w:val="006D313A"/>
    <w:rsid w:val="006E01B4"/>
    <w:rsid w:val="006E4459"/>
    <w:rsid w:val="006E5968"/>
    <w:rsid w:val="006E5DD2"/>
    <w:rsid w:val="006F55A6"/>
    <w:rsid w:val="006F6D95"/>
    <w:rsid w:val="006F73F9"/>
    <w:rsid w:val="00700FCA"/>
    <w:rsid w:val="00705C2B"/>
    <w:rsid w:val="00706291"/>
    <w:rsid w:val="00707AF2"/>
    <w:rsid w:val="00714AF3"/>
    <w:rsid w:val="007150A9"/>
    <w:rsid w:val="00720387"/>
    <w:rsid w:val="00720463"/>
    <w:rsid w:val="00721071"/>
    <w:rsid w:val="0072141F"/>
    <w:rsid w:val="00721DA7"/>
    <w:rsid w:val="00722B22"/>
    <w:rsid w:val="00722E26"/>
    <w:rsid w:val="00723BD0"/>
    <w:rsid w:val="00724391"/>
    <w:rsid w:val="00727C17"/>
    <w:rsid w:val="007324F6"/>
    <w:rsid w:val="007371AC"/>
    <w:rsid w:val="00743D03"/>
    <w:rsid w:val="0074600E"/>
    <w:rsid w:val="00751EAB"/>
    <w:rsid w:val="0075483A"/>
    <w:rsid w:val="00757856"/>
    <w:rsid w:val="007607AE"/>
    <w:rsid w:val="00760B23"/>
    <w:rsid w:val="00760BC6"/>
    <w:rsid w:val="00763F30"/>
    <w:rsid w:val="00770BA8"/>
    <w:rsid w:val="00773155"/>
    <w:rsid w:val="007816A0"/>
    <w:rsid w:val="007822D8"/>
    <w:rsid w:val="00787E91"/>
    <w:rsid w:val="00790C82"/>
    <w:rsid w:val="0079200B"/>
    <w:rsid w:val="00792F79"/>
    <w:rsid w:val="00793ABA"/>
    <w:rsid w:val="00793E15"/>
    <w:rsid w:val="00794234"/>
    <w:rsid w:val="00795985"/>
    <w:rsid w:val="0079648D"/>
    <w:rsid w:val="007A11D7"/>
    <w:rsid w:val="007A3330"/>
    <w:rsid w:val="007A5CC9"/>
    <w:rsid w:val="007A71C0"/>
    <w:rsid w:val="007B02DD"/>
    <w:rsid w:val="007B06D3"/>
    <w:rsid w:val="007B2090"/>
    <w:rsid w:val="007B5072"/>
    <w:rsid w:val="007C578E"/>
    <w:rsid w:val="007C67AF"/>
    <w:rsid w:val="007C6943"/>
    <w:rsid w:val="007D7A47"/>
    <w:rsid w:val="007E3CA1"/>
    <w:rsid w:val="007E42CC"/>
    <w:rsid w:val="007F5921"/>
    <w:rsid w:val="00801B7D"/>
    <w:rsid w:val="0080303A"/>
    <w:rsid w:val="00803C6A"/>
    <w:rsid w:val="00804AC2"/>
    <w:rsid w:val="00804D19"/>
    <w:rsid w:val="00806879"/>
    <w:rsid w:val="00807AFB"/>
    <w:rsid w:val="0081071B"/>
    <w:rsid w:val="008114B2"/>
    <w:rsid w:val="008127C1"/>
    <w:rsid w:val="00820F09"/>
    <w:rsid w:val="00821C45"/>
    <w:rsid w:val="008235BF"/>
    <w:rsid w:val="0082419C"/>
    <w:rsid w:val="00824394"/>
    <w:rsid w:val="008243D3"/>
    <w:rsid w:val="008254B6"/>
    <w:rsid w:val="00832094"/>
    <w:rsid w:val="008325D3"/>
    <w:rsid w:val="00832C39"/>
    <w:rsid w:val="00833404"/>
    <w:rsid w:val="00834051"/>
    <w:rsid w:val="00837728"/>
    <w:rsid w:val="0083798C"/>
    <w:rsid w:val="008418C8"/>
    <w:rsid w:val="00842B97"/>
    <w:rsid w:val="00844138"/>
    <w:rsid w:val="00847425"/>
    <w:rsid w:val="00850E99"/>
    <w:rsid w:val="00851F53"/>
    <w:rsid w:val="00855868"/>
    <w:rsid w:val="00855CBF"/>
    <w:rsid w:val="00861449"/>
    <w:rsid w:val="00861C54"/>
    <w:rsid w:val="0086209D"/>
    <w:rsid w:val="00871771"/>
    <w:rsid w:val="00871C72"/>
    <w:rsid w:val="008720A5"/>
    <w:rsid w:val="00875276"/>
    <w:rsid w:val="00876D64"/>
    <w:rsid w:val="00876F4B"/>
    <w:rsid w:val="008816E4"/>
    <w:rsid w:val="008818BC"/>
    <w:rsid w:val="0089044B"/>
    <w:rsid w:val="00890C52"/>
    <w:rsid w:val="008911D1"/>
    <w:rsid w:val="008917F5"/>
    <w:rsid w:val="0089215D"/>
    <w:rsid w:val="00893E68"/>
    <w:rsid w:val="008A19A6"/>
    <w:rsid w:val="008A2272"/>
    <w:rsid w:val="008A7500"/>
    <w:rsid w:val="008A7A18"/>
    <w:rsid w:val="008B2885"/>
    <w:rsid w:val="008B629D"/>
    <w:rsid w:val="008C27D4"/>
    <w:rsid w:val="008D07FE"/>
    <w:rsid w:val="008D363A"/>
    <w:rsid w:val="008E3BE5"/>
    <w:rsid w:val="008E4BDE"/>
    <w:rsid w:val="008E7B1A"/>
    <w:rsid w:val="008F10AD"/>
    <w:rsid w:val="00904CBF"/>
    <w:rsid w:val="00905F64"/>
    <w:rsid w:val="009072FB"/>
    <w:rsid w:val="00914FD3"/>
    <w:rsid w:val="00923472"/>
    <w:rsid w:val="00924347"/>
    <w:rsid w:val="009276FA"/>
    <w:rsid w:val="00932371"/>
    <w:rsid w:val="00937EB5"/>
    <w:rsid w:val="009404A5"/>
    <w:rsid w:val="0094059C"/>
    <w:rsid w:val="00940ED3"/>
    <w:rsid w:val="00946429"/>
    <w:rsid w:val="00952D2C"/>
    <w:rsid w:val="00953495"/>
    <w:rsid w:val="0095582D"/>
    <w:rsid w:val="00957A0C"/>
    <w:rsid w:val="009655A6"/>
    <w:rsid w:val="009671DC"/>
    <w:rsid w:val="00970ADB"/>
    <w:rsid w:val="00971976"/>
    <w:rsid w:val="00980D88"/>
    <w:rsid w:val="00981AF1"/>
    <w:rsid w:val="00983D3B"/>
    <w:rsid w:val="00983D81"/>
    <w:rsid w:val="00985421"/>
    <w:rsid w:val="009867B5"/>
    <w:rsid w:val="00991660"/>
    <w:rsid w:val="00991831"/>
    <w:rsid w:val="00992080"/>
    <w:rsid w:val="00993170"/>
    <w:rsid w:val="00995AA0"/>
    <w:rsid w:val="009962C7"/>
    <w:rsid w:val="009A2629"/>
    <w:rsid w:val="009A4F65"/>
    <w:rsid w:val="009B2E97"/>
    <w:rsid w:val="009B75D2"/>
    <w:rsid w:val="009C17CE"/>
    <w:rsid w:val="009C3031"/>
    <w:rsid w:val="009C5C20"/>
    <w:rsid w:val="009C5D61"/>
    <w:rsid w:val="009C5EE1"/>
    <w:rsid w:val="009C6E6E"/>
    <w:rsid w:val="009D5348"/>
    <w:rsid w:val="009D7B86"/>
    <w:rsid w:val="009E1249"/>
    <w:rsid w:val="009F4B00"/>
    <w:rsid w:val="00A00857"/>
    <w:rsid w:val="00A01D4B"/>
    <w:rsid w:val="00A064C2"/>
    <w:rsid w:val="00A07508"/>
    <w:rsid w:val="00A1110C"/>
    <w:rsid w:val="00A11B4D"/>
    <w:rsid w:val="00A13F63"/>
    <w:rsid w:val="00A1764C"/>
    <w:rsid w:val="00A2299C"/>
    <w:rsid w:val="00A23578"/>
    <w:rsid w:val="00A23793"/>
    <w:rsid w:val="00A23A3C"/>
    <w:rsid w:val="00A25313"/>
    <w:rsid w:val="00A2743C"/>
    <w:rsid w:val="00A30ED4"/>
    <w:rsid w:val="00A31B85"/>
    <w:rsid w:val="00A3212F"/>
    <w:rsid w:val="00A32784"/>
    <w:rsid w:val="00A33D6A"/>
    <w:rsid w:val="00A33D88"/>
    <w:rsid w:val="00A361F7"/>
    <w:rsid w:val="00A4122B"/>
    <w:rsid w:val="00A43392"/>
    <w:rsid w:val="00A44733"/>
    <w:rsid w:val="00A45A88"/>
    <w:rsid w:val="00A55592"/>
    <w:rsid w:val="00A574EC"/>
    <w:rsid w:val="00A57ACE"/>
    <w:rsid w:val="00A60B3C"/>
    <w:rsid w:val="00A650EE"/>
    <w:rsid w:val="00A67031"/>
    <w:rsid w:val="00A67FE3"/>
    <w:rsid w:val="00A744E2"/>
    <w:rsid w:val="00A74889"/>
    <w:rsid w:val="00A77147"/>
    <w:rsid w:val="00A77CD9"/>
    <w:rsid w:val="00A8042E"/>
    <w:rsid w:val="00A83382"/>
    <w:rsid w:val="00A85A4A"/>
    <w:rsid w:val="00A91310"/>
    <w:rsid w:val="00A921DF"/>
    <w:rsid w:val="00A92725"/>
    <w:rsid w:val="00A96440"/>
    <w:rsid w:val="00A97DE8"/>
    <w:rsid w:val="00AA1EA1"/>
    <w:rsid w:val="00AA27DF"/>
    <w:rsid w:val="00AA293A"/>
    <w:rsid w:val="00AA39C3"/>
    <w:rsid w:val="00AB2DD3"/>
    <w:rsid w:val="00AB36E6"/>
    <w:rsid w:val="00AB4813"/>
    <w:rsid w:val="00AB6B86"/>
    <w:rsid w:val="00AC45F7"/>
    <w:rsid w:val="00AD0C58"/>
    <w:rsid w:val="00AD3083"/>
    <w:rsid w:val="00AD3DE8"/>
    <w:rsid w:val="00AD3F33"/>
    <w:rsid w:val="00AE0C3F"/>
    <w:rsid w:val="00AE1547"/>
    <w:rsid w:val="00AE4A3B"/>
    <w:rsid w:val="00AE534F"/>
    <w:rsid w:val="00AF101D"/>
    <w:rsid w:val="00AF263D"/>
    <w:rsid w:val="00B02EDE"/>
    <w:rsid w:val="00B02FC9"/>
    <w:rsid w:val="00B0429F"/>
    <w:rsid w:val="00B049FC"/>
    <w:rsid w:val="00B05456"/>
    <w:rsid w:val="00B05B02"/>
    <w:rsid w:val="00B13A6B"/>
    <w:rsid w:val="00B151B1"/>
    <w:rsid w:val="00B15573"/>
    <w:rsid w:val="00B2125D"/>
    <w:rsid w:val="00B21BE5"/>
    <w:rsid w:val="00B243A9"/>
    <w:rsid w:val="00B2490B"/>
    <w:rsid w:val="00B25943"/>
    <w:rsid w:val="00B25D14"/>
    <w:rsid w:val="00B329B4"/>
    <w:rsid w:val="00B40553"/>
    <w:rsid w:val="00B41368"/>
    <w:rsid w:val="00B50BE6"/>
    <w:rsid w:val="00B51139"/>
    <w:rsid w:val="00B51159"/>
    <w:rsid w:val="00B56608"/>
    <w:rsid w:val="00B5790C"/>
    <w:rsid w:val="00B60A6A"/>
    <w:rsid w:val="00B61B07"/>
    <w:rsid w:val="00B65AE1"/>
    <w:rsid w:val="00B65E0E"/>
    <w:rsid w:val="00B67BB0"/>
    <w:rsid w:val="00B704F3"/>
    <w:rsid w:val="00B7530F"/>
    <w:rsid w:val="00B7736F"/>
    <w:rsid w:val="00B77F6C"/>
    <w:rsid w:val="00B81A88"/>
    <w:rsid w:val="00B85779"/>
    <w:rsid w:val="00B8746F"/>
    <w:rsid w:val="00B87ADF"/>
    <w:rsid w:val="00B87FF0"/>
    <w:rsid w:val="00B91EAF"/>
    <w:rsid w:val="00B937E4"/>
    <w:rsid w:val="00B93884"/>
    <w:rsid w:val="00B93FD0"/>
    <w:rsid w:val="00B94E45"/>
    <w:rsid w:val="00B95FAD"/>
    <w:rsid w:val="00B96790"/>
    <w:rsid w:val="00BA0E31"/>
    <w:rsid w:val="00BA2E58"/>
    <w:rsid w:val="00BA4C37"/>
    <w:rsid w:val="00BA657D"/>
    <w:rsid w:val="00BA784D"/>
    <w:rsid w:val="00BB2590"/>
    <w:rsid w:val="00BB370B"/>
    <w:rsid w:val="00BB5C0C"/>
    <w:rsid w:val="00BB5E8F"/>
    <w:rsid w:val="00BC05B2"/>
    <w:rsid w:val="00BC1306"/>
    <w:rsid w:val="00BC2D59"/>
    <w:rsid w:val="00BD3E21"/>
    <w:rsid w:val="00BD576A"/>
    <w:rsid w:val="00BD5E42"/>
    <w:rsid w:val="00BD7A63"/>
    <w:rsid w:val="00BE169E"/>
    <w:rsid w:val="00BE27C3"/>
    <w:rsid w:val="00BE5037"/>
    <w:rsid w:val="00BE6002"/>
    <w:rsid w:val="00BE67A0"/>
    <w:rsid w:val="00BE6ABC"/>
    <w:rsid w:val="00BF00F3"/>
    <w:rsid w:val="00BF2679"/>
    <w:rsid w:val="00C0078F"/>
    <w:rsid w:val="00C00954"/>
    <w:rsid w:val="00C00997"/>
    <w:rsid w:val="00C01BD3"/>
    <w:rsid w:val="00C1285C"/>
    <w:rsid w:val="00C23138"/>
    <w:rsid w:val="00C26CFB"/>
    <w:rsid w:val="00C26EA8"/>
    <w:rsid w:val="00C33430"/>
    <w:rsid w:val="00C33A64"/>
    <w:rsid w:val="00C37233"/>
    <w:rsid w:val="00C43C21"/>
    <w:rsid w:val="00C47595"/>
    <w:rsid w:val="00C507CE"/>
    <w:rsid w:val="00C5571A"/>
    <w:rsid w:val="00C5734F"/>
    <w:rsid w:val="00C6005C"/>
    <w:rsid w:val="00C60E87"/>
    <w:rsid w:val="00C63754"/>
    <w:rsid w:val="00C7022E"/>
    <w:rsid w:val="00C70E00"/>
    <w:rsid w:val="00C71F3C"/>
    <w:rsid w:val="00C75457"/>
    <w:rsid w:val="00C90821"/>
    <w:rsid w:val="00C91703"/>
    <w:rsid w:val="00C91A22"/>
    <w:rsid w:val="00C94273"/>
    <w:rsid w:val="00CA2985"/>
    <w:rsid w:val="00CA320E"/>
    <w:rsid w:val="00CA3CF6"/>
    <w:rsid w:val="00CA7D84"/>
    <w:rsid w:val="00CB0DAD"/>
    <w:rsid w:val="00CB1B6A"/>
    <w:rsid w:val="00CB32AF"/>
    <w:rsid w:val="00CC048C"/>
    <w:rsid w:val="00CC26B7"/>
    <w:rsid w:val="00CD2ADC"/>
    <w:rsid w:val="00CD3705"/>
    <w:rsid w:val="00CD6381"/>
    <w:rsid w:val="00CD7558"/>
    <w:rsid w:val="00CD77C0"/>
    <w:rsid w:val="00CE2146"/>
    <w:rsid w:val="00CE3947"/>
    <w:rsid w:val="00CE58D7"/>
    <w:rsid w:val="00CE6089"/>
    <w:rsid w:val="00D001A9"/>
    <w:rsid w:val="00D0127D"/>
    <w:rsid w:val="00D03252"/>
    <w:rsid w:val="00D04C7A"/>
    <w:rsid w:val="00D06481"/>
    <w:rsid w:val="00D067A6"/>
    <w:rsid w:val="00D111C4"/>
    <w:rsid w:val="00D168E8"/>
    <w:rsid w:val="00D16F81"/>
    <w:rsid w:val="00D20405"/>
    <w:rsid w:val="00D224B7"/>
    <w:rsid w:val="00D23AAE"/>
    <w:rsid w:val="00D23D86"/>
    <w:rsid w:val="00D255C5"/>
    <w:rsid w:val="00D26F3E"/>
    <w:rsid w:val="00D303B9"/>
    <w:rsid w:val="00D30BD6"/>
    <w:rsid w:val="00D412E5"/>
    <w:rsid w:val="00D42774"/>
    <w:rsid w:val="00D448BD"/>
    <w:rsid w:val="00D44E97"/>
    <w:rsid w:val="00D50C5F"/>
    <w:rsid w:val="00D54E7D"/>
    <w:rsid w:val="00D618D4"/>
    <w:rsid w:val="00D649A6"/>
    <w:rsid w:val="00D64C83"/>
    <w:rsid w:val="00D6552D"/>
    <w:rsid w:val="00D66202"/>
    <w:rsid w:val="00D677EE"/>
    <w:rsid w:val="00D71808"/>
    <w:rsid w:val="00D71A24"/>
    <w:rsid w:val="00D72EEC"/>
    <w:rsid w:val="00D744D4"/>
    <w:rsid w:val="00D83ED2"/>
    <w:rsid w:val="00D849E4"/>
    <w:rsid w:val="00D84FF1"/>
    <w:rsid w:val="00D86BCC"/>
    <w:rsid w:val="00D90ABB"/>
    <w:rsid w:val="00D91E14"/>
    <w:rsid w:val="00D92C9C"/>
    <w:rsid w:val="00D93BDE"/>
    <w:rsid w:val="00D94330"/>
    <w:rsid w:val="00D975CC"/>
    <w:rsid w:val="00DA1039"/>
    <w:rsid w:val="00DA1794"/>
    <w:rsid w:val="00DA21AE"/>
    <w:rsid w:val="00DA3170"/>
    <w:rsid w:val="00DA75A3"/>
    <w:rsid w:val="00DB3467"/>
    <w:rsid w:val="00DB5D0E"/>
    <w:rsid w:val="00DC274E"/>
    <w:rsid w:val="00DC2A92"/>
    <w:rsid w:val="00DC4922"/>
    <w:rsid w:val="00DC6AAB"/>
    <w:rsid w:val="00DC77CA"/>
    <w:rsid w:val="00DD63B9"/>
    <w:rsid w:val="00DE1688"/>
    <w:rsid w:val="00DE1E71"/>
    <w:rsid w:val="00DE2795"/>
    <w:rsid w:val="00DF0255"/>
    <w:rsid w:val="00E01442"/>
    <w:rsid w:val="00E027E3"/>
    <w:rsid w:val="00E02F45"/>
    <w:rsid w:val="00E03511"/>
    <w:rsid w:val="00E03839"/>
    <w:rsid w:val="00E0498C"/>
    <w:rsid w:val="00E06E33"/>
    <w:rsid w:val="00E109B4"/>
    <w:rsid w:val="00E124A6"/>
    <w:rsid w:val="00E144CB"/>
    <w:rsid w:val="00E148CB"/>
    <w:rsid w:val="00E200E0"/>
    <w:rsid w:val="00E2039C"/>
    <w:rsid w:val="00E2199A"/>
    <w:rsid w:val="00E24AD0"/>
    <w:rsid w:val="00E273CE"/>
    <w:rsid w:val="00E31EB1"/>
    <w:rsid w:val="00E34FE4"/>
    <w:rsid w:val="00E36916"/>
    <w:rsid w:val="00E3788C"/>
    <w:rsid w:val="00E37F3A"/>
    <w:rsid w:val="00E44CC6"/>
    <w:rsid w:val="00E45B93"/>
    <w:rsid w:val="00E507E0"/>
    <w:rsid w:val="00E51C4B"/>
    <w:rsid w:val="00E525DF"/>
    <w:rsid w:val="00E52F47"/>
    <w:rsid w:val="00E57E27"/>
    <w:rsid w:val="00E627E6"/>
    <w:rsid w:val="00E6471F"/>
    <w:rsid w:val="00E654BD"/>
    <w:rsid w:val="00E67CBE"/>
    <w:rsid w:val="00E7005C"/>
    <w:rsid w:val="00E71F7E"/>
    <w:rsid w:val="00E734E3"/>
    <w:rsid w:val="00E74E37"/>
    <w:rsid w:val="00E80548"/>
    <w:rsid w:val="00E80AD3"/>
    <w:rsid w:val="00E8262A"/>
    <w:rsid w:val="00E8348E"/>
    <w:rsid w:val="00E856D7"/>
    <w:rsid w:val="00E85881"/>
    <w:rsid w:val="00E87480"/>
    <w:rsid w:val="00E87A0C"/>
    <w:rsid w:val="00E905DC"/>
    <w:rsid w:val="00E90C25"/>
    <w:rsid w:val="00E9379A"/>
    <w:rsid w:val="00E95F7C"/>
    <w:rsid w:val="00E96998"/>
    <w:rsid w:val="00E971C0"/>
    <w:rsid w:val="00EA4532"/>
    <w:rsid w:val="00EA4CA8"/>
    <w:rsid w:val="00EA50F2"/>
    <w:rsid w:val="00EA5108"/>
    <w:rsid w:val="00EB16FB"/>
    <w:rsid w:val="00EB18E4"/>
    <w:rsid w:val="00EB1E5F"/>
    <w:rsid w:val="00EB7358"/>
    <w:rsid w:val="00EB7CDB"/>
    <w:rsid w:val="00EC5E9C"/>
    <w:rsid w:val="00EC733C"/>
    <w:rsid w:val="00ED1B26"/>
    <w:rsid w:val="00ED218B"/>
    <w:rsid w:val="00ED2F30"/>
    <w:rsid w:val="00ED34FA"/>
    <w:rsid w:val="00ED448D"/>
    <w:rsid w:val="00ED4E56"/>
    <w:rsid w:val="00ED65C1"/>
    <w:rsid w:val="00EE08FB"/>
    <w:rsid w:val="00EE348F"/>
    <w:rsid w:val="00EE3859"/>
    <w:rsid w:val="00EE40D8"/>
    <w:rsid w:val="00EE4538"/>
    <w:rsid w:val="00EE73B5"/>
    <w:rsid w:val="00EF036E"/>
    <w:rsid w:val="00EF1127"/>
    <w:rsid w:val="00EF142E"/>
    <w:rsid w:val="00EF4360"/>
    <w:rsid w:val="00EF449C"/>
    <w:rsid w:val="00F0032C"/>
    <w:rsid w:val="00F02052"/>
    <w:rsid w:val="00F02081"/>
    <w:rsid w:val="00F05F56"/>
    <w:rsid w:val="00F1100F"/>
    <w:rsid w:val="00F12037"/>
    <w:rsid w:val="00F12CD8"/>
    <w:rsid w:val="00F1463A"/>
    <w:rsid w:val="00F14CFA"/>
    <w:rsid w:val="00F162BE"/>
    <w:rsid w:val="00F237D5"/>
    <w:rsid w:val="00F260A7"/>
    <w:rsid w:val="00F32F70"/>
    <w:rsid w:val="00F33AB2"/>
    <w:rsid w:val="00F34A34"/>
    <w:rsid w:val="00F35F53"/>
    <w:rsid w:val="00F35FDC"/>
    <w:rsid w:val="00F405CA"/>
    <w:rsid w:val="00F40CB9"/>
    <w:rsid w:val="00F41C53"/>
    <w:rsid w:val="00F44FBF"/>
    <w:rsid w:val="00F45429"/>
    <w:rsid w:val="00F50EE4"/>
    <w:rsid w:val="00F51DFE"/>
    <w:rsid w:val="00F523C3"/>
    <w:rsid w:val="00F552B4"/>
    <w:rsid w:val="00F55EB0"/>
    <w:rsid w:val="00F6026A"/>
    <w:rsid w:val="00F61E44"/>
    <w:rsid w:val="00F61EA4"/>
    <w:rsid w:val="00F63219"/>
    <w:rsid w:val="00F63B75"/>
    <w:rsid w:val="00F63CC7"/>
    <w:rsid w:val="00F7115E"/>
    <w:rsid w:val="00F712AB"/>
    <w:rsid w:val="00F72B40"/>
    <w:rsid w:val="00F751CF"/>
    <w:rsid w:val="00F76D95"/>
    <w:rsid w:val="00F80282"/>
    <w:rsid w:val="00F81A1C"/>
    <w:rsid w:val="00F81DEF"/>
    <w:rsid w:val="00F86B60"/>
    <w:rsid w:val="00F87D63"/>
    <w:rsid w:val="00F91A6F"/>
    <w:rsid w:val="00FA17CF"/>
    <w:rsid w:val="00FA5527"/>
    <w:rsid w:val="00FA592D"/>
    <w:rsid w:val="00FA701D"/>
    <w:rsid w:val="00FA7F3B"/>
    <w:rsid w:val="00FB71E8"/>
    <w:rsid w:val="00FB7B0C"/>
    <w:rsid w:val="00FC08AB"/>
    <w:rsid w:val="00FC0AF0"/>
    <w:rsid w:val="00FC1337"/>
    <w:rsid w:val="00FC6E8F"/>
    <w:rsid w:val="00FC71D9"/>
    <w:rsid w:val="00FC73F7"/>
    <w:rsid w:val="00FD1946"/>
    <w:rsid w:val="00FD27DE"/>
    <w:rsid w:val="00FD3503"/>
    <w:rsid w:val="00FD520A"/>
    <w:rsid w:val="00FD58A3"/>
    <w:rsid w:val="00FD7810"/>
    <w:rsid w:val="00FE0DE6"/>
    <w:rsid w:val="00FE148C"/>
    <w:rsid w:val="00FE3AD9"/>
    <w:rsid w:val="00FE6F70"/>
    <w:rsid w:val="00FE6FA2"/>
    <w:rsid w:val="00FF04D0"/>
    <w:rsid w:val="00FF0536"/>
    <w:rsid w:val="00FF1E7F"/>
    <w:rsid w:val="00FF1F65"/>
    <w:rsid w:val="00FF2AD6"/>
    <w:rsid w:val="00FF7A87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spacing w:after="240"/>
      <w:ind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6"/>
      </w:numPr>
      <w:overflowPunct w:val="0"/>
      <w:autoSpaceDE w:val="0"/>
      <w:autoSpaceDN w:val="0"/>
      <w:adjustRightInd w:val="0"/>
      <w:spacing w:before="60" w:after="60"/>
    </w:pPr>
    <w:rPr>
      <w:rFonts w:ascii="SimSun" w:eastAsia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35580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lang w:eastAsia="en-GB"/>
    </w:rPr>
  </w:style>
  <w:style w:type="paragraph" w:styleId="List2">
    <w:name w:val="List 2"/>
    <w:basedOn w:val="Normal"/>
    <w:uiPriority w:val="99"/>
    <w:semiHidden/>
    <w:unhideWhenUsed/>
    <w:rsid w:val="00355806"/>
    <w:pPr>
      <w:ind w:left="720" w:hanging="360"/>
      <w:contextualSpacing/>
    </w:pPr>
  </w:style>
  <w:style w:type="paragraph" w:customStyle="1" w:styleId="References">
    <w:name w:val="References"/>
    <w:basedOn w:val="Normal"/>
    <w:rsid w:val="00FC71D9"/>
    <w:pPr>
      <w:numPr>
        <w:numId w:val="9"/>
      </w:numPr>
      <w:autoSpaceDE w:val="0"/>
      <w:autoSpaceDN w:val="0"/>
      <w:snapToGrid w:val="0"/>
      <w:spacing w:before="0" w:after="60"/>
    </w:pPr>
    <w:rPr>
      <w:rFonts w:eastAsia="SimSun"/>
      <w:szCs w:val="16"/>
      <w:lang w:val="en-US"/>
    </w:rPr>
  </w:style>
  <w:style w:type="paragraph" w:customStyle="1" w:styleId="iBodyText">
    <w:name w:val="iBody Text"/>
    <w:basedOn w:val="Normal"/>
    <w:link w:val="iBodyTextChar"/>
    <w:qFormat/>
    <w:rsid w:val="00FC71D9"/>
    <w:pPr>
      <w:jc w:val="left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FC71D9"/>
    <w:rPr>
      <w:rFonts w:ascii="Arial" w:hAnsi="Arial" w:cs="Arial"/>
      <w:sz w:val="22"/>
      <w:lang w:val="en-US" w:eastAsia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FC71D9"/>
    <w:rPr>
      <w:i/>
      <w:iCs/>
      <w:color w:val="44546A" w:themeColor="text2"/>
      <w:sz w:val="18"/>
      <w:szCs w:val="18"/>
      <w:lang w:eastAsia="en-US"/>
    </w:rPr>
  </w:style>
  <w:style w:type="paragraph" w:customStyle="1" w:styleId="TdocHeading1">
    <w:name w:val="Tdoc_Heading_1"/>
    <w:basedOn w:val="Heading1"/>
    <w:next w:val="Normal"/>
    <w:autoRedefine/>
    <w:rsid w:val="00FE0DE6"/>
    <w:pPr>
      <w:numPr>
        <w:numId w:val="19"/>
      </w:numPr>
      <w:overflowPunct w:val="0"/>
      <w:autoSpaceDE w:val="0"/>
      <w:autoSpaceDN w:val="0"/>
      <w:adjustRightInd w:val="0"/>
      <w:spacing w:before="240" w:after="0"/>
      <w:ind w:right="0"/>
      <w:textAlignment w:val="baseline"/>
    </w:pPr>
    <w:rPr>
      <w:noProof/>
      <w:kern w:val="28"/>
      <w:sz w:val="24"/>
      <w:lang w:val="en-US" w:eastAsia="en-GB"/>
    </w:rPr>
  </w:style>
  <w:style w:type="paragraph" w:customStyle="1" w:styleId="EX">
    <w:name w:val="EX"/>
    <w:basedOn w:val="Normal"/>
    <w:uiPriority w:val="99"/>
    <w:qFormat/>
    <w:rsid w:val="002E6AD0"/>
    <w:pPr>
      <w:keepLines/>
      <w:spacing w:before="0" w:after="160" w:line="259" w:lineRule="auto"/>
      <w:ind w:left="1702" w:hanging="1418"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1Zchn">
    <w:name w:val="B1 Zchn"/>
    <w:link w:val="B1"/>
    <w:qFormat/>
    <w:rsid w:val="00637283"/>
    <w:rPr>
      <w:rFonts w:ascii="Arial" w:hAnsi="Arial"/>
      <w:lang w:eastAsia="en-US"/>
    </w:rPr>
  </w:style>
  <w:style w:type="paragraph" w:customStyle="1" w:styleId="normalpuce">
    <w:name w:val="normal puce"/>
    <w:basedOn w:val="Normal"/>
    <w:rsid w:val="00637283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/>
      <w:lang w:eastAsia="en-GB"/>
    </w:rPr>
  </w:style>
  <w:style w:type="paragraph" w:customStyle="1" w:styleId="xmsolistparagraph">
    <w:name w:val="x_msolistparagraph"/>
    <w:basedOn w:val="Normal"/>
    <w:rsid w:val="00F751CF"/>
    <w:pPr>
      <w:spacing w:before="0" w:after="0"/>
      <w:jc w:val="left"/>
    </w:pPr>
    <w:rPr>
      <w:rFonts w:ascii="Calibri" w:eastAsiaTheme="minorHAnsi" w:hAnsi="Calibri" w:cs="Calibri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A3278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27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15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294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90890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F5836B39-9654-46D2-B901-BAD6C2616D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C7D49-DAC9-4D5D-BD39-55D8DE0EA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4436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Kyle Pan</cp:lastModifiedBy>
  <cp:revision>2</cp:revision>
  <cp:lastPrinted>2002-04-23T07:10:00Z</cp:lastPrinted>
  <dcterms:created xsi:type="dcterms:W3CDTF">2021-01-19T03:51:00Z</dcterms:created>
  <dcterms:modified xsi:type="dcterms:W3CDTF">2021-01-19T03:51:00Z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