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6C06885B"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901622">
        <w:rPr>
          <w:rFonts w:eastAsia="SimSun"/>
          <w:sz w:val="22"/>
          <w:lang w:eastAsia="zh-CN"/>
        </w:rPr>
        <w:t>3</w:t>
      </w:r>
      <w:r w:rsidR="00B369F1">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D43A1F">
        <w:rPr>
          <w:rFonts w:eastAsia="SimSun" w:hint="eastAsia"/>
          <w:sz w:val="22"/>
          <w:lang w:eastAsia="zh-CN"/>
        </w:rPr>
        <w:t>20</w:t>
      </w:r>
      <w:r w:rsidR="00D43A1F">
        <w:rPr>
          <w:rFonts w:eastAsia="SimSun"/>
          <w:sz w:val="22"/>
          <w:lang w:eastAsia="zh-CN"/>
        </w:rPr>
        <w:t>0</w:t>
      </w:r>
      <w:r w:rsidR="005171B4">
        <w:rPr>
          <w:rFonts w:eastAsia="SimSun"/>
          <w:sz w:val="22"/>
          <w:lang w:eastAsia="zh-CN"/>
        </w:rPr>
        <w:t>8755</w:t>
      </w:r>
    </w:p>
    <w:p w14:paraId="5274BA97" w14:textId="423579E6"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ED2D09">
        <w:rPr>
          <w:rFonts w:eastAsia="SimSun"/>
          <w:sz w:val="22"/>
          <w:lang w:eastAsia="zh-CN"/>
        </w:rPr>
        <w:t>October</w:t>
      </w:r>
      <w:r w:rsidR="002328B0">
        <w:rPr>
          <w:rFonts w:eastAsia="SimSun"/>
          <w:sz w:val="22"/>
          <w:lang w:eastAsia="zh-CN"/>
        </w:rPr>
        <w:t xml:space="preserve"> </w:t>
      </w:r>
      <w:r w:rsidR="00ED2D09">
        <w:rPr>
          <w:rFonts w:eastAsia="SimSun"/>
          <w:sz w:val="22"/>
          <w:lang w:eastAsia="zh-CN"/>
        </w:rPr>
        <w:t>26</w:t>
      </w:r>
      <w:r w:rsidR="002328B0" w:rsidRPr="0048279C">
        <w:rPr>
          <w:rFonts w:eastAsia="SimSun"/>
          <w:sz w:val="22"/>
          <w:vertAlign w:val="superscript"/>
          <w:lang w:eastAsia="zh-CN"/>
        </w:rPr>
        <w:t>th</w:t>
      </w:r>
      <w:r w:rsidR="002328B0">
        <w:rPr>
          <w:rFonts w:eastAsia="SimSun"/>
          <w:sz w:val="22"/>
          <w:lang w:eastAsia="zh-CN"/>
        </w:rPr>
        <w:t xml:space="preserve"> </w:t>
      </w:r>
      <w:r w:rsidR="002328B0" w:rsidRPr="00240590">
        <w:rPr>
          <w:rFonts w:eastAsia="SimSun"/>
          <w:sz w:val="22"/>
          <w:lang w:eastAsia="zh-CN"/>
        </w:rPr>
        <w:t xml:space="preserve">– </w:t>
      </w:r>
      <w:r w:rsidR="00ED2D09">
        <w:rPr>
          <w:rFonts w:eastAsia="SimSun"/>
          <w:sz w:val="22"/>
          <w:lang w:eastAsia="zh-CN"/>
        </w:rPr>
        <w:t>November 13</w:t>
      </w:r>
      <w:r w:rsidR="003845A5" w:rsidRPr="003845A5">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671C13E2"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D20B4B">
        <w:rPr>
          <w:sz w:val="22"/>
        </w:rPr>
        <w:t xml:space="preserve">Analysis </w:t>
      </w:r>
      <w:r w:rsidR="007D01D7">
        <w:rPr>
          <w:sz w:val="22"/>
        </w:rPr>
        <w:t>of</w:t>
      </w:r>
      <w:r w:rsidR="00D20B4B">
        <w:rPr>
          <w:sz w:val="22"/>
        </w:rPr>
        <w:t xml:space="preserve"> Control Signaling for multi-beam operation</w:t>
      </w:r>
      <w:r w:rsidR="00AF3F31">
        <w:rPr>
          <w:sz w:val="22"/>
        </w:rPr>
        <w:t xml:space="preserve"> </w:t>
      </w:r>
    </w:p>
    <w:p w14:paraId="4D626EB5" w14:textId="19AEEF3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0F5BBA">
        <w:rPr>
          <w:rFonts w:eastAsia="SimSun"/>
          <w:sz w:val="22"/>
          <w:lang w:eastAsia="zh-CN"/>
        </w:rPr>
        <w:t>1</w:t>
      </w:r>
      <w:r>
        <w:rPr>
          <w:rFonts w:eastAsia="SimSun"/>
          <w:sz w:val="22"/>
          <w:lang w:eastAsia="zh-CN"/>
        </w:rPr>
        <w:t>.</w:t>
      </w:r>
      <w:r w:rsidR="00AB26AA">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F6C4146" w14:textId="77777777" w:rsidR="00C24681" w:rsidRDefault="003A33FE" w:rsidP="00497AFF">
      <w:pPr>
        <w:pStyle w:val="00Text"/>
      </w:pPr>
      <w:r>
        <w:t xml:space="preserve">NR system specify multi-beam operation since 3GPP release 15 mainly to support FR2 systems. New WID for further enhancing NR MIMO [1] includes the following objectives </w:t>
      </w:r>
      <w:r w:rsidR="000146F7">
        <w:t xml:space="preserve">of enhancement on </w:t>
      </w:r>
      <w:r>
        <w:t>multi-beam operations</w:t>
      </w:r>
      <w:r w:rsidR="000146F7">
        <w:t xml:space="preserve">. </w:t>
      </w:r>
    </w:p>
    <w:tbl>
      <w:tblPr>
        <w:tblStyle w:val="TableGrid"/>
        <w:tblW w:w="0" w:type="auto"/>
        <w:tblLook w:val="04A0" w:firstRow="1" w:lastRow="0" w:firstColumn="1" w:lastColumn="0" w:noHBand="0" w:noVBand="1"/>
      </w:tblPr>
      <w:tblGrid>
        <w:gridCol w:w="9062"/>
      </w:tblGrid>
      <w:tr w:rsidR="00C24681" w14:paraId="40B170BD" w14:textId="77777777" w:rsidTr="00A63A10">
        <w:tc>
          <w:tcPr>
            <w:tcW w:w="9062" w:type="dxa"/>
          </w:tcPr>
          <w:p w14:paraId="04A598E9" w14:textId="77777777" w:rsidR="00C24681" w:rsidRPr="003A33FE" w:rsidRDefault="00C24681" w:rsidP="00A63A10">
            <w:pPr>
              <w:pStyle w:val="00Text"/>
              <w:numPr>
                <w:ilvl w:val="0"/>
                <w:numId w:val="5"/>
              </w:numPr>
              <w:rPr>
                <w:lang w:val="en-GB"/>
              </w:rPr>
            </w:pPr>
            <w:r w:rsidRPr="003A33FE">
              <w:rPr>
                <w:lang w:val="en-GB"/>
              </w:rPr>
              <w:t xml:space="preserve">Enhancement on multi-beam operation, mainly targeting FR2 while also applicable to FR1: </w:t>
            </w:r>
          </w:p>
          <w:p w14:paraId="5FE7D7B1" w14:textId="77777777" w:rsidR="00C24681" w:rsidRPr="003A33FE" w:rsidRDefault="00C24681" w:rsidP="00A63A10">
            <w:pPr>
              <w:pStyle w:val="00Text"/>
              <w:numPr>
                <w:ilvl w:val="1"/>
                <w:numId w:val="5"/>
              </w:numPr>
              <w:rPr>
                <w:lang w:val="en-GB"/>
              </w:rPr>
            </w:pPr>
            <w:r w:rsidRPr="003A33FE">
              <w:rPr>
                <w:lang w:val="en-GB"/>
              </w:rPr>
              <w:t>Identify and specify features to facilitate more efficient (lower latency and overhead) DL/UL beam management to support higher intra- and L1/L2-centric inter-cell mobility and/or a larger number of configured TCI states:</w:t>
            </w:r>
          </w:p>
          <w:p w14:paraId="5C4A9237" w14:textId="77777777" w:rsidR="00C24681" w:rsidRPr="003A33FE" w:rsidRDefault="00C24681" w:rsidP="00A63A10">
            <w:pPr>
              <w:pStyle w:val="00Text"/>
              <w:numPr>
                <w:ilvl w:val="2"/>
                <w:numId w:val="5"/>
              </w:numPr>
              <w:rPr>
                <w:lang w:val="en-GB"/>
              </w:rPr>
            </w:pPr>
            <w:r w:rsidRPr="003A33FE">
              <w:rPr>
                <w:lang w:val="en-GB"/>
              </w:rPr>
              <w:t>Common beam for data and control transmission/reception for DL and UL, especially for intra-band CA</w:t>
            </w:r>
          </w:p>
          <w:p w14:paraId="33D83DEB" w14:textId="77777777" w:rsidR="00C24681" w:rsidRPr="003A33FE" w:rsidRDefault="00C24681" w:rsidP="00A63A10">
            <w:pPr>
              <w:pStyle w:val="00Text"/>
              <w:numPr>
                <w:ilvl w:val="2"/>
                <w:numId w:val="5"/>
              </w:numPr>
              <w:rPr>
                <w:lang w:val="en-GB"/>
              </w:rPr>
            </w:pPr>
            <w:r w:rsidRPr="003A33FE">
              <w:rPr>
                <w:lang w:val="en-GB"/>
              </w:rPr>
              <w:t>Unified TCI framework for DL and UL beam indication</w:t>
            </w:r>
          </w:p>
          <w:p w14:paraId="09CC3678" w14:textId="77777777" w:rsidR="00C24681" w:rsidRPr="003A33FE" w:rsidRDefault="00C24681" w:rsidP="00A63A10">
            <w:pPr>
              <w:pStyle w:val="00Text"/>
              <w:numPr>
                <w:ilvl w:val="2"/>
                <w:numId w:val="5"/>
              </w:numPr>
              <w:rPr>
                <w:lang w:val="en-GB"/>
              </w:rPr>
            </w:pPr>
            <w:r w:rsidRPr="003A33FE">
              <w:rPr>
                <w:lang w:val="en-GB"/>
              </w:rPr>
              <w:t>Enhancement on signaling mechanisms for the above features to improve latency and efficiency with more usage of dynamic control signaling (as opposed to RRC)</w:t>
            </w:r>
          </w:p>
          <w:p w14:paraId="7A5241C1" w14:textId="77777777" w:rsidR="00C24681" w:rsidRPr="003A33FE" w:rsidRDefault="00C24681" w:rsidP="00A63A10">
            <w:pPr>
              <w:pStyle w:val="00Text"/>
              <w:numPr>
                <w:ilvl w:val="1"/>
                <w:numId w:val="5"/>
              </w:numPr>
              <w:rPr>
                <w:lang w:val="en-GB"/>
              </w:rPr>
            </w:pPr>
            <w:r w:rsidRPr="003A33FE">
              <w:rPr>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0FEB63AE" w14:textId="46C6E891" w:rsidR="000146F7" w:rsidRDefault="000146F7" w:rsidP="00497AFF">
      <w:pPr>
        <w:pStyle w:val="00Text"/>
      </w:pPr>
      <w:r>
        <w:t>In RAN1#102-e meeting</w:t>
      </w:r>
      <w:r w:rsidR="006F6D28">
        <w:t xml:space="preserve"> [2]</w:t>
      </w:r>
      <w:r>
        <w:t>, we reached the following agreements</w:t>
      </w:r>
      <w:r w:rsidR="00167623">
        <w:t xml:space="preserve"> on unified TCI state framework</w:t>
      </w:r>
      <w:r>
        <w:t>:</w:t>
      </w:r>
    </w:p>
    <w:tbl>
      <w:tblPr>
        <w:tblStyle w:val="TableGrid"/>
        <w:tblW w:w="0" w:type="auto"/>
        <w:tblLook w:val="04A0" w:firstRow="1" w:lastRow="0" w:firstColumn="1" w:lastColumn="0" w:noHBand="0" w:noVBand="1"/>
      </w:tblPr>
      <w:tblGrid>
        <w:gridCol w:w="9062"/>
      </w:tblGrid>
      <w:tr w:rsidR="000146F7" w:rsidRPr="000146F7" w14:paraId="79F07CAA" w14:textId="77777777" w:rsidTr="000146F7">
        <w:tc>
          <w:tcPr>
            <w:tcW w:w="9062" w:type="dxa"/>
          </w:tcPr>
          <w:p w14:paraId="4948E7D7" w14:textId="77777777" w:rsidR="000146F7" w:rsidRPr="000146F7" w:rsidRDefault="000146F7" w:rsidP="000146F7">
            <w:pPr>
              <w:rPr>
                <w:rFonts w:cs="Times"/>
                <w:b/>
                <w:bCs/>
                <w:sz w:val="18"/>
                <w:szCs w:val="18"/>
                <w:highlight w:val="green"/>
                <w:lang w:eastAsia="x-none"/>
              </w:rPr>
            </w:pPr>
            <w:r w:rsidRPr="000146F7">
              <w:rPr>
                <w:rFonts w:cs="Times"/>
                <w:b/>
                <w:bCs/>
                <w:sz w:val="18"/>
                <w:szCs w:val="18"/>
                <w:highlight w:val="green"/>
                <w:lang w:eastAsia="x-none"/>
              </w:rPr>
              <w:t xml:space="preserve">Agreement </w:t>
            </w:r>
          </w:p>
          <w:p w14:paraId="0CF3069D" w14:textId="77777777" w:rsidR="000146F7" w:rsidRPr="000146F7" w:rsidRDefault="000146F7" w:rsidP="000146F7">
            <w:pPr>
              <w:snapToGrid w:val="0"/>
              <w:rPr>
                <w:sz w:val="18"/>
                <w:szCs w:val="18"/>
              </w:rPr>
            </w:pPr>
            <w:r w:rsidRPr="000146F7">
              <w:rPr>
                <w:b/>
                <w:sz w:val="18"/>
                <w:szCs w:val="18"/>
              </w:rPr>
              <w:t>Note</w:t>
            </w:r>
            <w:r w:rsidRPr="000146F7">
              <w:rPr>
                <w:sz w:val="18"/>
                <w:szCs w:val="18"/>
              </w:rPr>
              <w:t>: the enumeration for issues (such as “issue 1a), 1b), 6) in the proposal below refers to the enumeration within the proposals, not Table 1 in the FL summary.</w:t>
            </w:r>
          </w:p>
          <w:p w14:paraId="625170E7" w14:textId="77777777" w:rsidR="000146F7" w:rsidRPr="000146F7" w:rsidRDefault="000146F7" w:rsidP="000146F7">
            <w:pPr>
              <w:pStyle w:val="ListParagraph"/>
              <w:numPr>
                <w:ilvl w:val="0"/>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 [Issue 1] For Rel.17 NR FeMIMO, on the unified TCI framework</w:t>
            </w:r>
          </w:p>
          <w:p w14:paraId="69652CC6"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Support joint TCI for DL and UL based on and analogous to Rel.15/16 DL TCI framework</w:t>
            </w:r>
          </w:p>
          <w:p w14:paraId="6973A67B"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The term “TCI” at least comprises a TCI state that </w:t>
            </w:r>
            <w:r w:rsidRPr="000146F7">
              <w:rPr>
                <w:rFonts w:ascii="Times New Roman" w:hAnsi="Times New Roman"/>
                <w:sz w:val="18"/>
                <w:szCs w:val="18"/>
                <w:u w:val="single"/>
              </w:rPr>
              <w:t>includes</w:t>
            </w:r>
            <w:r w:rsidRPr="000146F7">
              <w:rPr>
                <w:rFonts w:ascii="Times New Roman" w:hAnsi="Times New Roman"/>
                <w:sz w:val="18"/>
                <w:szCs w:val="18"/>
              </w:rPr>
              <w:t xml:space="preserve"> at least one source RS to provide a reference (UE assumption) for determining QCL and/or spatial filter </w:t>
            </w:r>
          </w:p>
          <w:p w14:paraId="14C6B4DF"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The source reference signal(s) in M TCIs provide common QCL information at least for UE-dedicated reception on PDSCH and all or subset of CORESETs in a CC</w:t>
            </w:r>
          </w:p>
          <w:p w14:paraId="26158FFA"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FFS: Optionally this common QCL information can also apply to CSI-RS resource for CSI, CSI-RS resource for BM, and CSI-RS for tracking</w:t>
            </w:r>
          </w:p>
          <w:p w14:paraId="24412FCE"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FFS: Applicability on PD</w:t>
            </w:r>
            <w:r w:rsidRPr="000146F7">
              <w:rPr>
                <w:rFonts w:ascii="Times New Roman" w:hAnsi="Times New Roman"/>
                <w:sz w:val="18"/>
                <w:szCs w:val="18"/>
                <w:lang w:eastAsia="ko-KR"/>
              </w:rPr>
              <w:t>S</w:t>
            </w:r>
            <w:r w:rsidRPr="000146F7">
              <w:rPr>
                <w:rFonts w:ascii="Times New Roman" w:hAnsi="Times New Roman"/>
                <w:sz w:val="18"/>
                <w:szCs w:val="18"/>
              </w:rPr>
              <w:t>CH includes PDSCH default beam</w:t>
            </w:r>
          </w:p>
          <w:p w14:paraId="73D3BE56"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highlight w:val="darkYellow"/>
              </w:rPr>
              <w:t>Working Assumption</w:t>
            </w:r>
            <w:r w:rsidRPr="000146F7">
              <w:rPr>
                <w:rFonts w:ascii="Times New Roman" w:hAnsi="Times New Roman"/>
                <w:sz w:val="18"/>
                <w:szCs w:val="18"/>
              </w:rPr>
              <w:t>: Select between M=1 and M&gt;=1</w:t>
            </w:r>
          </w:p>
          <w:p w14:paraId="1D39D48B"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The source reference signal(s) in N TCIs provide a reference for determining common UL TX spatial filter(s) at least for dynamic-grant/configured-grant based PUSCH, all or subset of dedicated PUCCH resources in a CC, </w:t>
            </w:r>
          </w:p>
          <w:p w14:paraId="4E9B902B"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Optionally, this UL TX spatial filter can also apply to all SRS resources in resource set(s) configured for antenna switching/codebook-based/non-codebook-based UL transmissions</w:t>
            </w:r>
          </w:p>
          <w:p w14:paraId="40F699E3"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FFS:  applicability of this UL TX spatial filter to SRS configured for beam management (BM)</w:t>
            </w:r>
          </w:p>
          <w:p w14:paraId="4F7A7241"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FFS: PUSCH port determination based on the TCI, e.g., to be mapped with SRS ports analogous to Rel.15/16</w:t>
            </w:r>
          </w:p>
          <w:p w14:paraId="277E0AD2"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highlight w:val="darkYellow"/>
              </w:rPr>
              <w:t>Working Assumption</w:t>
            </w:r>
            <w:r w:rsidRPr="000146F7">
              <w:rPr>
                <w:rFonts w:ascii="Times New Roman" w:hAnsi="Times New Roman"/>
                <w:sz w:val="18"/>
                <w:szCs w:val="18"/>
              </w:rPr>
              <w:t>: Select between N=1 and N&gt;=1</w:t>
            </w:r>
          </w:p>
          <w:p w14:paraId="2971E0A6"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FFS: extension to common QCL information applied to only some of the CORESETs or PUCCH resources in a CC, e.g. for mTRP </w:t>
            </w:r>
          </w:p>
          <w:p w14:paraId="10C4094A"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lastRenderedPageBreak/>
              <w:t xml:space="preserve">FFS: When used for the purpose of joint beam indication for UL and DL, whether a joint TCI pool for DL and UL dedicated for the purpose is used, or the same TCI pool as that used for the purpose of separate DL/UL beam indication is used </w:t>
            </w:r>
          </w:p>
          <w:p w14:paraId="4BA50C36"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Note: The resulting beam indication directly refers to the associated source RS(s)</w:t>
            </w:r>
          </w:p>
          <w:p w14:paraId="15D25387"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FFS (RAN1#103-e): Details on extension to intra- and inter-band CA</w:t>
            </w:r>
          </w:p>
          <w:p w14:paraId="40DB28B3"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FFS (RAN1#103-e): The supported number of active TCI states considering factors such as multi-TRP and issue 6 </w:t>
            </w:r>
          </w:p>
          <w:p w14:paraId="32B53FE2"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FFS (RAN1#103-e): Applicable QCL types, and co-existence with DL TCI and spatial relation indication in Rel.15/16</w:t>
            </w:r>
          </w:p>
          <w:p w14:paraId="6E60874F"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In RAN1#103-e, investigate, for the purpose of down selection, the following alternatives for accommodating the case of separate beam indication for UL and DL</w:t>
            </w:r>
          </w:p>
          <w:p w14:paraId="0833C31C"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Alt1. Utilize the joint TCI </w:t>
            </w:r>
            <w:r w:rsidRPr="000146F7">
              <w:rPr>
                <w:rFonts w:ascii="Times New Roman" w:eastAsia="Times New Roman" w:hAnsi="Times New Roman"/>
                <w:sz w:val="18"/>
                <w:szCs w:val="18"/>
                <w:lang w:eastAsia="zh-CN"/>
              </w:rPr>
              <w:t>to include references for both DL and UL beams</w:t>
            </w:r>
          </w:p>
          <w:p w14:paraId="44D0C1BE"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Alt2. Utilize two separate TCI states, one for DL and one for UL. The TCI state for the DL is the same as agreed in 1a. The TCI state for the UL can be newly introduced.</w:t>
            </w:r>
          </w:p>
          <w:p w14:paraId="17A5752F"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Alt 2-1: The UL TCI state is taken from the same pool of TCI states as the DL TCI state</w:t>
            </w:r>
          </w:p>
          <w:p w14:paraId="418D59C6" w14:textId="77777777" w:rsidR="000146F7" w:rsidRPr="000146F7" w:rsidRDefault="000146F7" w:rsidP="000146F7">
            <w:pPr>
              <w:pStyle w:val="ListParagraph"/>
              <w:numPr>
                <w:ilvl w:val="3"/>
                <w:numId w:val="8"/>
              </w:numPr>
              <w:snapToGrid w:val="0"/>
              <w:ind w:leftChars="0"/>
              <w:contextualSpacing/>
              <w:rPr>
                <w:rFonts w:ascii="Times New Roman" w:hAnsi="Times New Roman"/>
                <w:sz w:val="18"/>
                <w:szCs w:val="18"/>
              </w:rPr>
            </w:pPr>
            <w:r w:rsidRPr="000146F7">
              <w:rPr>
                <w:rFonts w:ascii="Times New Roman" w:hAnsi="Times New Roman"/>
                <w:sz w:val="18"/>
                <w:szCs w:val="18"/>
              </w:rPr>
              <w:t>Alt 2-2: The UL TCI state is taken from another pool of TCI states than the DL TCI state</w:t>
            </w:r>
          </w:p>
          <w:p w14:paraId="66B9E8A1"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Note: The resulting beam indication directly refers to the associated source RS(s)</w:t>
            </w:r>
          </w:p>
          <w:p w14:paraId="051E5151"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FFS (RAN1#103-e): Details on extension to intra- and inter-band CA</w:t>
            </w:r>
          </w:p>
          <w:p w14:paraId="77224852"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Note: This may be related to issue 5 as well as </w:t>
            </w:r>
            <w:r w:rsidRPr="000146F7">
              <w:rPr>
                <w:rFonts w:ascii="Times New Roman" w:hAnsi="Times New Roman"/>
                <w:sz w:val="18"/>
                <w:szCs w:val="18"/>
                <w:lang w:eastAsia="zh-CN"/>
              </w:rPr>
              <w:t>other reasons for different TCIs such as network flexibility/scheduling</w:t>
            </w:r>
          </w:p>
          <w:p w14:paraId="793D5EF5"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Support the use of SSB/CSI-RS for BM and/or SRS for BM as source RS to determine a UL TX spatial filter in the unified TCI framework</w:t>
            </w:r>
          </w:p>
          <w:p w14:paraId="4270CFDF"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Whether the UL TX spatial filter corresponds to UL TCI (separate from DL TCI) depends on the outcome of 1b) above</w:t>
            </w:r>
          </w:p>
          <w:p w14:paraId="7CE36304"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FFS: Support the use of non-BM CSI-RS and/or non-BM SRS in addition</w:t>
            </w:r>
          </w:p>
          <w:p w14:paraId="3A5A9BD2"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In RAN1#103-e, decide if SRS for BM can be configured as a source RS to represent a DL RX spatial filter in the unified TCI framework</w:t>
            </w:r>
          </w:p>
          <w:p w14:paraId="41189B6F"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In RAN1#103-e, decide/finalize all other parameters included in or concurrent with (but not included in) the TCI, e.g. UL-PC-related parameters (involving P0/alpha, PL RS, and/or closed loop index), UL-timing-related parameters  </w:t>
            </w:r>
          </w:p>
          <w:p w14:paraId="680FCA7D"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In RAN1#103-e, identify issues pertaining to alignment between DL and UL default beam assumptions using the unified TCI framework</w:t>
            </w:r>
          </w:p>
          <w:p w14:paraId="219854DC" w14:textId="77777777" w:rsidR="000146F7" w:rsidRPr="000146F7" w:rsidRDefault="000146F7" w:rsidP="000146F7">
            <w:pPr>
              <w:pStyle w:val="ListParagraph"/>
              <w:numPr>
                <w:ilvl w:val="0"/>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[Issue 3] For Rel.17 NR FeMIMO, on dynamic TCI state update signaling medium: </w:t>
            </w:r>
          </w:p>
          <w:p w14:paraId="6BFC2FFF"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In RAN1#103-e, investigate, for the purpose of down selection, the following alternatives:</w:t>
            </w:r>
          </w:p>
          <w:p w14:paraId="44CA2CB1"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Alt1. DCI</w:t>
            </w:r>
          </w:p>
          <w:p w14:paraId="1B21613D"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Alt2. MAC CE</w:t>
            </w:r>
          </w:p>
          <w:p w14:paraId="6A9C19F4"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Note: Combination between DCI and MAC CE for, e.g. different use cases or control information partitioning can also be considered </w:t>
            </w:r>
          </w:p>
          <w:p w14:paraId="019C99B5"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6FC17617"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Note: This may be related to outcome of issue 1a), 1b), and 6a)</w:t>
            </w:r>
          </w:p>
          <w:p w14:paraId="6BDC392E" w14:textId="77777777" w:rsidR="000146F7" w:rsidRPr="000146F7" w:rsidRDefault="000146F7" w:rsidP="000146F7">
            <w:pPr>
              <w:pStyle w:val="ListParagraph"/>
              <w:numPr>
                <w:ilvl w:val="1"/>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In RAN1#103-e, depending on the outcome of 3a), identify candidates for more detailed design issues for the dynamic TCI state update such as </w:t>
            </w:r>
          </w:p>
          <w:p w14:paraId="7A8A8395"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Exact content </w:t>
            </w:r>
          </w:p>
          <w:p w14:paraId="2EE6DE4C"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 xml:space="preserve">Signaling format </w:t>
            </w:r>
          </w:p>
          <w:p w14:paraId="69EAC420" w14:textId="77777777" w:rsidR="000146F7" w:rsidRPr="000146F7" w:rsidRDefault="000146F7" w:rsidP="000146F7">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Reliability aspects including the support of retransmission</w:t>
            </w:r>
          </w:p>
          <w:p w14:paraId="24E17FCC" w14:textId="0BF1E162" w:rsidR="000146F7" w:rsidRPr="002738F8" w:rsidRDefault="000146F7" w:rsidP="002738F8">
            <w:pPr>
              <w:pStyle w:val="ListParagraph"/>
              <w:numPr>
                <w:ilvl w:val="2"/>
                <w:numId w:val="8"/>
              </w:numPr>
              <w:snapToGrid w:val="0"/>
              <w:ind w:leftChars="0"/>
              <w:contextualSpacing/>
              <w:rPr>
                <w:rFonts w:ascii="Times New Roman" w:hAnsi="Times New Roman"/>
                <w:sz w:val="18"/>
                <w:szCs w:val="18"/>
              </w:rPr>
            </w:pPr>
            <w:r w:rsidRPr="000146F7">
              <w:rPr>
                <w:rFonts w:ascii="Times New Roman" w:hAnsi="Times New Roman"/>
                <w:sz w:val="18"/>
                <w:szCs w:val="18"/>
              </w:rPr>
              <w:t>Extensions, including the support of UE-group (in contrast to UE-dedicated) signaling</w:t>
            </w:r>
          </w:p>
        </w:tc>
      </w:tr>
    </w:tbl>
    <w:p w14:paraId="28568785" w14:textId="6A0EB21E" w:rsidR="003A33FE" w:rsidRDefault="002328B0" w:rsidP="00497AFF">
      <w:pPr>
        <w:pStyle w:val="00Text"/>
      </w:pPr>
      <w:r w:rsidRPr="00497AFF">
        <w:lastRenderedPageBreak/>
        <w:t xml:space="preserve">In this contribution, we present </w:t>
      </w:r>
      <w:r w:rsidR="005439B8">
        <w:t xml:space="preserve">detailed analysis on the methods of control signaling for TCI state update, </w:t>
      </w:r>
      <w:r w:rsidR="006C3B84">
        <w:t>including comparing</w:t>
      </w:r>
      <w:r w:rsidR="005439B8">
        <w:t xml:space="preserve"> DCI-based method and MAC CE-based method</w:t>
      </w:r>
      <w:r w:rsidR="00E14413">
        <w:t xml:space="preserve"> TCI state update</w:t>
      </w:r>
      <w:r w:rsidR="006C3B84">
        <w:t xml:space="preserve"> from the perspective of latency and overhead</w:t>
      </w:r>
      <w:r w:rsidR="003A33FE">
        <w:t>.</w:t>
      </w:r>
    </w:p>
    <w:p w14:paraId="1646829D" w14:textId="7EADCEA0" w:rsidR="002C4DCC" w:rsidRDefault="005439B8" w:rsidP="002C4DCC">
      <w:pPr>
        <w:pStyle w:val="01"/>
        <w:numPr>
          <w:ilvl w:val="0"/>
          <w:numId w:val="1"/>
        </w:numPr>
        <w:ind w:left="562" w:hanging="562"/>
      </w:pPr>
      <w:r>
        <w:t>Discussion</w:t>
      </w:r>
      <w:r w:rsidR="00E14413">
        <w:t xml:space="preserve"> on TCI state update</w:t>
      </w:r>
      <w:r w:rsidR="00032853">
        <w:t xml:space="preserve"> methods</w:t>
      </w:r>
    </w:p>
    <w:p w14:paraId="5EE16E8C" w14:textId="7330CD07" w:rsidR="00925672" w:rsidRDefault="00925672" w:rsidP="00925672">
      <w:pPr>
        <w:pStyle w:val="BodyText"/>
        <w:rPr>
          <w:lang w:eastAsia="zh-CN"/>
        </w:rPr>
      </w:pPr>
      <w:r>
        <w:rPr>
          <w:lang w:eastAsia="zh-CN"/>
        </w:rPr>
        <w:t>For dynamic TCI state update, we agreed to investigate the following two alternatives of control signaling</w:t>
      </w:r>
      <w:r w:rsidR="005439B8">
        <w:rPr>
          <w:lang w:eastAsia="zh-CN"/>
        </w:rPr>
        <w:t xml:space="preserve"> in RAN1#102-e meeting</w:t>
      </w:r>
      <w:r>
        <w:rPr>
          <w:lang w:eastAsia="zh-CN"/>
        </w:rPr>
        <w:t>:</w:t>
      </w:r>
    </w:p>
    <w:p w14:paraId="0C2FAC0D" w14:textId="13CC96D9" w:rsidR="00925672" w:rsidRDefault="00925672" w:rsidP="00925672">
      <w:pPr>
        <w:pStyle w:val="BodyText"/>
        <w:numPr>
          <w:ilvl w:val="0"/>
          <w:numId w:val="16"/>
        </w:numPr>
        <w:rPr>
          <w:lang w:eastAsia="zh-CN"/>
        </w:rPr>
      </w:pPr>
      <w:r>
        <w:rPr>
          <w:lang w:eastAsia="zh-CN"/>
        </w:rPr>
        <w:t>Alt1: DCI</w:t>
      </w:r>
      <w:r w:rsidR="005439B8">
        <w:rPr>
          <w:lang w:eastAsia="zh-CN"/>
        </w:rPr>
        <w:t>-based TCI state update</w:t>
      </w:r>
    </w:p>
    <w:p w14:paraId="21EC8005" w14:textId="48A4C165" w:rsidR="00925672" w:rsidRDefault="00925672" w:rsidP="00925672">
      <w:pPr>
        <w:pStyle w:val="BodyText"/>
        <w:numPr>
          <w:ilvl w:val="0"/>
          <w:numId w:val="16"/>
        </w:numPr>
        <w:rPr>
          <w:lang w:eastAsia="zh-CN"/>
        </w:rPr>
      </w:pPr>
      <w:r>
        <w:rPr>
          <w:lang w:eastAsia="zh-CN"/>
        </w:rPr>
        <w:t>Alt2: MAC CE</w:t>
      </w:r>
      <w:r w:rsidR="005439B8">
        <w:rPr>
          <w:lang w:eastAsia="zh-CN"/>
        </w:rPr>
        <w:t>-based TCI state update</w:t>
      </w:r>
    </w:p>
    <w:p w14:paraId="21836D70" w14:textId="26A46705" w:rsidR="005439B8" w:rsidRDefault="005439B8" w:rsidP="00925672">
      <w:pPr>
        <w:pStyle w:val="00Text"/>
      </w:pPr>
      <w:r>
        <w:t xml:space="preserve">In DCI-based TCI state update method, the gNB indicates one common TCI state through a DCI signaling and the UE shall apply that common TCI state on the reception of UE-specific PDCCH, PDSCH and some CSI-RS resource. The UE shall also apply the spatial setting included in the common TCI state on the transmission of </w:t>
      </w:r>
      <w:r>
        <w:lastRenderedPageBreak/>
        <w:t xml:space="preserve">PUSCH, PUCCH and some SRS </w:t>
      </w:r>
      <w:r w:rsidR="00A81BFD">
        <w:t>resources. In</w:t>
      </w:r>
      <w:r w:rsidR="00335DEA">
        <w:t xml:space="preserve"> contrast, in MAC CE-based method, the gNB indicates one TCI state through a MAC CE message. </w:t>
      </w:r>
    </w:p>
    <w:p w14:paraId="0EF97517" w14:textId="018CCA68" w:rsidR="00925672" w:rsidRPr="00925672" w:rsidRDefault="00925672" w:rsidP="00925672">
      <w:pPr>
        <w:pStyle w:val="00Text"/>
      </w:pPr>
      <w:r>
        <w:t xml:space="preserve">These two alternatives can be analyzed from the perspective of latency and overhead. The </w:t>
      </w:r>
      <w:r w:rsidR="005439B8">
        <w:t>timeline</w:t>
      </w:r>
      <w:r>
        <w:t xml:space="preserve"> of DCI-based TCI state update and MAC CE based TCI state are shown in Figure</w:t>
      </w:r>
      <w:r>
        <w:rPr>
          <w:rFonts w:hint="eastAsia"/>
        </w:rPr>
        <w:t>s</w:t>
      </w:r>
      <w:r>
        <w:t xml:space="preserve"> 1</w:t>
      </w:r>
      <w:r>
        <w:rPr>
          <w:rFonts w:hint="eastAsia"/>
        </w:rPr>
        <w:t>.</w:t>
      </w:r>
    </w:p>
    <w:p w14:paraId="32497D74" w14:textId="77777777" w:rsidR="007E0349" w:rsidRDefault="007E0349" w:rsidP="00362B55">
      <w:pPr>
        <w:pStyle w:val="00Text"/>
      </w:pPr>
    </w:p>
    <w:p w14:paraId="4E9ECE0A" w14:textId="1CDA7B4D" w:rsidR="00362B55" w:rsidRDefault="00362B55" w:rsidP="00362B55">
      <w:pPr>
        <w:pStyle w:val="00Text"/>
        <w:jc w:val="center"/>
      </w:pPr>
      <w:r>
        <w:rPr>
          <w:noProof/>
        </w:rPr>
        <w:drawing>
          <wp:inline distT="0" distB="0" distL="0" distR="0" wp14:anchorId="2C558A34" wp14:editId="021A32CB">
            <wp:extent cx="5206084" cy="395785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818" cy="3968292"/>
                    </a:xfrm>
                    <a:prstGeom prst="rect">
                      <a:avLst/>
                    </a:prstGeom>
                    <a:noFill/>
                  </pic:spPr>
                </pic:pic>
              </a:graphicData>
            </a:graphic>
          </wp:inline>
        </w:drawing>
      </w:r>
    </w:p>
    <w:p w14:paraId="04B902EE" w14:textId="6C5D6B80" w:rsidR="00362B55" w:rsidRDefault="00362B55" w:rsidP="00362B55">
      <w:pPr>
        <w:pStyle w:val="00Text"/>
        <w:jc w:val="center"/>
        <w:rPr>
          <w:b/>
          <w:bCs/>
        </w:rPr>
      </w:pPr>
      <w:r w:rsidRPr="00362B55">
        <w:rPr>
          <w:rFonts w:hint="eastAsia"/>
          <w:b/>
          <w:bCs/>
        </w:rPr>
        <w:t>Figure</w:t>
      </w:r>
      <w:r w:rsidRPr="00362B55">
        <w:rPr>
          <w:b/>
          <w:bCs/>
        </w:rPr>
        <w:t xml:space="preserve"> </w:t>
      </w:r>
      <w:r w:rsidRPr="00362B55">
        <w:rPr>
          <w:rFonts w:hint="eastAsia"/>
          <w:b/>
          <w:bCs/>
        </w:rPr>
        <w:t>1</w:t>
      </w:r>
      <w:r w:rsidRPr="00362B55">
        <w:rPr>
          <w:b/>
          <w:bCs/>
        </w:rPr>
        <w:t xml:space="preserve"> </w:t>
      </w:r>
      <w:r w:rsidRPr="00362B55">
        <w:rPr>
          <w:rFonts w:hint="eastAsia"/>
          <w:b/>
          <w:bCs/>
        </w:rPr>
        <w:t>Time</w:t>
      </w:r>
      <w:r w:rsidRPr="00362B55">
        <w:rPr>
          <w:b/>
          <w:bCs/>
        </w:rPr>
        <w:t xml:space="preserve"> line of MAC CE-based and DCI-based beam switch</w:t>
      </w:r>
    </w:p>
    <w:p w14:paraId="5A37B1ED" w14:textId="031DCC41" w:rsidR="003F36B1" w:rsidRPr="00925672" w:rsidRDefault="00925672" w:rsidP="00925672">
      <w:pPr>
        <w:pStyle w:val="00Text"/>
      </w:pPr>
      <w:r w:rsidRPr="00925672">
        <w:t xml:space="preserve">Given the </w:t>
      </w:r>
      <w:r w:rsidR="00335DEA" w:rsidRPr="00925672">
        <w:t>timeline</w:t>
      </w:r>
      <w:r w:rsidRPr="00925672">
        <w:t xml:space="preserve"> of each method TCI state indication, </w:t>
      </w:r>
      <w:r>
        <w:t>the latency analysis is listed in Table 1.</w:t>
      </w:r>
    </w:p>
    <w:p w14:paraId="4BD2070F" w14:textId="3D289DBA" w:rsidR="00CD3381" w:rsidRPr="003F36B1" w:rsidRDefault="003F36B1" w:rsidP="00362B55">
      <w:pPr>
        <w:pStyle w:val="00Text"/>
        <w:rPr>
          <w:b/>
          <w:bCs/>
        </w:rPr>
      </w:pPr>
      <w:r w:rsidRPr="003F36B1">
        <w:rPr>
          <w:b/>
          <w:bCs/>
        </w:rPr>
        <w:t>Table 1: Latency evaluation of TCI state signaling methods</w:t>
      </w:r>
    </w:p>
    <w:tbl>
      <w:tblPr>
        <w:tblStyle w:val="ListTable3-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CD3381" w:rsidRPr="00925672" w14:paraId="6AD62130" w14:textId="77777777" w:rsidTr="00904C5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020" w:type="dxa"/>
            <w:tcBorders>
              <w:bottom w:val="none" w:sz="0" w:space="0" w:color="auto"/>
              <w:right w:val="none" w:sz="0" w:space="0" w:color="auto"/>
            </w:tcBorders>
          </w:tcPr>
          <w:p w14:paraId="4C6826CB" w14:textId="5F8EC788" w:rsidR="00CD3381" w:rsidRPr="00925672" w:rsidRDefault="00904C54" w:rsidP="00904C54">
            <w:pPr>
              <w:pStyle w:val="00Text"/>
              <w:jc w:val="center"/>
              <w:rPr>
                <w:sz w:val="18"/>
                <w:szCs w:val="22"/>
              </w:rPr>
            </w:pPr>
            <w:r w:rsidRPr="00925672">
              <w:rPr>
                <w:sz w:val="18"/>
                <w:szCs w:val="22"/>
              </w:rPr>
              <w:t>Latency Components</w:t>
            </w:r>
          </w:p>
        </w:tc>
        <w:tc>
          <w:tcPr>
            <w:tcW w:w="3021" w:type="dxa"/>
          </w:tcPr>
          <w:p w14:paraId="52A50E6A" w14:textId="38BC1B08" w:rsidR="00CD3381" w:rsidRPr="00925672" w:rsidRDefault="00CD3381" w:rsidP="00904C54">
            <w:pPr>
              <w:pStyle w:val="00Text"/>
              <w:jc w:val="center"/>
              <w:cnfStyle w:val="100000000000" w:firstRow="1" w:lastRow="0" w:firstColumn="0" w:lastColumn="0" w:oddVBand="0" w:evenVBand="0" w:oddHBand="0" w:evenHBand="0" w:firstRowFirstColumn="0" w:firstRowLastColumn="0" w:lastRowFirstColumn="0" w:lastRowLastColumn="0"/>
              <w:rPr>
                <w:sz w:val="18"/>
                <w:szCs w:val="22"/>
              </w:rPr>
            </w:pPr>
            <w:r w:rsidRPr="00925672">
              <w:rPr>
                <w:sz w:val="18"/>
                <w:szCs w:val="22"/>
              </w:rPr>
              <w:t>DCI-based method</w:t>
            </w:r>
          </w:p>
        </w:tc>
        <w:tc>
          <w:tcPr>
            <w:tcW w:w="3021" w:type="dxa"/>
          </w:tcPr>
          <w:p w14:paraId="2126DC17" w14:textId="13B869C6" w:rsidR="00CD3381" w:rsidRPr="00925672" w:rsidRDefault="00CD3381" w:rsidP="00904C54">
            <w:pPr>
              <w:pStyle w:val="00Text"/>
              <w:jc w:val="center"/>
              <w:cnfStyle w:val="100000000000" w:firstRow="1" w:lastRow="0" w:firstColumn="0" w:lastColumn="0" w:oddVBand="0" w:evenVBand="0" w:oddHBand="0" w:evenHBand="0" w:firstRowFirstColumn="0" w:firstRowLastColumn="0" w:lastRowFirstColumn="0" w:lastRowLastColumn="0"/>
              <w:rPr>
                <w:sz w:val="18"/>
                <w:szCs w:val="22"/>
              </w:rPr>
            </w:pPr>
            <w:r w:rsidRPr="00925672">
              <w:rPr>
                <w:sz w:val="18"/>
                <w:szCs w:val="22"/>
              </w:rPr>
              <w:t>MAC CE-based method</w:t>
            </w:r>
          </w:p>
        </w:tc>
      </w:tr>
      <w:tr w:rsidR="001F3DF9" w:rsidRPr="00925672" w14:paraId="4C129240" w14:textId="77777777" w:rsidTr="00904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Borders>
              <w:top w:val="none" w:sz="0" w:space="0" w:color="auto"/>
              <w:bottom w:val="none" w:sz="0" w:space="0" w:color="auto"/>
              <w:right w:val="none" w:sz="0" w:space="0" w:color="auto"/>
            </w:tcBorders>
          </w:tcPr>
          <w:p w14:paraId="30EE6C46" w14:textId="519EB1D5" w:rsidR="001F3DF9" w:rsidRPr="00925672" w:rsidRDefault="002D2AC8" w:rsidP="001F3DF9">
            <w:pPr>
              <w:pStyle w:val="00Text"/>
              <w:rPr>
                <w:sz w:val="18"/>
                <w:szCs w:val="22"/>
              </w:rPr>
            </w:pPr>
            <w:r w:rsidRPr="00925672">
              <w:rPr>
                <w:sz w:val="18"/>
                <w:szCs w:val="22"/>
              </w:rPr>
              <w:t>Trigger</w:t>
            </w:r>
            <w:r w:rsidR="001F3DF9" w:rsidRPr="00925672">
              <w:rPr>
                <w:sz w:val="18"/>
                <w:szCs w:val="22"/>
              </w:rPr>
              <w:t xml:space="preserve"> Time</w:t>
            </w:r>
          </w:p>
        </w:tc>
        <w:tc>
          <w:tcPr>
            <w:tcW w:w="3021" w:type="dxa"/>
            <w:tcBorders>
              <w:top w:val="none" w:sz="0" w:space="0" w:color="auto"/>
              <w:bottom w:val="none" w:sz="0" w:space="0" w:color="auto"/>
            </w:tcBorders>
          </w:tcPr>
          <w:p w14:paraId="45BC9272" w14:textId="5F1A6EF9" w:rsidR="001F3DF9" w:rsidRPr="00925672" w:rsidRDefault="001F3DF9" w:rsidP="001F3DF9">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925672">
              <w:rPr>
                <w:sz w:val="18"/>
                <w:szCs w:val="22"/>
              </w:rPr>
              <w:t xml:space="preserve">The gNB decides TCI state </w:t>
            </w:r>
            <w:r w:rsidR="0037083B" w:rsidRPr="00925672">
              <w:rPr>
                <w:sz w:val="18"/>
                <w:szCs w:val="22"/>
              </w:rPr>
              <w:t>s</w:t>
            </w:r>
            <w:r w:rsidRPr="00925672">
              <w:rPr>
                <w:sz w:val="18"/>
                <w:szCs w:val="22"/>
              </w:rPr>
              <w:t>witch</w:t>
            </w:r>
          </w:p>
        </w:tc>
        <w:tc>
          <w:tcPr>
            <w:tcW w:w="3021" w:type="dxa"/>
            <w:tcBorders>
              <w:top w:val="none" w:sz="0" w:space="0" w:color="auto"/>
              <w:bottom w:val="none" w:sz="0" w:space="0" w:color="auto"/>
            </w:tcBorders>
          </w:tcPr>
          <w:p w14:paraId="6E4AF129" w14:textId="14203CFF" w:rsidR="001F3DF9" w:rsidRPr="00925672" w:rsidRDefault="001F3DF9" w:rsidP="001F3DF9">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925672">
              <w:rPr>
                <w:sz w:val="18"/>
                <w:szCs w:val="22"/>
              </w:rPr>
              <w:t xml:space="preserve">The gNB decides TCI state </w:t>
            </w:r>
            <w:r w:rsidR="0037083B" w:rsidRPr="00925672">
              <w:rPr>
                <w:sz w:val="18"/>
                <w:szCs w:val="22"/>
              </w:rPr>
              <w:t>s</w:t>
            </w:r>
            <w:r w:rsidRPr="00925672">
              <w:rPr>
                <w:sz w:val="18"/>
                <w:szCs w:val="22"/>
              </w:rPr>
              <w:t>witch</w:t>
            </w:r>
          </w:p>
        </w:tc>
      </w:tr>
      <w:tr w:rsidR="001F3DF9" w:rsidRPr="00925672" w14:paraId="54787120" w14:textId="77777777" w:rsidTr="00904C54">
        <w:tc>
          <w:tcPr>
            <w:cnfStyle w:val="001000000000" w:firstRow="0" w:lastRow="0" w:firstColumn="1" w:lastColumn="0" w:oddVBand="0" w:evenVBand="0" w:oddHBand="0" w:evenHBand="0" w:firstRowFirstColumn="0" w:firstRowLastColumn="0" w:lastRowFirstColumn="0" w:lastRowLastColumn="0"/>
            <w:tcW w:w="3020" w:type="dxa"/>
            <w:tcBorders>
              <w:right w:val="none" w:sz="0" w:space="0" w:color="auto"/>
            </w:tcBorders>
          </w:tcPr>
          <w:p w14:paraId="33C42F8A" w14:textId="5CF653A5" w:rsidR="001F3DF9" w:rsidRPr="00925672" w:rsidRDefault="001F3DF9" w:rsidP="001F3DF9">
            <w:pPr>
              <w:pStyle w:val="00Text"/>
              <w:rPr>
                <w:sz w:val="18"/>
                <w:szCs w:val="22"/>
              </w:rPr>
            </w:pPr>
            <w:r w:rsidRPr="00925672">
              <w:rPr>
                <w:sz w:val="18"/>
                <w:szCs w:val="22"/>
              </w:rPr>
              <w:t>Component #1: prepare MAC CE or DCI for indicating TCI state</w:t>
            </w:r>
          </w:p>
        </w:tc>
        <w:tc>
          <w:tcPr>
            <w:tcW w:w="3021" w:type="dxa"/>
          </w:tcPr>
          <w:p w14:paraId="532B7E06" w14:textId="77777777" w:rsidR="001F3DF9" w:rsidRPr="00925672" w:rsidRDefault="001F3DF9" w:rsidP="001F3DF9">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925672">
              <w:rPr>
                <w:sz w:val="18"/>
                <w:szCs w:val="22"/>
              </w:rPr>
              <w:t>1 slot:</w:t>
            </w:r>
          </w:p>
          <w:p w14:paraId="0E68E662" w14:textId="364D9F01" w:rsidR="001F3DF9" w:rsidRPr="00925672" w:rsidRDefault="00F10E43" w:rsidP="001F3DF9">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925672">
              <w:rPr>
                <w:sz w:val="18"/>
                <w:szCs w:val="22"/>
              </w:rPr>
              <w:t>SCS=</w:t>
            </w:r>
            <w:r w:rsidR="001F3DF9" w:rsidRPr="00925672">
              <w:rPr>
                <w:sz w:val="18"/>
                <w:szCs w:val="22"/>
              </w:rPr>
              <w:t>60kHz: 0.25ms</w:t>
            </w:r>
          </w:p>
          <w:p w14:paraId="086099C7" w14:textId="721D5F57" w:rsidR="001F3DF9" w:rsidRPr="00925672" w:rsidRDefault="00F10E43" w:rsidP="001F3DF9">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925672">
              <w:rPr>
                <w:sz w:val="18"/>
                <w:szCs w:val="22"/>
              </w:rPr>
              <w:t>SCS=</w:t>
            </w:r>
            <w:r w:rsidR="001F3DF9" w:rsidRPr="00925672">
              <w:rPr>
                <w:sz w:val="18"/>
                <w:szCs w:val="22"/>
              </w:rPr>
              <w:t>120kHz: 0.125 ms</w:t>
            </w:r>
          </w:p>
        </w:tc>
        <w:tc>
          <w:tcPr>
            <w:tcW w:w="3021" w:type="dxa"/>
          </w:tcPr>
          <w:p w14:paraId="7CF81632" w14:textId="42D206AF" w:rsidR="001F3DF9" w:rsidRPr="00925672" w:rsidRDefault="001F3DF9" w:rsidP="001F3DF9">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925672">
              <w:rPr>
                <w:sz w:val="18"/>
                <w:szCs w:val="22"/>
              </w:rPr>
              <w:t>2ms</w:t>
            </w:r>
          </w:p>
        </w:tc>
      </w:tr>
      <w:tr w:rsidR="001F3DF9" w:rsidRPr="00925672" w14:paraId="3C89C84B" w14:textId="77777777" w:rsidTr="00904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Borders>
              <w:top w:val="none" w:sz="0" w:space="0" w:color="auto"/>
              <w:bottom w:val="none" w:sz="0" w:space="0" w:color="auto"/>
              <w:right w:val="none" w:sz="0" w:space="0" w:color="auto"/>
            </w:tcBorders>
          </w:tcPr>
          <w:p w14:paraId="2B98C74C" w14:textId="0AFC2715" w:rsidR="001F3DF9" w:rsidRPr="00925672" w:rsidRDefault="001F3DF9" w:rsidP="001F3DF9">
            <w:pPr>
              <w:pStyle w:val="00Text"/>
              <w:rPr>
                <w:sz w:val="18"/>
                <w:szCs w:val="22"/>
              </w:rPr>
            </w:pPr>
            <w:r w:rsidRPr="00925672">
              <w:rPr>
                <w:sz w:val="18"/>
                <w:szCs w:val="22"/>
              </w:rPr>
              <w:t>Component #2: DL transmission and HARQ-ACK</w:t>
            </w:r>
          </w:p>
        </w:tc>
        <w:tc>
          <w:tcPr>
            <w:tcW w:w="3021" w:type="dxa"/>
            <w:tcBorders>
              <w:top w:val="none" w:sz="0" w:space="0" w:color="auto"/>
              <w:bottom w:val="none" w:sz="0" w:space="0" w:color="auto"/>
            </w:tcBorders>
          </w:tcPr>
          <w:p w14:paraId="1E9D2306" w14:textId="020D2D34" w:rsidR="001F3DF9" w:rsidRPr="00925672" w:rsidRDefault="001F3DF9" w:rsidP="001F3DF9">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925672">
              <w:rPr>
                <w:sz w:val="18"/>
                <w:szCs w:val="22"/>
              </w:rPr>
              <w:t>1 slot</w:t>
            </w:r>
            <w:r w:rsidR="00F10E43" w:rsidRPr="00925672">
              <w:rPr>
                <w:sz w:val="18"/>
                <w:szCs w:val="22"/>
              </w:rPr>
              <w:t>,</w:t>
            </w:r>
          </w:p>
          <w:p w14:paraId="0D556F3B" w14:textId="61950F49" w:rsidR="001F3DF9" w:rsidRPr="00925672" w:rsidRDefault="00F10E43" w:rsidP="001F3DF9">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925672">
              <w:rPr>
                <w:sz w:val="18"/>
                <w:szCs w:val="22"/>
              </w:rPr>
              <w:t>SCS=</w:t>
            </w:r>
            <w:r w:rsidR="001F3DF9" w:rsidRPr="00925672">
              <w:rPr>
                <w:sz w:val="18"/>
                <w:szCs w:val="22"/>
              </w:rPr>
              <w:t>60kHz: 0.25ms</w:t>
            </w:r>
          </w:p>
          <w:p w14:paraId="1F226CF4" w14:textId="1D41D821" w:rsidR="001F3DF9" w:rsidRPr="00925672" w:rsidRDefault="00F10E43" w:rsidP="001F3DF9">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925672">
              <w:rPr>
                <w:sz w:val="18"/>
                <w:szCs w:val="22"/>
              </w:rPr>
              <w:t>SCS=</w:t>
            </w:r>
            <w:r w:rsidR="001F3DF9" w:rsidRPr="00925672">
              <w:rPr>
                <w:sz w:val="18"/>
                <w:szCs w:val="22"/>
              </w:rPr>
              <w:t>120kHz: 0.125 ms</w:t>
            </w:r>
          </w:p>
        </w:tc>
        <w:tc>
          <w:tcPr>
            <w:tcW w:w="3021" w:type="dxa"/>
            <w:tcBorders>
              <w:top w:val="none" w:sz="0" w:space="0" w:color="auto"/>
              <w:bottom w:val="none" w:sz="0" w:space="0" w:color="auto"/>
            </w:tcBorders>
          </w:tcPr>
          <w:p w14:paraId="5BF2E19C" w14:textId="77777777" w:rsidR="001F3DF9" w:rsidRPr="00925672" w:rsidRDefault="001F3DF9" w:rsidP="001F3DF9">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925672">
              <w:rPr>
                <w:sz w:val="18"/>
                <w:szCs w:val="22"/>
              </w:rPr>
              <w:t>1 slot</w:t>
            </w:r>
          </w:p>
          <w:p w14:paraId="0FC5FE68" w14:textId="4E8BD4BE" w:rsidR="001F3DF9" w:rsidRPr="00925672" w:rsidRDefault="00F10E43" w:rsidP="001F3DF9">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925672">
              <w:rPr>
                <w:sz w:val="18"/>
                <w:szCs w:val="22"/>
              </w:rPr>
              <w:t>SCS=</w:t>
            </w:r>
            <w:r w:rsidR="001F3DF9" w:rsidRPr="00925672">
              <w:rPr>
                <w:sz w:val="18"/>
                <w:szCs w:val="22"/>
              </w:rPr>
              <w:t>60kHz: 0.25ms</w:t>
            </w:r>
          </w:p>
          <w:p w14:paraId="06BA84EA" w14:textId="656D6759" w:rsidR="001F3DF9" w:rsidRPr="00925672" w:rsidRDefault="00F10E43" w:rsidP="001F3DF9">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925672">
              <w:rPr>
                <w:sz w:val="18"/>
                <w:szCs w:val="22"/>
              </w:rPr>
              <w:t>SCS=</w:t>
            </w:r>
            <w:r w:rsidR="001F3DF9" w:rsidRPr="00925672">
              <w:rPr>
                <w:sz w:val="18"/>
                <w:szCs w:val="22"/>
              </w:rPr>
              <w:t>120kHz: 0.125 ms</w:t>
            </w:r>
          </w:p>
        </w:tc>
      </w:tr>
      <w:tr w:rsidR="001F3DF9" w:rsidRPr="00925672" w14:paraId="5A0F52DD" w14:textId="77777777" w:rsidTr="00904C54">
        <w:tc>
          <w:tcPr>
            <w:cnfStyle w:val="001000000000" w:firstRow="0" w:lastRow="0" w:firstColumn="1" w:lastColumn="0" w:oddVBand="0" w:evenVBand="0" w:oddHBand="0" w:evenHBand="0" w:firstRowFirstColumn="0" w:firstRowLastColumn="0" w:lastRowFirstColumn="0" w:lastRowLastColumn="0"/>
            <w:tcW w:w="3020" w:type="dxa"/>
            <w:tcBorders>
              <w:right w:val="none" w:sz="0" w:space="0" w:color="auto"/>
            </w:tcBorders>
          </w:tcPr>
          <w:p w14:paraId="0CD5C36F" w14:textId="079DAF3C" w:rsidR="001F3DF9" w:rsidRPr="00925672" w:rsidRDefault="001F3DF9" w:rsidP="001F3DF9">
            <w:pPr>
              <w:pStyle w:val="00Text"/>
              <w:rPr>
                <w:sz w:val="18"/>
                <w:szCs w:val="22"/>
              </w:rPr>
            </w:pPr>
            <w:r w:rsidRPr="00925672">
              <w:rPr>
                <w:sz w:val="18"/>
                <w:szCs w:val="22"/>
              </w:rPr>
              <w:t>Component #2: Process the TCI state switch</w:t>
            </w:r>
          </w:p>
        </w:tc>
        <w:tc>
          <w:tcPr>
            <w:tcW w:w="3021" w:type="dxa"/>
          </w:tcPr>
          <w:p w14:paraId="7FB73929" w14:textId="07465445" w:rsidR="001F3DF9" w:rsidRPr="00925672" w:rsidRDefault="001F3DF9" w:rsidP="001F3DF9">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925672">
              <w:rPr>
                <w:sz w:val="18"/>
                <w:szCs w:val="22"/>
              </w:rPr>
              <w:t>1ms</w:t>
            </w:r>
          </w:p>
        </w:tc>
        <w:tc>
          <w:tcPr>
            <w:tcW w:w="3021" w:type="dxa"/>
          </w:tcPr>
          <w:p w14:paraId="3318D0CF" w14:textId="45F05373" w:rsidR="001F3DF9" w:rsidRPr="00925672" w:rsidRDefault="001F3DF9" w:rsidP="001F3DF9">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925672">
              <w:rPr>
                <w:sz w:val="18"/>
                <w:szCs w:val="22"/>
              </w:rPr>
              <w:t>3ms</w:t>
            </w:r>
          </w:p>
        </w:tc>
      </w:tr>
      <w:tr w:rsidR="001F3DF9" w:rsidRPr="00925672" w14:paraId="769EA91E" w14:textId="77777777" w:rsidTr="00904C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Borders>
              <w:top w:val="none" w:sz="0" w:space="0" w:color="auto"/>
              <w:bottom w:val="none" w:sz="0" w:space="0" w:color="auto"/>
              <w:right w:val="none" w:sz="0" w:space="0" w:color="auto"/>
            </w:tcBorders>
          </w:tcPr>
          <w:p w14:paraId="18EAD4EF" w14:textId="2E0E4766" w:rsidR="001F3DF9" w:rsidRPr="00925672" w:rsidRDefault="001F3DF9" w:rsidP="001F3DF9">
            <w:pPr>
              <w:pStyle w:val="00Text"/>
              <w:rPr>
                <w:sz w:val="18"/>
                <w:szCs w:val="22"/>
              </w:rPr>
            </w:pPr>
            <w:r w:rsidRPr="00925672">
              <w:rPr>
                <w:sz w:val="18"/>
                <w:szCs w:val="22"/>
              </w:rPr>
              <w:t>End time</w:t>
            </w:r>
          </w:p>
        </w:tc>
        <w:tc>
          <w:tcPr>
            <w:tcW w:w="3021" w:type="dxa"/>
            <w:tcBorders>
              <w:top w:val="none" w:sz="0" w:space="0" w:color="auto"/>
              <w:bottom w:val="none" w:sz="0" w:space="0" w:color="auto"/>
            </w:tcBorders>
          </w:tcPr>
          <w:p w14:paraId="03F796D7" w14:textId="194EAEB4" w:rsidR="001F3DF9" w:rsidRPr="00925672" w:rsidRDefault="001F3DF9" w:rsidP="001F3DF9">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925672">
              <w:rPr>
                <w:sz w:val="18"/>
                <w:szCs w:val="22"/>
              </w:rPr>
              <w:t>The UE starts to assume the new TCI state</w:t>
            </w:r>
          </w:p>
        </w:tc>
        <w:tc>
          <w:tcPr>
            <w:tcW w:w="3021" w:type="dxa"/>
            <w:tcBorders>
              <w:top w:val="none" w:sz="0" w:space="0" w:color="auto"/>
              <w:bottom w:val="none" w:sz="0" w:space="0" w:color="auto"/>
            </w:tcBorders>
          </w:tcPr>
          <w:p w14:paraId="4C626A8E" w14:textId="248CE29D" w:rsidR="001F3DF9" w:rsidRPr="00925672" w:rsidRDefault="001F3DF9" w:rsidP="001F3DF9">
            <w:pPr>
              <w:pStyle w:val="00Text"/>
              <w:cnfStyle w:val="000000100000" w:firstRow="0" w:lastRow="0" w:firstColumn="0" w:lastColumn="0" w:oddVBand="0" w:evenVBand="0" w:oddHBand="1" w:evenHBand="0" w:firstRowFirstColumn="0" w:firstRowLastColumn="0" w:lastRowFirstColumn="0" w:lastRowLastColumn="0"/>
              <w:rPr>
                <w:sz w:val="18"/>
                <w:szCs w:val="22"/>
              </w:rPr>
            </w:pPr>
            <w:r w:rsidRPr="00925672">
              <w:rPr>
                <w:sz w:val="18"/>
                <w:szCs w:val="22"/>
              </w:rPr>
              <w:t>The UE starts to assume the new TCI state</w:t>
            </w:r>
          </w:p>
        </w:tc>
      </w:tr>
      <w:tr w:rsidR="001F3DF9" w:rsidRPr="00925672" w14:paraId="7C055982" w14:textId="77777777" w:rsidTr="00904C54">
        <w:tc>
          <w:tcPr>
            <w:cnfStyle w:val="001000000000" w:firstRow="0" w:lastRow="0" w:firstColumn="1" w:lastColumn="0" w:oddVBand="0" w:evenVBand="0" w:oddHBand="0" w:evenHBand="0" w:firstRowFirstColumn="0" w:firstRowLastColumn="0" w:lastRowFirstColumn="0" w:lastRowLastColumn="0"/>
            <w:tcW w:w="3020" w:type="dxa"/>
            <w:tcBorders>
              <w:right w:val="none" w:sz="0" w:space="0" w:color="auto"/>
            </w:tcBorders>
          </w:tcPr>
          <w:p w14:paraId="3FCAD471" w14:textId="0F653B8C" w:rsidR="001F3DF9" w:rsidRPr="00925672" w:rsidRDefault="001F3DF9" w:rsidP="001F3DF9">
            <w:pPr>
              <w:pStyle w:val="00Text"/>
              <w:rPr>
                <w:sz w:val="18"/>
                <w:szCs w:val="22"/>
              </w:rPr>
            </w:pPr>
            <w:r w:rsidRPr="00925672">
              <w:rPr>
                <w:sz w:val="18"/>
                <w:szCs w:val="22"/>
              </w:rPr>
              <w:lastRenderedPageBreak/>
              <w:t>Total latency</w:t>
            </w:r>
          </w:p>
        </w:tc>
        <w:tc>
          <w:tcPr>
            <w:tcW w:w="3021" w:type="dxa"/>
          </w:tcPr>
          <w:p w14:paraId="27A16DB0" w14:textId="3122A882" w:rsidR="001F3DF9" w:rsidRPr="00925672" w:rsidRDefault="00F10E43" w:rsidP="001F3DF9">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925672">
              <w:rPr>
                <w:sz w:val="18"/>
                <w:szCs w:val="22"/>
              </w:rPr>
              <w:t>SCS=</w:t>
            </w:r>
            <w:r w:rsidR="001F3DF9" w:rsidRPr="00925672">
              <w:rPr>
                <w:sz w:val="18"/>
                <w:szCs w:val="22"/>
              </w:rPr>
              <w:t>60kHz: 1.5ms</w:t>
            </w:r>
          </w:p>
          <w:p w14:paraId="6344C64B" w14:textId="45597EF5" w:rsidR="001F3DF9" w:rsidRPr="00925672" w:rsidRDefault="00F10E43" w:rsidP="001F3DF9">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925672">
              <w:rPr>
                <w:sz w:val="18"/>
                <w:szCs w:val="22"/>
              </w:rPr>
              <w:t>SCS=</w:t>
            </w:r>
            <w:r w:rsidR="001F3DF9" w:rsidRPr="00925672">
              <w:rPr>
                <w:sz w:val="18"/>
                <w:szCs w:val="22"/>
              </w:rPr>
              <w:t>120KHz: 1.25ms</w:t>
            </w:r>
          </w:p>
        </w:tc>
        <w:tc>
          <w:tcPr>
            <w:tcW w:w="3021" w:type="dxa"/>
          </w:tcPr>
          <w:p w14:paraId="3B1D18E0" w14:textId="19A761A4" w:rsidR="001F3DF9" w:rsidRPr="00925672" w:rsidRDefault="00F10E43" w:rsidP="001F3DF9">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925672">
              <w:rPr>
                <w:sz w:val="18"/>
                <w:szCs w:val="22"/>
              </w:rPr>
              <w:t>SCS=</w:t>
            </w:r>
            <w:r w:rsidR="001F3DF9" w:rsidRPr="00925672">
              <w:rPr>
                <w:sz w:val="18"/>
                <w:szCs w:val="22"/>
              </w:rPr>
              <w:t>60KHz: 5.25ms</w:t>
            </w:r>
          </w:p>
          <w:p w14:paraId="607823E1" w14:textId="1568678E" w:rsidR="001F3DF9" w:rsidRPr="00925672" w:rsidRDefault="00F10E43" w:rsidP="001F3DF9">
            <w:pPr>
              <w:pStyle w:val="00Text"/>
              <w:cnfStyle w:val="000000000000" w:firstRow="0" w:lastRow="0" w:firstColumn="0" w:lastColumn="0" w:oddVBand="0" w:evenVBand="0" w:oddHBand="0" w:evenHBand="0" w:firstRowFirstColumn="0" w:firstRowLastColumn="0" w:lastRowFirstColumn="0" w:lastRowLastColumn="0"/>
              <w:rPr>
                <w:sz w:val="18"/>
                <w:szCs w:val="22"/>
              </w:rPr>
            </w:pPr>
            <w:r w:rsidRPr="00925672">
              <w:rPr>
                <w:sz w:val="18"/>
                <w:szCs w:val="22"/>
              </w:rPr>
              <w:t>SCS=</w:t>
            </w:r>
            <w:r w:rsidR="001F3DF9" w:rsidRPr="00925672">
              <w:rPr>
                <w:sz w:val="18"/>
                <w:szCs w:val="22"/>
              </w:rPr>
              <w:t>120KHz: 5.125ms</w:t>
            </w:r>
          </w:p>
        </w:tc>
      </w:tr>
    </w:tbl>
    <w:p w14:paraId="7D2E7E9F" w14:textId="47CA9A46" w:rsidR="00CD3381" w:rsidRDefault="00925672" w:rsidP="00362B55">
      <w:pPr>
        <w:pStyle w:val="00Text"/>
      </w:pPr>
      <w:r>
        <w:t xml:space="preserve">We can observe that </w:t>
      </w:r>
      <w:r w:rsidR="00C214DE">
        <w:t xml:space="preserve">DCI-based TCI state update could reduce the latency of TCI state update by ~4ms in comparison with MAC CE based TCI state update. </w:t>
      </w:r>
    </w:p>
    <w:p w14:paraId="428D4167" w14:textId="1BEFA07F" w:rsidR="00C214DE" w:rsidRDefault="00C214DE" w:rsidP="00362B55">
      <w:pPr>
        <w:pStyle w:val="00Text"/>
      </w:pPr>
      <w:r>
        <w:t>Next, the signaling overhead is analyzed for these two methods. In MAC CE-based TCI state update, a MAC CE indicating one TCI state shall be transmitted in a PDSCH. In contrast, DCI-based TCI state update only needs one DCI indicating one TCI state. Therefore, DCI-based TCI state update would require less overhead than MAC CE-based method. To analyze the signaling overhead, the following assumptions are used:</w:t>
      </w:r>
    </w:p>
    <w:p w14:paraId="347475D2" w14:textId="4594E4A4" w:rsidR="00C214DE" w:rsidRDefault="00C214DE" w:rsidP="00C214DE">
      <w:pPr>
        <w:pStyle w:val="00Text"/>
        <w:numPr>
          <w:ilvl w:val="0"/>
          <w:numId w:val="17"/>
        </w:numPr>
      </w:pPr>
      <w:r>
        <w:t>PDSCH carrying one MAC CE PDU: one MAC CE PDU contains one MAC CE subheader that generally includes 4 bytes for header fields LCID/eLCID/L and one MAC CE message that contains 2 bytes. Including 2 bytes of CRC, the total length for payload is 8 bytes. Assume QSPK are used for PDSCH with code rate 679/1024 or 379/1024. 1/5 DMRS overhead is assumed.</w:t>
      </w:r>
    </w:p>
    <w:p w14:paraId="7C144084" w14:textId="52A32273" w:rsidR="00C214DE" w:rsidRDefault="00C214DE" w:rsidP="00C214DE">
      <w:pPr>
        <w:pStyle w:val="00Text"/>
        <w:numPr>
          <w:ilvl w:val="0"/>
          <w:numId w:val="17"/>
        </w:numPr>
      </w:pPr>
      <w:r>
        <w:t xml:space="preserve">PDCCH carrying DCI scheduling the PDSCH or PDCCH carrying DCI indicating TCI state: 1/2/4/8/16 CCEs can be used for PDCCH. </w:t>
      </w:r>
    </w:p>
    <w:p w14:paraId="082EC933" w14:textId="138083CF" w:rsidR="007102CF" w:rsidRDefault="00C214DE" w:rsidP="00C214DE">
      <w:pPr>
        <w:pStyle w:val="00Text"/>
      </w:pPr>
      <w:r>
        <w:t xml:space="preserve">The comparison of signaling overhead of </w:t>
      </w:r>
      <w:r w:rsidR="00662B6F">
        <w:t>these two methods is shown in Table 2.</w:t>
      </w:r>
    </w:p>
    <w:p w14:paraId="62FDC1B2" w14:textId="11B2B5D5" w:rsidR="00C214DE" w:rsidRPr="00C214DE" w:rsidRDefault="00C214DE" w:rsidP="00C214DE">
      <w:pPr>
        <w:pStyle w:val="00Text"/>
        <w:jc w:val="center"/>
        <w:rPr>
          <w:b/>
          <w:bCs/>
        </w:rPr>
      </w:pPr>
      <w:r w:rsidRPr="00C214DE">
        <w:rPr>
          <w:b/>
          <w:bCs/>
        </w:rPr>
        <w:t>Table 2: signaling overhead comparison: DCI-based vs MAC CE-based</w:t>
      </w:r>
    </w:p>
    <w:p w14:paraId="6755A290" w14:textId="249C4AA7" w:rsidR="00E42FE8" w:rsidRDefault="00E42FE8" w:rsidP="00174EF0">
      <w:pPr>
        <w:pStyle w:val="00Text"/>
        <w:jc w:val="center"/>
        <w:rPr>
          <w:b/>
          <w:bCs/>
        </w:rPr>
      </w:pPr>
      <w:r>
        <w:rPr>
          <w:noProof/>
        </w:rPr>
        <w:drawing>
          <wp:inline distT="0" distB="0" distL="0" distR="0" wp14:anchorId="4EF5F13B" wp14:editId="215A4A14">
            <wp:extent cx="4885899" cy="3101606"/>
            <wp:effectExtent l="0" t="0" r="10160" b="3810"/>
            <wp:docPr id="6" name="Chart 6">
              <a:extLst xmlns:a="http://schemas.openxmlformats.org/drawingml/2006/main">
                <a:ext uri="{FF2B5EF4-FFF2-40B4-BE49-F238E27FC236}">
                  <a16:creationId xmlns:a16="http://schemas.microsoft.com/office/drawing/2014/main" id="{3F2A70B3-38AE-48D9-A9DD-1D6F926025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5582D1F" w14:textId="29318094" w:rsidR="00662B6F" w:rsidRDefault="00662B6F" w:rsidP="00662B6F">
      <w:pPr>
        <w:pStyle w:val="00Text"/>
      </w:pPr>
      <w:r>
        <w:t>Based on the analysis, we can observe that DCI-based TCI state update can reduce both latency and signaling overhead significantly in comparison with MAC CE-based TCI state update. Thus, DCI-based method is preferred.</w:t>
      </w:r>
    </w:p>
    <w:p w14:paraId="37B2B7C3" w14:textId="77777777" w:rsidR="00426298" w:rsidRDefault="00426298" w:rsidP="00335DEA">
      <w:pPr>
        <w:pStyle w:val="000proposal"/>
      </w:pPr>
    </w:p>
    <w:p w14:paraId="55241B7E" w14:textId="28D9698B" w:rsidR="00335DEA" w:rsidRDefault="00335DEA" w:rsidP="00335DEA">
      <w:pPr>
        <w:pStyle w:val="000proposal"/>
      </w:pPr>
      <w:r>
        <w:t>Observation 1: DCI-based TCI state method has lower latency than MAC CE based method:</w:t>
      </w:r>
    </w:p>
    <w:p w14:paraId="14FE1B90" w14:textId="33D9895E" w:rsidR="00335DEA" w:rsidRDefault="00335DEA" w:rsidP="00335DEA">
      <w:pPr>
        <w:pStyle w:val="000proposal"/>
        <w:numPr>
          <w:ilvl w:val="0"/>
          <w:numId w:val="23"/>
        </w:numPr>
      </w:pPr>
      <w:r>
        <w:t>The latency of DCI-based TCI state is 1.5ms for 60KHz</w:t>
      </w:r>
    </w:p>
    <w:p w14:paraId="3B77A70D" w14:textId="763F1518" w:rsidR="00335DEA" w:rsidRDefault="00335DEA" w:rsidP="00335DEA">
      <w:pPr>
        <w:pStyle w:val="000proposal"/>
        <w:numPr>
          <w:ilvl w:val="0"/>
          <w:numId w:val="23"/>
        </w:numPr>
      </w:pPr>
      <w:r>
        <w:t>The latency of MAC CE based method is 5.25 ms for 60</w:t>
      </w:r>
      <w:r>
        <w:rPr>
          <w:rFonts w:hint="eastAsia"/>
        </w:rPr>
        <w:t>K</w:t>
      </w:r>
      <w:r>
        <w:t>Hz</w:t>
      </w:r>
    </w:p>
    <w:p w14:paraId="7A2F174E" w14:textId="0C4BDC92" w:rsidR="00335DEA" w:rsidRDefault="00335DEA" w:rsidP="00662B6F">
      <w:pPr>
        <w:pStyle w:val="000proposal"/>
      </w:pPr>
      <w:bookmarkStart w:id="0" w:name="_Hlk53585843"/>
      <w:r>
        <w:t xml:space="preserve">Observation 2: The signaling overhead of MAC CE based method could be 120%~260% </w:t>
      </w:r>
      <w:r>
        <w:rPr>
          <w:rFonts w:hint="eastAsia"/>
        </w:rPr>
        <w:t>o</w:t>
      </w:r>
      <w:r>
        <w:t>f that of the DCI based method.</w:t>
      </w:r>
    </w:p>
    <w:bookmarkEnd w:id="0"/>
    <w:p w14:paraId="6C9F410E" w14:textId="77777777" w:rsidR="006B0921" w:rsidRPr="00962DD7" w:rsidRDefault="006B0921" w:rsidP="00962DD7">
      <w:pPr>
        <w:pStyle w:val="00Text"/>
      </w:pPr>
    </w:p>
    <w:p w14:paraId="69A8645B" w14:textId="7731E88F" w:rsidR="00F65FEA" w:rsidRDefault="00F65FEA" w:rsidP="00F65FEA">
      <w:pPr>
        <w:pStyle w:val="01"/>
        <w:numPr>
          <w:ilvl w:val="0"/>
          <w:numId w:val="1"/>
        </w:numPr>
        <w:ind w:left="562" w:hanging="562"/>
      </w:pPr>
      <w:r>
        <w:lastRenderedPageBreak/>
        <w:t>Conclusion</w:t>
      </w:r>
    </w:p>
    <w:p w14:paraId="104C3E8B" w14:textId="351D3915" w:rsidR="002328B0" w:rsidRDefault="002328B0" w:rsidP="002328B0">
      <w:pPr>
        <w:pStyle w:val="00Text"/>
      </w:pPr>
      <w:r w:rsidRPr="001B2F18">
        <w:t xml:space="preserve">In this contribution, we </w:t>
      </w:r>
      <w:r w:rsidR="00E03A08">
        <w:t>analyzed the control signaling for TCI state update</w:t>
      </w:r>
      <w:r w:rsidR="000A4372">
        <w:t xml:space="preserve">. </w:t>
      </w:r>
      <w:r w:rsidRPr="001B2F18">
        <w:t>Based on the discussion, t</w:t>
      </w:r>
      <w:r w:rsidRPr="001B2F18">
        <w:rPr>
          <w:rFonts w:hint="eastAsia"/>
        </w:rPr>
        <w:t xml:space="preserve">he </w:t>
      </w:r>
      <w:r w:rsidRPr="001B2F18">
        <w:t xml:space="preserve">following </w:t>
      </w:r>
      <w:r w:rsidR="00E03A08">
        <w:t>observations</w:t>
      </w:r>
      <w:r w:rsidRPr="001B2F18">
        <w:t xml:space="preserve"> are provided</w:t>
      </w:r>
      <w:r w:rsidRPr="001B2F18">
        <w:rPr>
          <w:rFonts w:hint="eastAsia"/>
        </w:rPr>
        <w:t>:</w:t>
      </w:r>
    </w:p>
    <w:p w14:paraId="344A875E" w14:textId="77777777" w:rsidR="00E03A08" w:rsidRDefault="00E03A08" w:rsidP="00E03A08">
      <w:pPr>
        <w:pStyle w:val="000proposal"/>
      </w:pPr>
      <w:r>
        <w:t>Observation 1: DCI-based TCI state method has lower latency than MAC CE based method:</w:t>
      </w:r>
    </w:p>
    <w:p w14:paraId="2A37F6CB" w14:textId="77777777" w:rsidR="00E03A08" w:rsidRDefault="00E03A08" w:rsidP="00E03A08">
      <w:pPr>
        <w:pStyle w:val="000proposal"/>
        <w:numPr>
          <w:ilvl w:val="0"/>
          <w:numId w:val="23"/>
        </w:numPr>
      </w:pPr>
      <w:r>
        <w:t>The latency of DCI-based TCI state is 1.5ms for 60KHz</w:t>
      </w:r>
    </w:p>
    <w:p w14:paraId="400394D3" w14:textId="3391D452" w:rsidR="00E03A08" w:rsidRDefault="00E03A08" w:rsidP="00E03A08">
      <w:pPr>
        <w:pStyle w:val="000proposal"/>
        <w:numPr>
          <w:ilvl w:val="0"/>
          <w:numId w:val="23"/>
        </w:numPr>
      </w:pPr>
      <w:r>
        <w:t>The latency of MAC CE based method is 5.25ms</w:t>
      </w:r>
      <w:r w:rsidR="00921723">
        <w:t xml:space="preserve"> </w:t>
      </w:r>
      <w:r>
        <w:t>for 60</w:t>
      </w:r>
      <w:r>
        <w:rPr>
          <w:rFonts w:hint="eastAsia"/>
        </w:rPr>
        <w:t>K</w:t>
      </w:r>
      <w:r>
        <w:t>Hz</w:t>
      </w:r>
    </w:p>
    <w:p w14:paraId="67303F2F" w14:textId="77777777" w:rsidR="00E03A08" w:rsidRDefault="00E03A08" w:rsidP="00E03A08">
      <w:pPr>
        <w:pStyle w:val="000proposal"/>
      </w:pPr>
      <w:r>
        <w:t xml:space="preserve">Observation 2: The signaling overhead of MAC CE based method could be 120%~260% </w:t>
      </w:r>
      <w:r>
        <w:rPr>
          <w:rFonts w:hint="eastAsia"/>
        </w:rPr>
        <w:t>o</w:t>
      </w:r>
      <w:r>
        <w:t>f that of the DCI based method.</w:t>
      </w:r>
    </w:p>
    <w:p w14:paraId="10DC0FCB" w14:textId="77777777" w:rsidR="00BC3FED" w:rsidRDefault="00BC3FED" w:rsidP="00BC3FED"/>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367795DE" w14:textId="263295D3" w:rsidR="006F6D28" w:rsidRDefault="006F6D28" w:rsidP="002328B0">
      <w:pPr>
        <w:pStyle w:val="05reference"/>
        <w:rPr>
          <w:szCs w:val="20"/>
          <w:lang w:val="it-IT"/>
        </w:rPr>
      </w:pPr>
      <w:r>
        <w:rPr>
          <w:szCs w:val="20"/>
          <w:lang w:val="it-IT"/>
        </w:rPr>
        <w:t>Chairman’s Notes RAN1#102-e</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6B479" w14:textId="77777777" w:rsidR="007737EC" w:rsidRDefault="007737EC">
      <w:r>
        <w:separator/>
      </w:r>
    </w:p>
  </w:endnote>
  <w:endnote w:type="continuationSeparator" w:id="0">
    <w:p w14:paraId="31D53AA4" w14:textId="77777777" w:rsidR="007737EC" w:rsidRDefault="00773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DBAA6" w14:textId="77777777" w:rsidR="007737EC" w:rsidRDefault="007737EC">
      <w:r>
        <w:separator/>
      </w:r>
    </w:p>
  </w:footnote>
  <w:footnote w:type="continuationSeparator" w:id="0">
    <w:p w14:paraId="3E95D3B3" w14:textId="77777777" w:rsidR="007737EC" w:rsidRDefault="00773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6484"/>
    <w:multiLevelType w:val="hybridMultilevel"/>
    <w:tmpl w:val="BB4A8E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903D7B"/>
    <w:multiLevelType w:val="hybridMultilevel"/>
    <w:tmpl w:val="B6BA82B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7C50F6"/>
    <w:multiLevelType w:val="hybridMultilevel"/>
    <w:tmpl w:val="6784B09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34887"/>
    <w:multiLevelType w:val="hybridMultilevel"/>
    <w:tmpl w:val="318AEF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D473AF6"/>
    <w:multiLevelType w:val="hybridMultilevel"/>
    <w:tmpl w:val="43F47C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87981"/>
    <w:multiLevelType w:val="hybridMultilevel"/>
    <w:tmpl w:val="F060134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807532"/>
    <w:multiLevelType w:val="hybridMultilevel"/>
    <w:tmpl w:val="1FDCB0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66131D7"/>
    <w:multiLevelType w:val="hybridMultilevel"/>
    <w:tmpl w:val="752A2D4C"/>
    <w:lvl w:ilvl="0" w:tplc="AC968F4C">
      <w:start w:val="3"/>
      <w:numFmt w:val="bullet"/>
      <w:lvlText w:val="-"/>
      <w:lvlJc w:val="left"/>
      <w:pPr>
        <w:ind w:left="766" w:hanging="360"/>
      </w:pPr>
      <w:rPr>
        <w:rFonts w:ascii="Times New Roman" w:eastAsia="Malgun Gothic"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4C4A7D4A"/>
    <w:multiLevelType w:val="hybridMultilevel"/>
    <w:tmpl w:val="B22CD42A"/>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524572BC"/>
    <w:multiLevelType w:val="hybridMultilevel"/>
    <w:tmpl w:val="D3528D8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5C6D78"/>
    <w:multiLevelType w:val="hybridMultilevel"/>
    <w:tmpl w:val="D2E416C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0348E"/>
    <w:multiLevelType w:val="hybridMultilevel"/>
    <w:tmpl w:val="EB6651C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9E79E6"/>
    <w:multiLevelType w:val="hybridMultilevel"/>
    <w:tmpl w:val="B47C65B0"/>
    <w:lvl w:ilvl="0" w:tplc="4E768008">
      <w:start w:val="1"/>
      <w:numFmt w:val="bullet"/>
      <w:lvlText w:val="-"/>
      <w:lvlJc w:val="left"/>
      <w:pPr>
        <w:ind w:left="767" w:hanging="360"/>
      </w:pPr>
      <w:rPr>
        <w:rFonts w:ascii="Arial" w:eastAsia="Times New Roman"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 w15:restartNumberingAfterBreak="0">
    <w:nsid w:val="6899768A"/>
    <w:multiLevelType w:val="hybridMultilevel"/>
    <w:tmpl w:val="96A0EBE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E25311"/>
    <w:multiLevelType w:val="hybridMultilevel"/>
    <w:tmpl w:val="E9725FD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75E054DA"/>
    <w:multiLevelType w:val="hybridMultilevel"/>
    <w:tmpl w:val="F36AD33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F2054A1"/>
    <w:multiLevelType w:val="hybridMultilevel"/>
    <w:tmpl w:val="DD7681B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15"/>
  </w:num>
  <w:num w:numId="4">
    <w:abstractNumId w:val="9"/>
  </w:num>
  <w:num w:numId="5">
    <w:abstractNumId w:val="10"/>
  </w:num>
  <w:num w:numId="6">
    <w:abstractNumId w:val="19"/>
  </w:num>
  <w:num w:numId="7">
    <w:abstractNumId w:val="13"/>
  </w:num>
  <w:num w:numId="8">
    <w:abstractNumId w:val="7"/>
    <w:lvlOverride w:ilvl="0"/>
    <w:lvlOverride w:ilvl="1">
      <w:startOverride w:val="1"/>
    </w:lvlOverride>
    <w:lvlOverride w:ilvl="2"/>
    <w:lvlOverride w:ilvl="3"/>
    <w:lvlOverride w:ilvl="4"/>
    <w:lvlOverride w:ilvl="5"/>
    <w:lvlOverride w:ilvl="6"/>
    <w:lvlOverride w:ilvl="7"/>
    <w:lvlOverride w:ilvl="8"/>
  </w:num>
  <w:num w:numId="9">
    <w:abstractNumId w:val="7"/>
  </w:num>
  <w:num w:numId="10">
    <w:abstractNumId w:val="5"/>
  </w:num>
  <w:num w:numId="11">
    <w:abstractNumId w:val="18"/>
  </w:num>
  <w:num w:numId="12">
    <w:abstractNumId w:val="22"/>
  </w:num>
  <w:num w:numId="13">
    <w:abstractNumId w:val="2"/>
  </w:num>
  <w:num w:numId="14">
    <w:abstractNumId w:val="16"/>
  </w:num>
  <w:num w:numId="15">
    <w:abstractNumId w:val="20"/>
  </w:num>
  <w:num w:numId="16">
    <w:abstractNumId w:val="8"/>
  </w:num>
  <w:num w:numId="17">
    <w:abstractNumId w:val="1"/>
  </w:num>
  <w:num w:numId="18">
    <w:abstractNumId w:val="14"/>
  </w:num>
  <w:num w:numId="19">
    <w:abstractNumId w:val="12"/>
  </w:num>
  <w:num w:numId="20">
    <w:abstractNumId w:val="0"/>
  </w:num>
  <w:num w:numId="21">
    <w:abstractNumId w:val="6"/>
  </w:num>
  <w:num w:numId="22">
    <w:abstractNumId w:val="17"/>
  </w:num>
  <w:num w:numId="23">
    <w:abstractNumId w:val="11"/>
  </w:num>
  <w:num w:numId="2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14144"/>
    <w:rsid w:val="000146F7"/>
    <w:rsid w:val="00031B46"/>
    <w:rsid w:val="00032853"/>
    <w:rsid w:val="00036C04"/>
    <w:rsid w:val="00044738"/>
    <w:rsid w:val="00052A3E"/>
    <w:rsid w:val="00055DAC"/>
    <w:rsid w:val="0007593E"/>
    <w:rsid w:val="00075E10"/>
    <w:rsid w:val="00085AAA"/>
    <w:rsid w:val="00091C94"/>
    <w:rsid w:val="000939D7"/>
    <w:rsid w:val="000958D5"/>
    <w:rsid w:val="000A4372"/>
    <w:rsid w:val="000B5E34"/>
    <w:rsid w:val="000C1ECC"/>
    <w:rsid w:val="000D5CFD"/>
    <w:rsid w:val="000D66CD"/>
    <w:rsid w:val="000D6C00"/>
    <w:rsid w:val="000E608E"/>
    <w:rsid w:val="000E6672"/>
    <w:rsid w:val="000F4980"/>
    <w:rsid w:val="000F4BE3"/>
    <w:rsid w:val="000F5BBA"/>
    <w:rsid w:val="000F6109"/>
    <w:rsid w:val="000F7011"/>
    <w:rsid w:val="000F7493"/>
    <w:rsid w:val="00110F0F"/>
    <w:rsid w:val="0011387A"/>
    <w:rsid w:val="00115C6C"/>
    <w:rsid w:val="001243EA"/>
    <w:rsid w:val="00136B37"/>
    <w:rsid w:val="00140F62"/>
    <w:rsid w:val="001422E9"/>
    <w:rsid w:val="00145778"/>
    <w:rsid w:val="00146785"/>
    <w:rsid w:val="0015020D"/>
    <w:rsid w:val="00153FD2"/>
    <w:rsid w:val="00155D90"/>
    <w:rsid w:val="00162411"/>
    <w:rsid w:val="00167623"/>
    <w:rsid w:val="00171FCE"/>
    <w:rsid w:val="00174EF0"/>
    <w:rsid w:val="0017679D"/>
    <w:rsid w:val="001821C0"/>
    <w:rsid w:val="00187000"/>
    <w:rsid w:val="00193464"/>
    <w:rsid w:val="00194DDE"/>
    <w:rsid w:val="00197FFE"/>
    <w:rsid w:val="001B07EA"/>
    <w:rsid w:val="001B0B07"/>
    <w:rsid w:val="001C4F3E"/>
    <w:rsid w:val="001D229C"/>
    <w:rsid w:val="001E34E2"/>
    <w:rsid w:val="001E59C5"/>
    <w:rsid w:val="001E70FE"/>
    <w:rsid w:val="001F3DF9"/>
    <w:rsid w:val="001F4B67"/>
    <w:rsid w:val="002021F5"/>
    <w:rsid w:val="0020488B"/>
    <w:rsid w:val="00216CDC"/>
    <w:rsid w:val="00217532"/>
    <w:rsid w:val="00224ADF"/>
    <w:rsid w:val="002328B0"/>
    <w:rsid w:val="00235B6C"/>
    <w:rsid w:val="00253D4B"/>
    <w:rsid w:val="00256423"/>
    <w:rsid w:val="00264572"/>
    <w:rsid w:val="0027047C"/>
    <w:rsid w:val="00271EBE"/>
    <w:rsid w:val="002738F8"/>
    <w:rsid w:val="00274CE7"/>
    <w:rsid w:val="00276093"/>
    <w:rsid w:val="002825A9"/>
    <w:rsid w:val="00282C00"/>
    <w:rsid w:val="002854A6"/>
    <w:rsid w:val="002877FA"/>
    <w:rsid w:val="00294100"/>
    <w:rsid w:val="002A6566"/>
    <w:rsid w:val="002C4DCC"/>
    <w:rsid w:val="002D2AC8"/>
    <w:rsid w:val="002E0083"/>
    <w:rsid w:val="002E0E2D"/>
    <w:rsid w:val="002E1185"/>
    <w:rsid w:val="002F5E03"/>
    <w:rsid w:val="003070DC"/>
    <w:rsid w:val="00312C9F"/>
    <w:rsid w:val="003218CE"/>
    <w:rsid w:val="00327ABE"/>
    <w:rsid w:val="00335DEA"/>
    <w:rsid w:val="00336739"/>
    <w:rsid w:val="003370C7"/>
    <w:rsid w:val="003417EF"/>
    <w:rsid w:val="00344E0F"/>
    <w:rsid w:val="00345366"/>
    <w:rsid w:val="003560C0"/>
    <w:rsid w:val="003606FD"/>
    <w:rsid w:val="00362B55"/>
    <w:rsid w:val="003676B8"/>
    <w:rsid w:val="0037083B"/>
    <w:rsid w:val="003845A5"/>
    <w:rsid w:val="00395AFD"/>
    <w:rsid w:val="003A33FE"/>
    <w:rsid w:val="003A60CA"/>
    <w:rsid w:val="003B1605"/>
    <w:rsid w:val="003C22BE"/>
    <w:rsid w:val="003C2E5C"/>
    <w:rsid w:val="003C4517"/>
    <w:rsid w:val="003C5D56"/>
    <w:rsid w:val="003C6F44"/>
    <w:rsid w:val="003D78A0"/>
    <w:rsid w:val="003E11C2"/>
    <w:rsid w:val="003E7CC5"/>
    <w:rsid w:val="003F36B1"/>
    <w:rsid w:val="004167B4"/>
    <w:rsid w:val="00416940"/>
    <w:rsid w:val="00426298"/>
    <w:rsid w:val="004359AF"/>
    <w:rsid w:val="004373B1"/>
    <w:rsid w:val="0044067E"/>
    <w:rsid w:val="0044100E"/>
    <w:rsid w:val="00441EC1"/>
    <w:rsid w:val="00441EF9"/>
    <w:rsid w:val="00445B84"/>
    <w:rsid w:val="004460FA"/>
    <w:rsid w:val="00447EA4"/>
    <w:rsid w:val="00450BBD"/>
    <w:rsid w:val="00450CEA"/>
    <w:rsid w:val="00452E65"/>
    <w:rsid w:val="004613B9"/>
    <w:rsid w:val="00461818"/>
    <w:rsid w:val="00482190"/>
    <w:rsid w:val="0049601E"/>
    <w:rsid w:val="00497AFF"/>
    <w:rsid w:val="004A71E8"/>
    <w:rsid w:val="004B78F8"/>
    <w:rsid w:val="004C02D2"/>
    <w:rsid w:val="004C5A8F"/>
    <w:rsid w:val="004D0D0E"/>
    <w:rsid w:val="004E5035"/>
    <w:rsid w:val="004F7DA9"/>
    <w:rsid w:val="005105AE"/>
    <w:rsid w:val="005171B4"/>
    <w:rsid w:val="00527D26"/>
    <w:rsid w:val="005350B8"/>
    <w:rsid w:val="005372EB"/>
    <w:rsid w:val="0054041F"/>
    <w:rsid w:val="00540D9B"/>
    <w:rsid w:val="005429A1"/>
    <w:rsid w:val="005439B8"/>
    <w:rsid w:val="0054622D"/>
    <w:rsid w:val="00547137"/>
    <w:rsid w:val="00547A6B"/>
    <w:rsid w:val="00556079"/>
    <w:rsid w:val="00556940"/>
    <w:rsid w:val="00557AAC"/>
    <w:rsid w:val="00576532"/>
    <w:rsid w:val="0059274C"/>
    <w:rsid w:val="005A09CE"/>
    <w:rsid w:val="005A2B2B"/>
    <w:rsid w:val="005B6F08"/>
    <w:rsid w:val="005C3C00"/>
    <w:rsid w:val="005C4934"/>
    <w:rsid w:val="005D2437"/>
    <w:rsid w:val="005D3B1F"/>
    <w:rsid w:val="005D5DDE"/>
    <w:rsid w:val="005F3783"/>
    <w:rsid w:val="005F4A5A"/>
    <w:rsid w:val="005F649D"/>
    <w:rsid w:val="00612DF0"/>
    <w:rsid w:val="0061366B"/>
    <w:rsid w:val="006139B3"/>
    <w:rsid w:val="006157FC"/>
    <w:rsid w:val="00630FE7"/>
    <w:rsid w:val="00635687"/>
    <w:rsid w:val="00635805"/>
    <w:rsid w:val="00640DF0"/>
    <w:rsid w:val="00646B40"/>
    <w:rsid w:val="00654F2B"/>
    <w:rsid w:val="006614CF"/>
    <w:rsid w:val="00662B6F"/>
    <w:rsid w:val="00663F2F"/>
    <w:rsid w:val="00674191"/>
    <w:rsid w:val="0067427A"/>
    <w:rsid w:val="006A5C1B"/>
    <w:rsid w:val="006B0921"/>
    <w:rsid w:val="006B0E04"/>
    <w:rsid w:val="006B55C7"/>
    <w:rsid w:val="006B6981"/>
    <w:rsid w:val="006C15F8"/>
    <w:rsid w:val="006C3B84"/>
    <w:rsid w:val="006D5AEF"/>
    <w:rsid w:val="006F05A0"/>
    <w:rsid w:val="006F2513"/>
    <w:rsid w:val="006F28B6"/>
    <w:rsid w:val="006F6D28"/>
    <w:rsid w:val="007102CF"/>
    <w:rsid w:val="00712835"/>
    <w:rsid w:val="00716AC8"/>
    <w:rsid w:val="007265DC"/>
    <w:rsid w:val="00747D5C"/>
    <w:rsid w:val="00752231"/>
    <w:rsid w:val="00754921"/>
    <w:rsid w:val="007704E0"/>
    <w:rsid w:val="007737EC"/>
    <w:rsid w:val="00774356"/>
    <w:rsid w:val="0078463D"/>
    <w:rsid w:val="007A2AD5"/>
    <w:rsid w:val="007A4CB7"/>
    <w:rsid w:val="007B70A7"/>
    <w:rsid w:val="007C1686"/>
    <w:rsid w:val="007C7102"/>
    <w:rsid w:val="007D01D7"/>
    <w:rsid w:val="007D52C2"/>
    <w:rsid w:val="007D7CF3"/>
    <w:rsid w:val="007E0349"/>
    <w:rsid w:val="007E47EE"/>
    <w:rsid w:val="007E5D1D"/>
    <w:rsid w:val="007E7A18"/>
    <w:rsid w:val="007F024B"/>
    <w:rsid w:val="007F3AD5"/>
    <w:rsid w:val="00801370"/>
    <w:rsid w:val="00812585"/>
    <w:rsid w:val="00820AEF"/>
    <w:rsid w:val="008220EC"/>
    <w:rsid w:val="00833D9E"/>
    <w:rsid w:val="008346A6"/>
    <w:rsid w:val="00843CF2"/>
    <w:rsid w:val="0085026C"/>
    <w:rsid w:val="00861600"/>
    <w:rsid w:val="00862ED1"/>
    <w:rsid w:val="0087797C"/>
    <w:rsid w:val="00882742"/>
    <w:rsid w:val="008831B4"/>
    <w:rsid w:val="00894320"/>
    <w:rsid w:val="008A2EB2"/>
    <w:rsid w:val="008B661C"/>
    <w:rsid w:val="008D5B9C"/>
    <w:rsid w:val="008E1419"/>
    <w:rsid w:val="008E5BE8"/>
    <w:rsid w:val="008F13D3"/>
    <w:rsid w:val="008F2C86"/>
    <w:rsid w:val="008F7F42"/>
    <w:rsid w:val="00900C94"/>
    <w:rsid w:val="0090122F"/>
    <w:rsid w:val="00901622"/>
    <w:rsid w:val="00904C54"/>
    <w:rsid w:val="00913B68"/>
    <w:rsid w:val="0092127B"/>
    <w:rsid w:val="00921723"/>
    <w:rsid w:val="00925672"/>
    <w:rsid w:val="009355ED"/>
    <w:rsid w:val="0094294A"/>
    <w:rsid w:val="00953386"/>
    <w:rsid w:val="00960EF3"/>
    <w:rsid w:val="00961F39"/>
    <w:rsid w:val="00962DD7"/>
    <w:rsid w:val="009678A0"/>
    <w:rsid w:val="009719B6"/>
    <w:rsid w:val="00973293"/>
    <w:rsid w:val="009861B8"/>
    <w:rsid w:val="009940A0"/>
    <w:rsid w:val="00994211"/>
    <w:rsid w:val="009A5B4B"/>
    <w:rsid w:val="009B2043"/>
    <w:rsid w:val="009B3C49"/>
    <w:rsid w:val="009C0237"/>
    <w:rsid w:val="009E240D"/>
    <w:rsid w:val="009E5BDD"/>
    <w:rsid w:val="009E7068"/>
    <w:rsid w:val="009F3E9B"/>
    <w:rsid w:val="00A11E17"/>
    <w:rsid w:val="00A11FC0"/>
    <w:rsid w:val="00A16EB4"/>
    <w:rsid w:val="00A249BF"/>
    <w:rsid w:val="00A401F0"/>
    <w:rsid w:val="00A47341"/>
    <w:rsid w:val="00A50090"/>
    <w:rsid w:val="00A55BFD"/>
    <w:rsid w:val="00A56481"/>
    <w:rsid w:val="00A64700"/>
    <w:rsid w:val="00A72987"/>
    <w:rsid w:val="00A72B75"/>
    <w:rsid w:val="00A77025"/>
    <w:rsid w:val="00A81411"/>
    <w:rsid w:val="00A81BFD"/>
    <w:rsid w:val="00A82349"/>
    <w:rsid w:val="00A92E59"/>
    <w:rsid w:val="00A955B0"/>
    <w:rsid w:val="00A96017"/>
    <w:rsid w:val="00A979F1"/>
    <w:rsid w:val="00AA53EF"/>
    <w:rsid w:val="00AA6CB5"/>
    <w:rsid w:val="00AB13FB"/>
    <w:rsid w:val="00AB26AA"/>
    <w:rsid w:val="00AB6FDF"/>
    <w:rsid w:val="00AC6794"/>
    <w:rsid w:val="00AD516E"/>
    <w:rsid w:val="00AD7A83"/>
    <w:rsid w:val="00AE2DA0"/>
    <w:rsid w:val="00AE300B"/>
    <w:rsid w:val="00AF3F31"/>
    <w:rsid w:val="00AF545D"/>
    <w:rsid w:val="00AF61BE"/>
    <w:rsid w:val="00B00B5B"/>
    <w:rsid w:val="00B02981"/>
    <w:rsid w:val="00B1003A"/>
    <w:rsid w:val="00B1447C"/>
    <w:rsid w:val="00B2685F"/>
    <w:rsid w:val="00B33BF4"/>
    <w:rsid w:val="00B3617B"/>
    <w:rsid w:val="00B369F1"/>
    <w:rsid w:val="00B50BD8"/>
    <w:rsid w:val="00B52602"/>
    <w:rsid w:val="00B60F85"/>
    <w:rsid w:val="00B645FD"/>
    <w:rsid w:val="00B677A4"/>
    <w:rsid w:val="00B71542"/>
    <w:rsid w:val="00B774DC"/>
    <w:rsid w:val="00B820EF"/>
    <w:rsid w:val="00B8297C"/>
    <w:rsid w:val="00B84A75"/>
    <w:rsid w:val="00B9067F"/>
    <w:rsid w:val="00B9181D"/>
    <w:rsid w:val="00BB376B"/>
    <w:rsid w:val="00BC3FED"/>
    <w:rsid w:val="00BF3168"/>
    <w:rsid w:val="00C02C30"/>
    <w:rsid w:val="00C02E04"/>
    <w:rsid w:val="00C214DE"/>
    <w:rsid w:val="00C24681"/>
    <w:rsid w:val="00C40635"/>
    <w:rsid w:val="00C47E0E"/>
    <w:rsid w:val="00C5235A"/>
    <w:rsid w:val="00C55B7E"/>
    <w:rsid w:val="00C5701A"/>
    <w:rsid w:val="00C73573"/>
    <w:rsid w:val="00C77B31"/>
    <w:rsid w:val="00C82759"/>
    <w:rsid w:val="00C8505E"/>
    <w:rsid w:val="00C858B7"/>
    <w:rsid w:val="00C878A6"/>
    <w:rsid w:val="00C90CBF"/>
    <w:rsid w:val="00C9409C"/>
    <w:rsid w:val="00C97A8E"/>
    <w:rsid w:val="00CA4000"/>
    <w:rsid w:val="00CA56FB"/>
    <w:rsid w:val="00CA5A43"/>
    <w:rsid w:val="00CB7679"/>
    <w:rsid w:val="00CC6044"/>
    <w:rsid w:val="00CD3381"/>
    <w:rsid w:val="00CE12AB"/>
    <w:rsid w:val="00CE1CBA"/>
    <w:rsid w:val="00CF0607"/>
    <w:rsid w:val="00CF1473"/>
    <w:rsid w:val="00CF3C99"/>
    <w:rsid w:val="00D02709"/>
    <w:rsid w:val="00D1006B"/>
    <w:rsid w:val="00D20B4B"/>
    <w:rsid w:val="00D336A3"/>
    <w:rsid w:val="00D42AEA"/>
    <w:rsid w:val="00D43A1F"/>
    <w:rsid w:val="00D501F0"/>
    <w:rsid w:val="00D519A8"/>
    <w:rsid w:val="00D547FB"/>
    <w:rsid w:val="00D603BE"/>
    <w:rsid w:val="00D61B20"/>
    <w:rsid w:val="00D61D3A"/>
    <w:rsid w:val="00D6518E"/>
    <w:rsid w:val="00D676A2"/>
    <w:rsid w:val="00D72C80"/>
    <w:rsid w:val="00D821CF"/>
    <w:rsid w:val="00D85D12"/>
    <w:rsid w:val="00D8674A"/>
    <w:rsid w:val="00D9632B"/>
    <w:rsid w:val="00DB3826"/>
    <w:rsid w:val="00DC5485"/>
    <w:rsid w:val="00DD3E2E"/>
    <w:rsid w:val="00DD5F89"/>
    <w:rsid w:val="00DE09A4"/>
    <w:rsid w:val="00DF1CCA"/>
    <w:rsid w:val="00DF4DA3"/>
    <w:rsid w:val="00DF4F8F"/>
    <w:rsid w:val="00E01A4F"/>
    <w:rsid w:val="00E02BFE"/>
    <w:rsid w:val="00E03A08"/>
    <w:rsid w:val="00E14413"/>
    <w:rsid w:val="00E17EB8"/>
    <w:rsid w:val="00E200FA"/>
    <w:rsid w:val="00E237B2"/>
    <w:rsid w:val="00E26758"/>
    <w:rsid w:val="00E42FE8"/>
    <w:rsid w:val="00E61BDD"/>
    <w:rsid w:val="00E66BC4"/>
    <w:rsid w:val="00E81D14"/>
    <w:rsid w:val="00E828DE"/>
    <w:rsid w:val="00E9008E"/>
    <w:rsid w:val="00E92A0D"/>
    <w:rsid w:val="00E94059"/>
    <w:rsid w:val="00EA0660"/>
    <w:rsid w:val="00EA50D3"/>
    <w:rsid w:val="00EB378D"/>
    <w:rsid w:val="00EB3FD4"/>
    <w:rsid w:val="00EB5DD1"/>
    <w:rsid w:val="00EB7EAB"/>
    <w:rsid w:val="00EC3EA4"/>
    <w:rsid w:val="00ED2D09"/>
    <w:rsid w:val="00ED542F"/>
    <w:rsid w:val="00ED553D"/>
    <w:rsid w:val="00EE55B6"/>
    <w:rsid w:val="00EE6A34"/>
    <w:rsid w:val="00EF3BEF"/>
    <w:rsid w:val="00F00586"/>
    <w:rsid w:val="00F01C02"/>
    <w:rsid w:val="00F107E2"/>
    <w:rsid w:val="00F10E43"/>
    <w:rsid w:val="00F12921"/>
    <w:rsid w:val="00F12AA3"/>
    <w:rsid w:val="00F172D7"/>
    <w:rsid w:val="00F21B33"/>
    <w:rsid w:val="00F25A73"/>
    <w:rsid w:val="00F25B3A"/>
    <w:rsid w:val="00F316D9"/>
    <w:rsid w:val="00F31B7A"/>
    <w:rsid w:val="00F42E04"/>
    <w:rsid w:val="00F63E54"/>
    <w:rsid w:val="00F65FEA"/>
    <w:rsid w:val="00F70BD0"/>
    <w:rsid w:val="00F75389"/>
    <w:rsid w:val="00F755A4"/>
    <w:rsid w:val="00F818B3"/>
    <w:rsid w:val="00FA08CE"/>
    <w:rsid w:val="00FA3B9B"/>
    <w:rsid w:val="00FA7F1C"/>
    <w:rsid w:val="00FB1E82"/>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646B40"/>
    <w:pPr>
      <w:spacing w:before="120" w:after="120" w:line="264" w:lineRule="auto"/>
      <w:jc w:val="both"/>
    </w:pPr>
    <w:rPr>
      <w:rFonts w:eastAsia="SimSun"/>
      <w:lang w:eastAsia="zh-CN"/>
    </w:rPr>
  </w:style>
  <w:style w:type="character" w:customStyle="1" w:styleId="00TextChar">
    <w:name w:val="00_Text Char"/>
    <w:basedOn w:val="DefaultParagraphFont"/>
    <w:link w:val="00Text"/>
    <w:rsid w:val="00646B40"/>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3A33FE"/>
    <w:pPr>
      <w:spacing w:before="0" w:line="240" w:lineRule="auto"/>
    </w:pPr>
    <w:rPr>
      <w:b/>
      <w:bCs/>
      <w:i/>
      <w:iCs/>
      <w:lang w:eastAsia="en-US"/>
    </w:rPr>
  </w:style>
  <w:style w:type="character" w:customStyle="1" w:styleId="000proposalsChar">
    <w:name w:val="000_proposals Char"/>
    <w:basedOn w:val="00TextChar"/>
    <w:link w:val="000proposals"/>
    <w:rsid w:val="003A33FE"/>
    <w:rPr>
      <w:rFonts w:ascii="Times New Roman" w:eastAsia="SimSun" w:hAnsi="Times New Roman" w:cs="Times New Roman"/>
      <w:b/>
      <w:bCs/>
      <w:i/>
      <w:iCs/>
      <w:sz w:val="20"/>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Signalling overhead: MAC CE-based method over DCI-based method</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Sheet1!$H$5</c:f>
              <c:strCache>
                <c:ptCount val="1"/>
                <c:pt idx="0">
                  <c:v>PDSCH with I_{MCS}= 9</c:v>
                </c:pt>
              </c:strCache>
            </c:strRef>
          </c:tx>
          <c:spPr>
            <a:solidFill>
              <a:schemeClr val="accent1"/>
            </a:solidFill>
            <a:ln>
              <a:noFill/>
            </a:ln>
            <a:effectLst/>
          </c:spPr>
          <c:invertIfNegative val="0"/>
          <c:cat>
            <c:numRef>
              <c:f>Sheet1!$G$6:$G$10</c:f>
              <c:numCache>
                <c:formatCode>General</c:formatCode>
                <c:ptCount val="5"/>
                <c:pt idx="0">
                  <c:v>1</c:v>
                </c:pt>
                <c:pt idx="1">
                  <c:v>2</c:v>
                </c:pt>
                <c:pt idx="2">
                  <c:v>4</c:v>
                </c:pt>
                <c:pt idx="3">
                  <c:v>8</c:v>
                </c:pt>
                <c:pt idx="4">
                  <c:v>16</c:v>
                </c:pt>
              </c:numCache>
            </c:numRef>
          </c:cat>
          <c:val>
            <c:numRef>
              <c:f>Sheet1!$H$6:$H$10</c:f>
              <c:numCache>
                <c:formatCode>0%</c:formatCode>
                <c:ptCount val="5"/>
                <c:pt idx="0">
                  <c:v>2.5972</c:v>
                </c:pt>
                <c:pt idx="1">
                  <c:v>1.7986</c:v>
                </c:pt>
                <c:pt idx="2">
                  <c:v>1.3993</c:v>
                </c:pt>
                <c:pt idx="3">
                  <c:v>1.1997</c:v>
                </c:pt>
                <c:pt idx="4">
                  <c:v>1.0998000000000001</c:v>
                </c:pt>
              </c:numCache>
            </c:numRef>
          </c:val>
          <c:extLst>
            <c:ext xmlns:c16="http://schemas.microsoft.com/office/drawing/2014/chart" uri="{C3380CC4-5D6E-409C-BE32-E72D297353CC}">
              <c16:uniqueId val="{00000000-E9CB-484F-81C9-6BE43BDB9FDE}"/>
            </c:ext>
          </c:extLst>
        </c:ser>
        <c:ser>
          <c:idx val="1"/>
          <c:order val="1"/>
          <c:tx>
            <c:strRef>
              <c:f>Sheet1!$I$5</c:f>
              <c:strCache>
                <c:ptCount val="1"/>
                <c:pt idx="0">
                  <c:v>PDSCH with I_{MCS}= 6</c:v>
                </c:pt>
              </c:strCache>
            </c:strRef>
          </c:tx>
          <c:spPr>
            <a:solidFill>
              <a:schemeClr val="accent2"/>
            </a:solidFill>
            <a:ln>
              <a:noFill/>
            </a:ln>
            <a:effectLst/>
          </c:spPr>
          <c:invertIfNegative val="0"/>
          <c:cat>
            <c:numRef>
              <c:f>Sheet1!$G$6:$G$10</c:f>
              <c:numCache>
                <c:formatCode>General</c:formatCode>
                <c:ptCount val="5"/>
                <c:pt idx="0">
                  <c:v>1</c:v>
                </c:pt>
                <c:pt idx="1">
                  <c:v>2</c:v>
                </c:pt>
                <c:pt idx="2">
                  <c:v>4</c:v>
                </c:pt>
                <c:pt idx="3">
                  <c:v>8</c:v>
                </c:pt>
                <c:pt idx="4">
                  <c:v>16</c:v>
                </c:pt>
              </c:numCache>
            </c:numRef>
          </c:cat>
          <c:val>
            <c:numRef>
              <c:f>Sheet1!$I$6:$I$10</c:f>
              <c:numCache>
                <c:formatCode>0%</c:formatCode>
                <c:ptCount val="5"/>
                <c:pt idx="0">
                  <c:v>2</c:v>
                </c:pt>
                <c:pt idx="1">
                  <c:v>1.5</c:v>
                </c:pt>
                <c:pt idx="2">
                  <c:v>1.25</c:v>
                </c:pt>
                <c:pt idx="3">
                  <c:v>1.125</c:v>
                </c:pt>
                <c:pt idx="4">
                  <c:v>1.0625</c:v>
                </c:pt>
              </c:numCache>
            </c:numRef>
          </c:val>
          <c:extLst>
            <c:ext xmlns:c16="http://schemas.microsoft.com/office/drawing/2014/chart" uri="{C3380CC4-5D6E-409C-BE32-E72D297353CC}">
              <c16:uniqueId val="{00000001-E9CB-484F-81C9-6BE43BDB9FDE}"/>
            </c:ext>
          </c:extLst>
        </c:ser>
        <c:dLbls>
          <c:showLegendKey val="0"/>
          <c:showVal val="0"/>
          <c:showCatName val="0"/>
          <c:showSerName val="0"/>
          <c:showPercent val="0"/>
          <c:showBubbleSize val="0"/>
        </c:dLbls>
        <c:gapWidth val="219"/>
        <c:overlap val="-27"/>
        <c:axId val="2063656912"/>
        <c:axId val="2069906816"/>
      </c:barChart>
      <c:catAx>
        <c:axId val="2063656912"/>
        <c:scaling>
          <c:orientation val="minMax"/>
        </c:scaling>
        <c:delete val="0"/>
        <c:axPos val="b"/>
        <c:title>
          <c:tx>
            <c:rich>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a:t>Number of CCEs used in PDCCH</a:t>
                </a:r>
              </a:p>
            </c:rich>
          </c:tx>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9906816"/>
        <c:crosses val="autoZero"/>
        <c:auto val="1"/>
        <c:lblAlgn val="ctr"/>
        <c:lblOffset val="100"/>
        <c:noMultiLvlLbl val="0"/>
      </c:catAx>
      <c:valAx>
        <c:axId val="2069906816"/>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a:t>Overhead </a:t>
                </a:r>
                <a:r>
                  <a:rPr lang="zh-CN" sz="800"/>
                  <a:t> </a:t>
                </a:r>
                <a:r>
                  <a:rPr lang="en-US" sz="800"/>
                  <a:t>of MAC CE  method over DCI-based method</a:t>
                </a:r>
              </a:p>
            </c:rich>
          </c:tx>
          <c:layout>
            <c:manualLayout>
              <c:xMode val="edge"/>
              <c:yMode val="edge"/>
              <c:x val="2.3429179978700747E-2"/>
              <c:y val="0.20125383583821385"/>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656912"/>
        <c:crosses val="autoZero"/>
        <c:crossBetween val="between"/>
        <c:majorUnit val="0.2"/>
      </c:valAx>
      <c:spPr>
        <a:noFill/>
        <a:ln>
          <a:solidFill>
            <a:schemeClr val="accent1"/>
          </a:solid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sz="9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1564</Words>
  <Characters>8920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2020-10-23T18:31:00Z</dcterms:modified>
</cp:coreProperties>
</file>