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77777777"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r>
      <w:r w:rsidRPr="00B616EB">
        <w:rPr>
          <w:bCs/>
          <w:noProof w:val="0"/>
          <w:sz w:val="24"/>
          <w:szCs w:val="24"/>
          <w:highlight w:val="yellow"/>
        </w:rPr>
        <w:t>DRAFT</w:t>
      </w:r>
      <w:r>
        <w:rPr>
          <w:bCs/>
          <w:noProof w:val="0"/>
          <w:sz w:val="24"/>
          <w:szCs w:val="24"/>
        </w:rPr>
        <w:t xml:space="preserve"> </w:t>
      </w:r>
      <w:r w:rsidRPr="00590F3F">
        <w:rPr>
          <w:bCs/>
          <w:noProof w:val="0"/>
          <w:sz w:val="24"/>
          <w:szCs w:val="24"/>
        </w:rPr>
        <w:t>R1-20</w:t>
      </w:r>
      <w:r>
        <w:rPr>
          <w:bCs/>
          <w:noProof w:val="0"/>
          <w:sz w:val="24"/>
          <w:szCs w:val="24"/>
        </w:rPr>
        <w:t>xxxx</w:t>
      </w:r>
    </w:p>
    <w:p w14:paraId="77EFFF42" w14:textId="77777777" w:rsidR="00E17D65" w:rsidRPr="00590F3F" w:rsidRDefault="00E17D65" w:rsidP="00E17D65">
      <w:pPr>
        <w:pStyle w:val="a9"/>
        <w:rPr>
          <w:bCs/>
          <w:noProof w:val="0"/>
          <w:sz w:val="24"/>
          <w:szCs w:val="24"/>
        </w:rPr>
      </w:pPr>
      <w:r w:rsidRPr="00590F3F">
        <w:rPr>
          <w:bCs/>
          <w:noProof w:val="0"/>
          <w:sz w:val="24"/>
          <w:szCs w:val="24"/>
        </w:rPr>
        <w:t xml:space="preserve">e-Meeting,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9"/>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945465C"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t>FL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0" w:name="_Ref178064866"/>
      <w:r w:rsidRPr="00425E6E">
        <w:t>1</w:t>
      </w:r>
      <w:r w:rsidR="00230D18" w:rsidRPr="00425E6E">
        <w:tab/>
      </w:r>
      <w:bookmarkEnd w:id="0"/>
      <w:r w:rsidR="0071605A" w:rsidRPr="00425E6E">
        <w:t>Introduction</w:t>
      </w:r>
    </w:p>
    <w:p w14:paraId="1CB6EC48" w14:textId="1A42CDCA" w:rsidR="0038295D" w:rsidRDefault="0038295D" w:rsidP="00BD6CA6">
      <w:pPr>
        <w:pStyle w:val="Doc-text2"/>
        <w:tabs>
          <w:tab w:val="clear" w:pos="1622"/>
          <w:tab w:val="left" w:pos="1276"/>
        </w:tabs>
        <w:ind w:left="0" w:firstLine="0"/>
        <w:rPr>
          <w:lang w:val="en-GB"/>
        </w:rPr>
      </w:pPr>
      <w:r w:rsidRPr="00590F3F">
        <w:rPr>
          <w:lang w:val="en-GB"/>
        </w:rPr>
        <w:t xml:space="preserve">This contribution is </w:t>
      </w:r>
      <w:r>
        <w:rPr>
          <w:lang w:val="en-GB"/>
        </w:rPr>
        <w:t>the</w:t>
      </w:r>
      <w:r w:rsidRPr="00590F3F">
        <w:rPr>
          <w:lang w:val="en-GB"/>
        </w:rPr>
        <w:t xml:space="preserve"> pre-meeting</w:t>
      </w:r>
      <w:r>
        <w:rPr>
          <w:lang w:val="en-GB"/>
        </w:rPr>
        <w:t xml:space="preserve"> feature-lead</w:t>
      </w:r>
      <w:r w:rsidRPr="00590F3F">
        <w:rPr>
          <w:lang w:val="en-GB"/>
        </w:rPr>
        <w:t xml:space="preserve"> summary of the</w:t>
      </w:r>
      <w:r w:rsidR="004C101C">
        <w:rPr>
          <w:lang w:val="en-GB"/>
        </w:rPr>
        <w:t xml:space="preserve"> proposals</w:t>
      </w:r>
      <w:r w:rsidRPr="00590F3F">
        <w:rPr>
          <w:lang w:val="en-GB"/>
        </w:rPr>
        <w:t xml:space="preserve"> submitted for the AI7.2.10 </w:t>
      </w:r>
      <w:r w:rsidR="004C101C">
        <w:rPr>
          <w:lang w:val="en-GB"/>
        </w:rPr>
        <w:t>that are related to</w:t>
      </w:r>
      <w:r w:rsidRPr="00425E6E">
        <w:rPr>
          <w:lang w:val="en-GB"/>
        </w:rPr>
        <w:t xml:space="preserve"> cross-carrier scheduling with different numerologies</w:t>
      </w:r>
      <w:r w:rsidRPr="00590F3F">
        <w:rPr>
          <w:lang w:val="en-GB"/>
        </w:rPr>
        <w:t>.</w:t>
      </w:r>
    </w:p>
    <w:p w14:paraId="70DDC3A1" w14:textId="1B753998" w:rsidR="007E4E6C" w:rsidRDefault="00DF43CF" w:rsidP="00DD6F3D">
      <w:pPr>
        <w:pStyle w:val="1"/>
        <w:rPr>
          <w:rStyle w:val="1Char"/>
        </w:rPr>
      </w:pPr>
      <w:r w:rsidRPr="00425E6E">
        <w:rPr>
          <w:rStyle w:val="1Char"/>
        </w:rPr>
        <w:t>2</w:t>
      </w:r>
      <w:r w:rsidR="000702B2">
        <w:rPr>
          <w:rStyle w:val="1Char"/>
        </w:rPr>
        <w:tab/>
      </w:r>
      <w:r w:rsidR="003549C9">
        <w:rPr>
          <w:rStyle w:val="1Char"/>
        </w:rPr>
        <w:t>Summary of issues addressed in the Tdocs</w:t>
      </w:r>
    </w:p>
    <w:tbl>
      <w:tblPr>
        <w:tblStyle w:val="afa"/>
        <w:tblW w:w="9918" w:type="dxa"/>
        <w:tblLook w:val="04A0" w:firstRow="1" w:lastRow="0" w:firstColumn="1" w:lastColumn="0" w:noHBand="0" w:noVBand="1"/>
      </w:tblPr>
      <w:tblGrid>
        <w:gridCol w:w="929"/>
        <w:gridCol w:w="7928"/>
        <w:gridCol w:w="1061"/>
      </w:tblGrid>
      <w:tr w:rsidR="0038295D" w:rsidRPr="00590F3F" w14:paraId="383AC98C" w14:textId="77777777" w:rsidTr="00BF7702">
        <w:tc>
          <w:tcPr>
            <w:tcW w:w="929" w:type="dxa"/>
            <w:shd w:val="clear" w:color="auto" w:fill="D9D9D9" w:themeFill="background1" w:themeFillShade="D9"/>
          </w:tcPr>
          <w:p w14:paraId="086FD24E" w14:textId="77777777" w:rsidR="0038295D" w:rsidRPr="00590F3F" w:rsidRDefault="0038295D" w:rsidP="00DA1358">
            <w:pPr>
              <w:pStyle w:val="a8"/>
              <w:jc w:val="center"/>
              <w:rPr>
                <w:rFonts w:cs="Arial"/>
                <w:b/>
                <w:bCs/>
                <w:sz w:val="20"/>
                <w:szCs w:val="20"/>
                <w:lang w:val="en-GB"/>
              </w:rPr>
            </w:pPr>
            <w:r w:rsidRPr="00590F3F">
              <w:rPr>
                <w:rFonts w:cs="Arial"/>
                <w:b/>
                <w:bCs/>
                <w:sz w:val="20"/>
                <w:szCs w:val="20"/>
                <w:lang w:val="en-GB"/>
              </w:rPr>
              <w:t>Issue #</w:t>
            </w:r>
          </w:p>
        </w:tc>
        <w:tc>
          <w:tcPr>
            <w:tcW w:w="7928" w:type="dxa"/>
            <w:shd w:val="clear" w:color="auto" w:fill="D9D9D9" w:themeFill="background1" w:themeFillShade="D9"/>
          </w:tcPr>
          <w:p w14:paraId="44E3AEF0" w14:textId="77777777" w:rsidR="0038295D" w:rsidRPr="00590F3F" w:rsidRDefault="0038295D" w:rsidP="00DA1358">
            <w:pPr>
              <w:pStyle w:val="a8"/>
              <w:jc w:val="center"/>
              <w:rPr>
                <w:rFonts w:cs="Arial"/>
                <w:b/>
                <w:bCs/>
                <w:sz w:val="20"/>
                <w:szCs w:val="20"/>
                <w:lang w:val="en-GB"/>
              </w:rPr>
            </w:pPr>
            <w:r w:rsidRPr="00590F3F">
              <w:rPr>
                <w:rFonts w:cs="Arial"/>
                <w:b/>
                <w:bCs/>
                <w:sz w:val="20"/>
                <w:szCs w:val="20"/>
                <w:lang w:val="en-GB"/>
              </w:rPr>
              <w:t>Description</w:t>
            </w:r>
          </w:p>
        </w:tc>
        <w:tc>
          <w:tcPr>
            <w:tcW w:w="1061" w:type="dxa"/>
            <w:shd w:val="clear" w:color="auto" w:fill="D9D9D9" w:themeFill="background1" w:themeFillShade="D9"/>
          </w:tcPr>
          <w:p w14:paraId="6DBAF44B" w14:textId="77777777" w:rsidR="0038295D" w:rsidRPr="00590F3F" w:rsidRDefault="0038295D" w:rsidP="00DA1358">
            <w:pPr>
              <w:pStyle w:val="a8"/>
              <w:jc w:val="center"/>
              <w:rPr>
                <w:rFonts w:eastAsia="宋体" w:cs="Arial"/>
                <w:b/>
                <w:bCs/>
                <w:sz w:val="20"/>
                <w:szCs w:val="20"/>
                <w:lang w:val="en-GB" w:eastAsia="ja-JP"/>
              </w:rPr>
            </w:pPr>
            <w:r w:rsidRPr="00590F3F">
              <w:rPr>
                <w:rFonts w:eastAsia="宋体" w:cs="Arial"/>
                <w:b/>
                <w:bCs/>
                <w:sz w:val="20"/>
                <w:szCs w:val="20"/>
                <w:lang w:val="en-GB" w:eastAsia="ja-JP"/>
              </w:rPr>
              <w:t>Source</w:t>
            </w:r>
          </w:p>
        </w:tc>
      </w:tr>
      <w:tr w:rsidR="00BF7702" w:rsidRPr="00590F3F" w14:paraId="268F43F4" w14:textId="77777777" w:rsidTr="00BF7702">
        <w:tc>
          <w:tcPr>
            <w:tcW w:w="929" w:type="dxa"/>
            <w:vMerge w:val="restart"/>
          </w:tcPr>
          <w:p w14:paraId="4252D3B4" w14:textId="3F7A94A7" w:rsidR="00BF7702" w:rsidRPr="00FE26A3" w:rsidRDefault="00BF7702" w:rsidP="00DA1358">
            <w:pPr>
              <w:pStyle w:val="a8"/>
              <w:rPr>
                <w:rFonts w:eastAsia="宋体" w:cs="Arial"/>
                <w:sz w:val="20"/>
                <w:szCs w:val="20"/>
                <w:lang w:val="en-GB"/>
              </w:rPr>
            </w:pPr>
            <w:r>
              <w:rPr>
                <w:rFonts w:eastAsia="宋体" w:cs="Arial"/>
                <w:sz w:val="20"/>
                <w:szCs w:val="20"/>
                <w:lang w:val="en-GB"/>
              </w:rPr>
              <w:t>1</w:t>
            </w:r>
          </w:p>
        </w:tc>
        <w:tc>
          <w:tcPr>
            <w:tcW w:w="7928" w:type="dxa"/>
          </w:tcPr>
          <w:p w14:paraId="7E90840B" w14:textId="5F36CD1F" w:rsidR="00BF7702" w:rsidRPr="00FE26A3" w:rsidRDefault="00BF7702" w:rsidP="004C101C">
            <w:pPr>
              <w:pStyle w:val="a8"/>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1" w:type="dxa"/>
          </w:tcPr>
          <w:p w14:paraId="09268A2B" w14:textId="6FCD964A" w:rsidR="00BF7702" w:rsidRPr="00FE26A3" w:rsidRDefault="00BF7702" w:rsidP="00DA1358">
            <w:pPr>
              <w:pStyle w:val="a8"/>
              <w:rPr>
                <w:rFonts w:eastAsia="宋体" w:cs="Arial"/>
                <w:bCs/>
                <w:sz w:val="20"/>
                <w:szCs w:val="20"/>
                <w:lang w:val="en-GB" w:eastAsia="ja-JP"/>
              </w:rPr>
            </w:pPr>
            <w:r>
              <w:rPr>
                <w:rFonts w:eastAsia="宋体" w:cs="Arial"/>
                <w:bCs/>
                <w:sz w:val="20"/>
                <w:szCs w:val="20"/>
                <w:lang w:val="en-GB" w:eastAsia="ja-JP"/>
              </w:rPr>
              <w:t>v</w:t>
            </w:r>
            <w:r>
              <w:rPr>
                <w:rFonts w:eastAsia="宋体" w:cs="Arial"/>
                <w:bCs/>
                <w:sz w:val="20"/>
              </w:rPr>
              <w:t>ivo [1]</w:t>
            </w:r>
          </w:p>
        </w:tc>
      </w:tr>
      <w:tr w:rsidR="00BF7702" w:rsidRPr="00590F3F" w14:paraId="4DE01DA0" w14:textId="77777777" w:rsidTr="00BF7702">
        <w:trPr>
          <w:trHeight w:val="231"/>
        </w:trPr>
        <w:tc>
          <w:tcPr>
            <w:tcW w:w="929" w:type="dxa"/>
            <w:vMerge/>
          </w:tcPr>
          <w:p w14:paraId="4B4BE396" w14:textId="2D9CBE33" w:rsidR="00BF7702" w:rsidRPr="00FE26A3" w:rsidRDefault="00BF7702" w:rsidP="00624E0B">
            <w:pPr>
              <w:pStyle w:val="a8"/>
              <w:rPr>
                <w:rFonts w:eastAsia="宋体" w:cs="Arial"/>
                <w:sz w:val="20"/>
                <w:szCs w:val="20"/>
                <w:lang w:val="en-GB"/>
              </w:rPr>
            </w:pPr>
          </w:p>
        </w:tc>
        <w:tc>
          <w:tcPr>
            <w:tcW w:w="7928" w:type="dxa"/>
          </w:tcPr>
          <w:p w14:paraId="5BBD4057" w14:textId="174CCEDF" w:rsidR="00BF7702" w:rsidRPr="00FE26A3" w:rsidRDefault="00BF7702" w:rsidP="00624E0B">
            <w:pPr>
              <w:pStyle w:val="a8"/>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1" w:type="dxa"/>
          </w:tcPr>
          <w:p w14:paraId="065A3641" w14:textId="475494D4" w:rsidR="00BF7702" w:rsidRPr="00FE26A3" w:rsidRDefault="00BF7702" w:rsidP="00624E0B">
            <w:pPr>
              <w:pStyle w:val="a8"/>
              <w:rPr>
                <w:rFonts w:eastAsia="宋体" w:cs="Arial"/>
                <w:bCs/>
                <w:sz w:val="20"/>
                <w:szCs w:val="20"/>
                <w:lang w:val="en-GB" w:eastAsia="ja-JP"/>
              </w:rPr>
            </w:pPr>
            <w:r>
              <w:rPr>
                <w:rFonts w:eastAsia="宋体" w:cs="Arial"/>
                <w:bCs/>
                <w:sz w:val="20"/>
                <w:szCs w:val="20"/>
                <w:lang w:val="en-GB" w:eastAsia="ja-JP"/>
              </w:rPr>
              <w:t>Z</w:t>
            </w:r>
            <w:r>
              <w:rPr>
                <w:rFonts w:eastAsia="宋体" w:cs="Arial"/>
                <w:bCs/>
                <w:sz w:val="20"/>
              </w:rPr>
              <w:t>TE [2]</w:t>
            </w:r>
          </w:p>
        </w:tc>
      </w:tr>
      <w:tr w:rsidR="009F5B9E" w:rsidRPr="00590F3F" w14:paraId="630DCC44" w14:textId="77777777" w:rsidTr="00BF7702">
        <w:tc>
          <w:tcPr>
            <w:tcW w:w="929" w:type="dxa"/>
          </w:tcPr>
          <w:p w14:paraId="4E4D9FDC" w14:textId="7DA5FDE2" w:rsidR="009F5B9E" w:rsidRDefault="009F5B9E" w:rsidP="009F5B9E">
            <w:pPr>
              <w:pStyle w:val="a8"/>
              <w:rPr>
                <w:rFonts w:eastAsia="宋体" w:cs="Arial"/>
              </w:rPr>
            </w:pPr>
            <w:r>
              <w:rPr>
                <w:rFonts w:eastAsia="宋体" w:cs="Arial"/>
              </w:rPr>
              <w:t>2</w:t>
            </w:r>
          </w:p>
        </w:tc>
        <w:tc>
          <w:tcPr>
            <w:tcW w:w="7928" w:type="dxa"/>
          </w:tcPr>
          <w:p w14:paraId="2CA2456A" w14:textId="77777777" w:rsidR="009F5B9E" w:rsidRDefault="009F5B9E" w:rsidP="009F5B9E">
            <w:pPr>
              <w:pStyle w:val="a8"/>
              <w:jc w:val="left"/>
              <w:rPr>
                <w:rFonts w:eastAsia="宋体" w:cs="Arial"/>
                <w:sz w:val="20"/>
                <w:szCs w:val="20"/>
                <w:lang w:val="en-GB"/>
              </w:rPr>
            </w:pPr>
            <w:r w:rsidRPr="0050479B">
              <w:rPr>
                <w:rFonts w:eastAsia="宋体" w:cs="Arial"/>
                <w:sz w:val="20"/>
                <w:szCs w:val="20"/>
                <w:lang w:val="en-GB"/>
              </w:rPr>
              <w:t>Proposal #1: Adopt the following TP for TS38.213 spec to handle the DCI not scheduling PDSCH transmission in terms of determining DAI counting order.</w:t>
            </w:r>
          </w:p>
          <w:p w14:paraId="12FAA5B3" w14:textId="684DC64D" w:rsidR="009F5B9E" w:rsidRPr="0050479B" w:rsidRDefault="009F5B9E" w:rsidP="009F5B9E">
            <w:pPr>
              <w:pStyle w:val="a8"/>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PDSCH-Number-perMOperCell</w:t>
            </w:r>
            <w:r w:rsidRPr="0050479B">
              <w:rPr>
                <w:rFonts w:cs="Times"/>
                <w:sz w:val="20"/>
                <w:szCs w:val="20"/>
                <w:lang w:val="en-GB" w:eastAsia="ko-KR"/>
              </w:rPr>
              <w:t xml:space="preserve"> in increasing order of the PDSCH reception starting time</w:t>
            </w:r>
            <w:ins w:id="1"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c>
          <w:tcPr>
            <w:tcW w:w="1061" w:type="dxa"/>
          </w:tcPr>
          <w:p w14:paraId="34B37149" w14:textId="0ABD6D2A" w:rsidR="009F5B9E" w:rsidRDefault="009F5B9E" w:rsidP="009F5B9E">
            <w:pPr>
              <w:pStyle w:val="a8"/>
              <w:rPr>
                <w:rFonts w:eastAsia="宋体" w:cs="Arial"/>
                <w:bCs/>
                <w:lang w:eastAsia="ja-JP"/>
              </w:rPr>
            </w:pPr>
            <w:r w:rsidRPr="0050479B">
              <w:rPr>
                <w:rFonts w:eastAsia="宋体" w:cs="Arial"/>
                <w:sz w:val="20"/>
                <w:szCs w:val="20"/>
                <w:lang w:val="en-GB"/>
              </w:rPr>
              <w:t>LGE [5]</w:t>
            </w:r>
          </w:p>
        </w:tc>
      </w:tr>
      <w:tr w:rsidR="009F5B9E" w:rsidRPr="00590F3F" w14:paraId="57AA0D5D" w14:textId="77777777" w:rsidTr="00BF7702">
        <w:tc>
          <w:tcPr>
            <w:tcW w:w="929" w:type="dxa"/>
          </w:tcPr>
          <w:p w14:paraId="61EB92FA" w14:textId="66BCA6AB" w:rsidR="009F5B9E" w:rsidRPr="00FE26A3" w:rsidRDefault="009F5B9E" w:rsidP="009F5B9E">
            <w:pPr>
              <w:pStyle w:val="a8"/>
              <w:rPr>
                <w:rFonts w:eastAsia="宋体" w:cs="Arial"/>
                <w:sz w:val="20"/>
                <w:szCs w:val="20"/>
                <w:lang w:val="en-GB"/>
              </w:rPr>
            </w:pPr>
            <w:r>
              <w:rPr>
                <w:rFonts w:eastAsia="宋体" w:cs="Arial"/>
                <w:sz w:val="20"/>
                <w:szCs w:val="20"/>
                <w:lang w:val="en-GB"/>
              </w:rPr>
              <w:t>3</w:t>
            </w:r>
          </w:p>
        </w:tc>
        <w:tc>
          <w:tcPr>
            <w:tcW w:w="7928" w:type="dxa"/>
          </w:tcPr>
          <w:p w14:paraId="7305C413" w14:textId="77777777" w:rsidR="009F5B9E" w:rsidRDefault="009F5B9E" w:rsidP="009F5B9E">
            <w:pPr>
              <w:pStyle w:val="a8"/>
              <w:jc w:val="left"/>
              <w:rPr>
                <w:rFonts w:cs="Arial"/>
                <w:sz w:val="20"/>
                <w:szCs w:val="20"/>
                <w:lang w:val="en-GB" w:eastAsia="zh-TW"/>
              </w:rPr>
            </w:pPr>
            <w:r w:rsidRPr="0050479B">
              <w:rPr>
                <w:rFonts w:cs="Arial"/>
                <w:sz w:val="20"/>
                <w:szCs w:val="20"/>
                <w:lang w:val="en-GB" w:eastAsia="zh-TW"/>
              </w:rPr>
              <w:t>Proposal 1: Remove Component 2 from FG 18-5 and FG 18-5b.</w:t>
            </w:r>
          </w:p>
          <w:p w14:paraId="2CD61EAE" w14:textId="77777777" w:rsidR="009F5B9E" w:rsidRDefault="009F5B9E" w:rsidP="009F5B9E">
            <w:pPr>
              <w:pStyle w:val="a8"/>
              <w:jc w:val="left"/>
              <w:rPr>
                <w:rFonts w:cs="Arial"/>
                <w:sz w:val="20"/>
                <w:szCs w:val="20"/>
                <w:lang w:val="en-GB" w:eastAsia="zh-TW"/>
              </w:rPr>
            </w:pPr>
            <w:r w:rsidRPr="0050479B">
              <w:rPr>
                <w:rFonts w:cs="Arial"/>
                <w:sz w:val="20"/>
                <w:szCs w:val="20"/>
                <w:lang w:val="en-GB" w:eastAsia="zh-TW"/>
              </w:rPr>
              <w:t>Proposal 2: In FG 18-9 “Type2 HARQ-ACK codebook for &gt;1 DL DCIs in same Monitoring Occasion”, modify “DL DCI” to be “unicast DL DCI” for clarification.</w:t>
            </w:r>
          </w:p>
          <w:p w14:paraId="25725B7C" w14:textId="5A55AE38" w:rsidR="009F5B9E" w:rsidRPr="00FE26A3" w:rsidRDefault="009F5B9E" w:rsidP="009F5B9E">
            <w:pPr>
              <w:pStyle w:val="a8"/>
              <w:jc w:val="left"/>
              <w:rPr>
                <w:rFonts w:cs="Arial"/>
                <w:sz w:val="20"/>
                <w:szCs w:val="20"/>
                <w:lang w:val="en-GB" w:eastAsia="zh-TW"/>
              </w:rPr>
            </w:pPr>
            <w:r w:rsidRPr="0050479B">
              <w:rPr>
                <w:rFonts w:cs="Arial"/>
                <w:sz w:val="20"/>
                <w:szCs w:val="20"/>
                <w:lang w:val="en-GB" w:eastAsia="zh-TW"/>
              </w:rPr>
              <w:t>Proposal 3: For FG 18-5a and FG 18-6a, the candidate value should be {same numerology, different numerology, both}.</w:t>
            </w:r>
          </w:p>
        </w:tc>
        <w:tc>
          <w:tcPr>
            <w:tcW w:w="1061" w:type="dxa"/>
          </w:tcPr>
          <w:p w14:paraId="2F2C75A5" w14:textId="330CDDAE" w:rsidR="009F5B9E" w:rsidRPr="00FE26A3" w:rsidRDefault="009F5B9E" w:rsidP="009F5B9E">
            <w:pPr>
              <w:pStyle w:val="a8"/>
              <w:rPr>
                <w:rFonts w:eastAsia="宋体" w:cs="Arial"/>
                <w:bCs/>
                <w:sz w:val="20"/>
                <w:szCs w:val="20"/>
                <w:lang w:val="en-GB" w:eastAsia="ja-JP"/>
              </w:rPr>
            </w:pPr>
            <w:r>
              <w:rPr>
                <w:rFonts w:eastAsia="宋体" w:cs="Arial"/>
                <w:bCs/>
                <w:sz w:val="20"/>
                <w:szCs w:val="20"/>
                <w:lang w:val="en-GB" w:eastAsia="ja-JP"/>
              </w:rPr>
              <w:t>M</w:t>
            </w:r>
            <w:r>
              <w:rPr>
                <w:rFonts w:eastAsia="宋体" w:cs="Arial"/>
                <w:bCs/>
                <w:sz w:val="20"/>
              </w:rPr>
              <w:t>Tek [3]</w:t>
            </w:r>
          </w:p>
        </w:tc>
      </w:tr>
      <w:tr w:rsidR="009F5B9E" w:rsidRPr="00590F3F" w14:paraId="7BA6084A" w14:textId="77777777" w:rsidTr="00BF7702">
        <w:tc>
          <w:tcPr>
            <w:tcW w:w="929" w:type="dxa"/>
          </w:tcPr>
          <w:p w14:paraId="01386333" w14:textId="7CF86A0E" w:rsidR="009F5B9E" w:rsidRPr="00FE26A3" w:rsidRDefault="009F5B9E" w:rsidP="009F5B9E">
            <w:pPr>
              <w:pStyle w:val="a8"/>
              <w:rPr>
                <w:rFonts w:eastAsia="宋体" w:cs="Arial"/>
                <w:sz w:val="20"/>
                <w:szCs w:val="20"/>
                <w:lang w:val="en-GB"/>
              </w:rPr>
            </w:pPr>
            <w:r>
              <w:rPr>
                <w:rFonts w:eastAsia="宋体" w:cs="Arial"/>
                <w:sz w:val="20"/>
                <w:szCs w:val="20"/>
                <w:lang w:val="en-GB"/>
              </w:rPr>
              <w:t>4</w:t>
            </w:r>
          </w:p>
        </w:tc>
        <w:tc>
          <w:tcPr>
            <w:tcW w:w="7928" w:type="dxa"/>
          </w:tcPr>
          <w:p w14:paraId="6B425944" w14:textId="2D37207F" w:rsidR="009F5B9E" w:rsidRPr="00FE26A3" w:rsidRDefault="009F5B9E" w:rsidP="009F5B9E">
            <w:pPr>
              <w:pStyle w:val="a8"/>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1" w:type="dxa"/>
          </w:tcPr>
          <w:p w14:paraId="6B677951" w14:textId="0F9DD995" w:rsidR="009F5B9E" w:rsidRPr="00FE26A3" w:rsidRDefault="009F5B9E" w:rsidP="009F5B9E">
            <w:pPr>
              <w:pStyle w:val="a8"/>
              <w:rPr>
                <w:rFonts w:eastAsia="宋体" w:cs="Arial"/>
                <w:bCs/>
                <w:sz w:val="20"/>
                <w:szCs w:val="20"/>
                <w:lang w:val="en-GB" w:eastAsia="ja-JP"/>
              </w:rPr>
            </w:pPr>
            <w:r>
              <w:rPr>
                <w:rFonts w:eastAsia="宋体" w:cs="Arial"/>
                <w:bCs/>
                <w:sz w:val="20"/>
              </w:rPr>
              <w:t>Samsung [4]</w:t>
            </w:r>
          </w:p>
        </w:tc>
      </w:tr>
      <w:tr w:rsidR="009F5B9E" w:rsidRPr="00590F3F" w14:paraId="2AC7508F" w14:textId="77777777" w:rsidTr="00BF7702">
        <w:tc>
          <w:tcPr>
            <w:tcW w:w="929" w:type="dxa"/>
          </w:tcPr>
          <w:p w14:paraId="35037818" w14:textId="20F259B3" w:rsidR="009F5B9E" w:rsidRPr="0050479B" w:rsidRDefault="009F5B9E" w:rsidP="009F5B9E">
            <w:pPr>
              <w:pStyle w:val="a8"/>
              <w:rPr>
                <w:rFonts w:eastAsia="宋体" w:cs="Arial"/>
                <w:sz w:val="20"/>
                <w:szCs w:val="20"/>
                <w:lang w:val="en-GB"/>
              </w:rPr>
            </w:pPr>
            <w:r>
              <w:rPr>
                <w:rFonts w:eastAsia="宋体" w:cs="Arial"/>
                <w:sz w:val="20"/>
                <w:szCs w:val="20"/>
                <w:lang w:val="en-GB"/>
              </w:rPr>
              <w:t>5</w:t>
            </w:r>
          </w:p>
        </w:tc>
        <w:tc>
          <w:tcPr>
            <w:tcW w:w="7928" w:type="dxa"/>
          </w:tcPr>
          <w:p w14:paraId="3262969F" w14:textId="3A895ACB" w:rsidR="009F5B9E" w:rsidRPr="0050479B" w:rsidRDefault="009F5B9E" w:rsidP="009F5B9E">
            <w:pPr>
              <w:pStyle w:val="a8"/>
              <w:rPr>
                <w:rFonts w:eastAsia="宋体" w:cs="Arial"/>
                <w:sz w:val="20"/>
                <w:szCs w:val="20"/>
                <w:lang w:val="en-GB"/>
              </w:rPr>
            </w:pPr>
            <w:r w:rsidRPr="0050479B">
              <w:rPr>
                <w:rFonts w:eastAsia="宋体" w:cs="Arial"/>
                <w:sz w:val="20"/>
                <w:szCs w:val="20"/>
                <w:lang w:val="en-GB"/>
              </w:rPr>
              <w:t>Based on current TS 38.214, it is unclear which TCI state is used for a PDSCH a PDSCH 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a8"/>
              <w:rPr>
                <w:rFonts w:eastAsia="宋体" w:cs="Arial"/>
                <w:sz w:val="20"/>
                <w:szCs w:val="20"/>
                <w:lang w:val="en-GB"/>
              </w:rPr>
            </w:pPr>
            <w:r>
              <w:rPr>
                <w:rFonts w:eastAsia="宋体" w:cs="Arial"/>
                <w:sz w:val="20"/>
                <w:szCs w:val="20"/>
                <w:lang w:val="en-GB"/>
              </w:rPr>
              <w:t>Proposal:</w:t>
            </w:r>
            <w:r w:rsidRPr="0050479B">
              <w:rPr>
                <w:rFonts w:eastAsia="宋体" w:cs="Arial"/>
                <w:sz w:val="20"/>
                <w:szCs w:val="20"/>
                <w:lang w:val="en-GB"/>
              </w:rPr>
              <w:t xml:space="preserve"> fix the issue by limiting the Rel-15 behavior to “same carrier scheduling”.</w:t>
            </w:r>
          </w:p>
        </w:tc>
        <w:tc>
          <w:tcPr>
            <w:tcW w:w="1061" w:type="dxa"/>
          </w:tcPr>
          <w:p w14:paraId="1819A478" w14:textId="65A2A484" w:rsidR="009F5B9E" w:rsidRPr="0050479B" w:rsidRDefault="009F5B9E" w:rsidP="009F5B9E">
            <w:pPr>
              <w:pStyle w:val="a8"/>
              <w:rPr>
                <w:rFonts w:eastAsia="宋体" w:cs="Arial"/>
                <w:sz w:val="20"/>
                <w:szCs w:val="20"/>
                <w:lang w:val="en-GB"/>
              </w:rPr>
            </w:pPr>
            <w:r>
              <w:rPr>
                <w:rFonts w:eastAsia="宋体" w:cs="Arial"/>
                <w:sz w:val="20"/>
                <w:szCs w:val="20"/>
                <w:lang w:val="en-GB"/>
              </w:rPr>
              <w:t>ASUS [6]</w:t>
            </w:r>
          </w:p>
        </w:tc>
      </w:tr>
    </w:tbl>
    <w:p w14:paraId="4A3C5AAF" w14:textId="52E52686" w:rsidR="0038295D" w:rsidRDefault="0038295D" w:rsidP="0038295D"/>
    <w:p w14:paraId="76FC6522" w14:textId="09F7F151" w:rsidR="0038295D" w:rsidRDefault="0038295D" w:rsidP="0038295D">
      <w:pPr>
        <w:pStyle w:val="1"/>
        <w:rPr>
          <w:rStyle w:val="1Char"/>
        </w:rPr>
      </w:pPr>
      <w:r>
        <w:rPr>
          <w:rStyle w:val="1Char"/>
        </w:rPr>
        <w:lastRenderedPageBreak/>
        <w:t>3</w:t>
      </w:r>
      <w:r>
        <w:rPr>
          <w:rStyle w:val="1Char"/>
        </w:rPr>
        <w:tab/>
        <w:t>Discussion on the scope of the RAN1#10</w:t>
      </w:r>
      <w:r w:rsidR="002E5B57">
        <w:rPr>
          <w:rStyle w:val="1Char"/>
        </w:rPr>
        <w:t>2</w:t>
      </w:r>
    </w:p>
    <w:p w14:paraId="4BC0AE81" w14:textId="166BB33E" w:rsidR="0038295D" w:rsidRDefault="00BF7702" w:rsidP="00BF7702">
      <w:pPr>
        <w:pStyle w:val="21"/>
      </w:pPr>
      <w:r>
        <w:t>#1 Scheduling DCI and a BWP change DCI in the same MO [1,2]</w:t>
      </w:r>
    </w:p>
    <w:p w14:paraId="7B5A131D" w14:textId="4B501757" w:rsidR="009F5B9E" w:rsidRDefault="009F5B9E" w:rsidP="009F5B9E">
      <w:pPr>
        <w:pStyle w:val="a8"/>
        <w:spacing w:before="120"/>
        <w:rPr>
          <w:rFonts w:eastAsia="Batang"/>
          <w:lang w:eastAsia="x-none"/>
        </w:rPr>
      </w:pPr>
      <w:r>
        <w:rPr>
          <w:rFonts w:eastAsia="Batang"/>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a8"/>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BB314B4" w:rsidR="00BF7702" w:rsidRPr="00FE26A3" w:rsidRDefault="00BF7702" w:rsidP="00BF7702">
      <w:pPr>
        <w:pStyle w:val="a8"/>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4AAD1094" w14:textId="3CC7FCE8" w:rsidR="0038295D" w:rsidRDefault="0038295D" w:rsidP="0038295D">
      <w:pPr>
        <w:spacing w:before="240"/>
      </w:pPr>
      <w:r w:rsidRPr="00BF7702">
        <w:rPr>
          <w:b/>
          <w:bCs/>
          <w:highlight w:val="yellow"/>
        </w:rPr>
        <w:t>FL proposal:</w:t>
      </w:r>
      <w:r w:rsidRPr="00BF7702">
        <w:rPr>
          <w:highlight w:val="yellow"/>
        </w:rPr>
        <w:t xml:space="preserve"> Discuss </w:t>
      </w:r>
      <w:r w:rsidR="00BF7702" w:rsidRPr="00BF7702">
        <w:rPr>
          <w:highlight w:val="yellow"/>
        </w:rPr>
        <w:t>the proposals</w:t>
      </w:r>
    </w:p>
    <w:p w14:paraId="6C61D5F4" w14:textId="77777777" w:rsidR="0038295D" w:rsidRDefault="0038295D" w:rsidP="0038295D">
      <w:bookmarkStart w:id="2" w:name="_Hlk48070809"/>
      <w:r>
        <w:t>Comments on the FL proposal</w:t>
      </w:r>
    </w:p>
    <w:tbl>
      <w:tblPr>
        <w:tblStyle w:val="afa"/>
        <w:tblW w:w="9918" w:type="dxa"/>
        <w:tblLook w:val="04A0" w:firstRow="1" w:lastRow="0" w:firstColumn="1" w:lastColumn="0" w:noHBand="0" w:noVBand="1"/>
      </w:tblPr>
      <w:tblGrid>
        <w:gridCol w:w="1366"/>
        <w:gridCol w:w="8552"/>
      </w:tblGrid>
      <w:tr w:rsidR="0038295D" w:rsidRPr="00590F3F" w14:paraId="14B9A52C" w14:textId="77777777" w:rsidTr="00DA1358">
        <w:tc>
          <w:tcPr>
            <w:tcW w:w="931" w:type="dxa"/>
            <w:shd w:val="clear" w:color="auto" w:fill="D9D9D9" w:themeFill="background1" w:themeFillShade="D9"/>
          </w:tcPr>
          <w:p w14:paraId="0059E9D4" w14:textId="77777777" w:rsidR="0038295D" w:rsidRPr="00590F3F" w:rsidRDefault="0038295D" w:rsidP="00DA1358">
            <w:pPr>
              <w:pStyle w:val="a8"/>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146C2AFB" w14:textId="22321D17" w:rsidR="0038295D" w:rsidRPr="00590F3F" w:rsidRDefault="0038295D" w:rsidP="00DA1358">
            <w:pPr>
              <w:pStyle w:val="a8"/>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A1358">
        <w:tc>
          <w:tcPr>
            <w:tcW w:w="931" w:type="dxa"/>
          </w:tcPr>
          <w:p w14:paraId="31023D7E" w14:textId="119EB2D0" w:rsidR="0038295D" w:rsidRPr="008104BC" w:rsidRDefault="00F35C7B" w:rsidP="00DA1358">
            <w:pPr>
              <w:pStyle w:val="a8"/>
              <w:rPr>
                <w:rFonts w:eastAsia="宋体" w:cs="Arial"/>
                <w:sz w:val="20"/>
                <w:szCs w:val="20"/>
                <w:lang w:val="en-GB"/>
              </w:rPr>
            </w:pPr>
            <w:r>
              <w:rPr>
                <w:rFonts w:eastAsia="宋体" w:cs="Arial"/>
                <w:sz w:val="20"/>
                <w:szCs w:val="20"/>
                <w:lang w:val="en-GB"/>
              </w:rPr>
              <w:t>MTK</w:t>
            </w:r>
          </w:p>
        </w:tc>
        <w:tc>
          <w:tcPr>
            <w:tcW w:w="8987" w:type="dxa"/>
          </w:tcPr>
          <w:p w14:paraId="3DFDD2C3" w14:textId="103EA0B8" w:rsidR="0038295D" w:rsidRPr="008104BC" w:rsidRDefault="00F35C7B" w:rsidP="00DA1358">
            <w:pPr>
              <w:pStyle w:val="a8"/>
              <w:jc w:val="left"/>
              <w:rPr>
                <w:rFonts w:cs="Arial"/>
                <w:sz w:val="20"/>
                <w:szCs w:val="20"/>
                <w:lang w:val="en-GB" w:eastAsia="zh-TW"/>
              </w:rPr>
            </w:pPr>
            <w:r>
              <w:rPr>
                <w:rFonts w:cs="Arial"/>
                <w:sz w:val="20"/>
                <w:szCs w:val="20"/>
                <w:lang w:val="en-GB" w:eastAsia="zh-TW"/>
              </w:rPr>
              <w:t>We are fine with the FL proposal.</w:t>
            </w:r>
          </w:p>
        </w:tc>
      </w:tr>
      <w:tr w:rsidR="00E003A9" w:rsidRPr="008104BC" w14:paraId="65281973" w14:textId="77777777" w:rsidTr="00DA1358">
        <w:tc>
          <w:tcPr>
            <w:tcW w:w="931" w:type="dxa"/>
          </w:tcPr>
          <w:p w14:paraId="668161BA" w14:textId="65C40C1A" w:rsidR="00E003A9" w:rsidRDefault="00E30F88" w:rsidP="00DA1358">
            <w:pPr>
              <w:pStyle w:val="a8"/>
              <w:rPr>
                <w:rFonts w:eastAsia="宋体" w:cs="Arial"/>
              </w:rPr>
            </w:pPr>
            <w:r>
              <w:rPr>
                <w:rFonts w:eastAsia="宋体" w:cs="Arial" w:hint="eastAsia"/>
              </w:rPr>
              <w:t>Z</w:t>
            </w:r>
            <w:r>
              <w:rPr>
                <w:rFonts w:eastAsia="宋体" w:cs="Arial"/>
              </w:rPr>
              <w:t>TE</w:t>
            </w:r>
          </w:p>
        </w:tc>
        <w:tc>
          <w:tcPr>
            <w:tcW w:w="8987" w:type="dxa"/>
          </w:tcPr>
          <w:p w14:paraId="0C8F010D" w14:textId="4E6BBF16" w:rsidR="00E003A9" w:rsidRPr="00E30F88" w:rsidRDefault="00E30F88" w:rsidP="00DA1358">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44DFF254" w14:textId="77777777" w:rsidTr="00DA1358">
        <w:tc>
          <w:tcPr>
            <w:tcW w:w="931" w:type="dxa"/>
          </w:tcPr>
          <w:p w14:paraId="73A427D7" w14:textId="0DED3FB5" w:rsidR="00E04ECF" w:rsidRDefault="00E04ECF" w:rsidP="00DA1358">
            <w:pPr>
              <w:pStyle w:val="a8"/>
              <w:rPr>
                <w:rFonts w:eastAsia="宋体" w:cs="Arial" w:hint="eastAsia"/>
              </w:rPr>
            </w:pPr>
            <w:r>
              <w:rPr>
                <w:rFonts w:eastAsia="宋体" w:cs="Arial" w:hint="eastAsia"/>
              </w:rPr>
              <w:t>S</w:t>
            </w:r>
            <w:r>
              <w:rPr>
                <w:rFonts w:eastAsia="宋体" w:cs="Arial"/>
              </w:rPr>
              <w:t>preadtrum</w:t>
            </w:r>
          </w:p>
        </w:tc>
        <w:tc>
          <w:tcPr>
            <w:tcW w:w="8987" w:type="dxa"/>
          </w:tcPr>
          <w:p w14:paraId="7B99585D" w14:textId="61B1AF8F" w:rsidR="00E04ECF" w:rsidRPr="00E04ECF" w:rsidRDefault="00E04ECF" w:rsidP="00DA1358">
            <w:pPr>
              <w:pStyle w:val="a8"/>
              <w:jc w:val="left"/>
              <w:rPr>
                <w:rFonts w:eastAsiaTheme="minorEastAsia" w:cs="Arial" w:hint="eastAsia"/>
              </w:rPr>
            </w:pPr>
            <w:r>
              <w:rPr>
                <w:rFonts w:eastAsiaTheme="minorEastAsia" w:cs="Arial"/>
              </w:rPr>
              <w:t>Fine with the FL proposal.</w:t>
            </w:r>
          </w:p>
        </w:tc>
      </w:tr>
      <w:bookmarkEnd w:id="2"/>
    </w:tbl>
    <w:p w14:paraId="7510A0A8" w14:textId="6653C8F8" w:rsidR="0038295D" w:rsidRDefault="0038295D" w:rsidP="0038295D"/>
    <w:p w14:paraId="5714D544" w14:textId="7C5CCB99" w:rsidR="009F5B9E" w:rsidRDefault="009F5B9E" w:rsidP="009F5B9E">
      <w:pPr>
        <w:pStyle w:val="21"/>
      </w:pPr>
      <w:r>
        <w:t xml:space="preserve">#2 </w:t>
      </w:r>
      <w:r w:rsidR="007E5462">
        <w:t>DAI counting order for the DCI not scheduling PDSCH</w:t>
      </w:r>
      <w:r>
        <w:t xml:space="preserve"> [5]</w:t>
      </w:r>
    </w:p>
    <w:p w14:paraId="3CB82DE0" w14:textId="77777777" w:rsidR="009F5B9E" w:rsidRPr="009F5B9E" w:rsidRDefault="009F5B9E" w:rsidP="009F5B9E">
      <w:pPr>
        <w:pStyle w:val="a8"/>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a8"/>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a8"/>
        <w:jc w:val="left"/>
        <w:rPr>
          <w:rFonts w:eastAsia="宋体" w:cs="Arial"/>
        </w:rPr>
      </w:pPr>
      <w:r w:rsidRPr="007E5462">
        <w:rPr>
          <w:rFonts w:eastAsia="宋体" w:cs="Arial"/>
          <w:b/>
          <w:bCs/>
        </w:rPr>
        <w:t>Proposal #1:</w:t>
      </w:r>
      <w:r w:rsidRPr="0050479B">
        <w:rPr>
          <w:rFonts w:eastAsia="宋体" w:cs="Arial"/>
        </w:rPr>
        <w:t xml:space="preserve"> Adopt the following TP for TS38.213 spec to handle the DCI not scheduling PDSCH transmission in terms of determining DAI counting order.</w:t>
      </w:r>
    </w:p>
    <w:tbl>
      <w:tblPr>
        <w:tblStyle w:val="afa"/>
        <w:tblW w:w="0" w:type="auto"/>
        <w:tblLook w:val="04A0" w:firstRow="1" w:lastRow="0" w:firstColumn="1" w:lastColumn="0" w:noHBand="0" w:noVBand="1"/>
      </w:tblPr>
      <w:tblGrid>
        <w:gridCol w:w="9629"/>
      </w:tblGrid>
      <w:tr w:rsidR="009F5B9E" w14:paraId="353E7774" w14:textId="77777777" w:rsidTr="009F5B9E">
        <w:tc>
          <w:tcPr>
            <w:tcW w:w="9629" w:type="dxa"/>
          </w:tcPr>
          <w:p w14:paraId="21BB9B38" w14:textId="13FCDAB8" w:rsidR="009F5B9E" w:rsidRPr="009F5B9E" w:rsidRDefault="009F5B9E" w:rsidP="009F5B9E">
            <w:pPr>
              <w:pStyle w:val="a8"/>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PDSCH-Number-perMOperCell</w:t>
            </w:r>
            <w:r w:rsidRPr="0050479B">
              <w:rPr>
                <w:rFonts w:cs="Times"/>
                <w:sz w:val="20"/>
                <w:szCs w:val="20"/>
                <w:lang w:val="en-GB" w:eastAsia="ko-KR"/>
              </w:rPr>
              <w:t xml:space="preserve"> in increasing order of the PDSCH reception starting time</w:t>
            </w:r>
            <w:ins w:id="3"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77777777" w:rsidR="009F5B9E" w:rsidRDefault="009F5B9E" w:rsidP="009F5B9E">
      <w:pPr>
        <w:pStyle w:val="a8"/>
        <w:jc w:val="left"/>
        <w:rPr>
          <w:rFonts w:eastAsia="宋体" w:cs="Arial"/>
        </w:rPr>
      </w:pPr>
    </w:p>
    <w:p w14:paraId="5E6E8E04" w14:textId="3390D576" w:rsidR="009F5B9E" w:rsidRDefault="009F5B9E" w:rsidP="009F5B9E">
      <w:pPr>
        <w:spacing w:before="240"/>
      </w:pPr>
      <w:r w:rsidRPr="00BF7702">
        <w:rPr>
          <w:b/>
          <w:bCs/>
          <w:highlight w:val="yellow"/>
        </w:rPr>
        <w:t>FL proposal:</w:t>
      </w:r>
      <w:r w:rsidRPr="00BF7702">
        <w:rPr>
          <w:highlight w:val="yellow"/>
        </w:rPr>
        <w:t xml:space="preserve"> Discuss the proposal</w:t>
      </w:r>
    </w:p>
    <w:p w14:paraId="524B0745" w14:textId="77777777" w:rsidR="009F5B9E" w:rsidRDefault="009F5B9E" w:rsidP="009F5B9E">
      <w:r>
        <w:t>Comments on the FL proposal</w:t>
      </w:r>
    </w:p>
    <w:tbl>
      <w:tblPr>
        <w:tblStyle w:val="afa"/>
        <w:tblW w:w="9918" w:type="dxa"/>
        <w:tblLook w:val="04A0" w:firstRow="1" w:lastRow="0" w:firstColumn="1" w:lastColumn="0" w:noHBand="0" w:noVBand="1"/>
      </w:tblPr>
      <w:tblGrid>
        <w:gridCol w:w="1366"/>
        <w:gridCol w:w="8552"/>
      </w:tblGrid>
      <w:tr w:rsidR="009F5B9E" w:rsidRPr="00590F3F" w14:paraId="64AB8C97" w14:textId="77777777" w:rsidTr="00E003A9">
        <w:tc>
          <w:tcPr>
            <w:tcW w:w="1128" w:type="dxa"/>
            <w:shd w:val="clear" w:color="auto" w:fill="D9D9D9" w:themeFill="background1" w:themeFillShade="D9"/>
          </w:tcPr>
          <w:p w14:paraId="2362B769"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lastRenderedPageBreak/>
              <w:t>Company</w:t>
            </w:r>
          </w:p>
        </w:tc>
        <w:tc>
          <w:tcPr>
            <w:tcW w:w="8790" w:type="dxa"/>
            <w:shd w:val="clear" w:color="auto" w:fill="D9D9D9" w:themeFill="background1" w:themeFillShade="D9"/>
          </w:tcPr>
          <w:p w14:paraId="1D230CB7"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E003A9" w:rsidRPr="008104BC" w14:paraId="497A9C66" w14:textId="77777777" w:rsidTr="00E003A9">
        <w:tc>
          <w:tcPr>
            <w:tcW w:w="1128" w:type="dxa"/>
          </w:tcPr>
          <w:p w14:paraId="243D5AF8" w14:textId="52FF65C6" w:rsidR="00E003A9" w:rsidRPr="008104BC" w:rsidRDefault="00E003A9" w:rsidP="00E003A9">
            <w:pPr>
              <w:pStyle w:val="a8"/>
              <w:rPr>
                <w:rFonts w:eastAsia="宋体" w:cs="Arial"/>
                <w:sz w:val="20"/>
                <w:szCs w:val="20"/>
                <w:lang w:val="en-GB"/>
              </w:rPr>
            </w:pPr>
            <w:r>
              <w:rPr>
                <w:rFonts w:eastAsia="宋体" w:cs="Arial"/>
                <w:sz w:val="20"/>
                <w:szCs w:val="20"/>
                <w:lang w:val="en-GB"/>
              </w:rPr>
              <w:t>MTK</w:t>
            </w:r>
          </w:p>
        </w:tc>
        <w:tc>
          <w:tcPr>
            <w:tcW w:w="8790" w:type="dxa"/>
          </w:tcPr>
          <w:p w14:paraId="60D794F6" w14:textId="2AF04695" w:rsidR="00E003A9" w:rsidRPr="008104BC" w:rsidRDefault="00E003A9" w:rsidP="00E003A9">
            <w:pPr>
              <w:pStyle w:val="a8"/>
              <w:jc w:val="left"/>
              <w:rPr>
                <w:rFonts w:cs="Arial"/>
                <w:sz w:val="20"/>
                <w:szCs w:val="20"/>
                <w:lang w:val="en-GB" w:eastAsia="zh-TW"/>
              </w:rPr>
            </w:pPr>
            <w:r>
              <w:rPr>
                <w:rFonts w:cs="Arial"/>
                <w:sz w:val="20"/>
                <w:szCs w:val="20"/>
                <w:lang w:val="en-GB" w:eastAsia="zh-TW"/>
              </w:rPr>
              <w:t>We are fine with the FL proposal.</w:t>
            </w:r>
          </w:p>
        </w:tc>
      </w:tr>
      <w:tr w:rsidR="00E003A9" w:rsidRPr="008104BC" w14:paraId="71295A96" w14:textId="77777777" w:rsidTr="00E003A9">
        <w:tc>
          <w:tcPr>
            <w:tcW w:w="1128" w:type="dxa"/>
          </w:tcPr>
          <w:p w14:paraId="6FED503B" w14:textId="4FD8D0EF" w:rsidR="00E003A9" w:rsidRDefault="00E30F88" w:rsidP="00E003A9">
            <w:pPr>
              <w:pStyle w:val="a8"/>
              <w:rPr>
                <w:rFonts w:eastAsia="宋体" w:cs="Arial"/>
              </w:rPr>
            </w:pPr>
            <w:r>
              <w:rPr>
                <w:rFonts w:eastAsia="宋体" w:cs="Arial" w:hint="eastAsia"/>
              </w:rPr>
              <w:t>Z</w:t>
            </w:r>
            <w:r>
              <w:rPr>
                <w:rFonts w:eastAsia="宋体" w:cs="Arial"/>
              </w:rPr>
              <w:t>TE</w:t>
            </w:r>
          </w:p>
        </w:tc>
        <w:tc>
          <w:tcPr>
            <w:tcW w:w="8790" w:type="dxa"/>
          </w:tcPr>
          <w:p w14:paraId="7E2BCB76" w14:textId="2BD7DE75" w:rsidR="00E003A9" w:rsidRPr="00E30F88" w:rsidRDefault="00E30F88" w:rsidP="00E003A9">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7C41BAF3" w14:textId="77777777" w:rsidTr="00E003A9">
        <w:tc>
          <w:tcPr>
            <w:tcW w:w="1128" w:type="dxa"/>
          </w:tcPr>
          <w:p w14:paraId="661D00B4" w14:textId="00ADF644" w:rsidR="00E04ECF" w:rsidRDefault="00E04ECF" w:rsidP="00E003A9">
            <w:pPr>
              <w:pStyle w:val="a8"/>
              <w:rPr>
                <w:rFonts w:eastAsia="宋体" w:cs="Arial" w:hint="eastAsia"/>
              </w:rPr>
            </w:pPr>
            <w:r>
              <w:rPr>
                <w:rFonts w:eastAsia="宋体" w:cs="Arial" w:hint="eastAsia"/>
              </w:rPr>
              <w:t>Spreadtrum</w:t>
            </w:r>
          </w:p>
        </w:tc>
        <w:tc>
          <w:tcPr>
            <w:tcW w:w="8790" w:type="dxa"/>
          </w:tcPr>
          <w:p w14:paraId="01B0F208" w14:textId="5738D320" w:rsidR="00E04ECF" w:rsidRDefault="00E04ECF" w:rsidP="00E003A9">
            <w:pPr>
              <w:pStyle w:val="a8"/>
              <w:jc w:val="left"/>
              <w:rPr>
                <w:rFonts w:cs="Arial" w:hint="eastAsia"/>
              </w:rPr>
            </w:pPr>
            <w:r>
              <w:rPr>
                <w:rFonts w:eastAsiaTheme="minorEastAsia" w:cs="Arial"/>
              </w:rPr>
              <w:t>Fine with the FL proposal.</w:t>
            </w:r>
          </w:p>
        </w:tc>
      </w:tr>
    </w:tbl>
    <w:p w14:paraId="3751C58F" w14:textId="77777777" w:rsidR="009F5B9E" w:rsidRDefault="009F5B9E" w:rsidP="0038295D"/>
    <w:p w14:paraId="2DC37F70" w14:textId="09742032" w:rsidR="00BF7702" w:rsidRDefault="00BF7702" w:rsidP="00BF7702">
      <w:pPr>
        <w:pStyle w:val="21"/>
      </w:pPr>
      <w:r>
        <w:t>#</w:t>
      </w:r>
      <w:r w:rsidR="009F5B9E">
        <w:t>3</w:t>
      </w:r>
      <w:r>
        <w:t xml:space="preserve"> </w:t>
      </w:r>
      <w:r w:rsidR="00137E82">
        <w:t>Cross-carrier scheduling related FGs</w:t>
      </w:r>
      <w:r>
        <w:t xml:space="preserve"> [3]</w:t>
      </w:r>
    </w:p>
    <w:p w14:paraId="421FCFA4" w14:textId="77777777" w:rsidR="00BF7702" w:rsidRDefault="00BF7702" w:rsidP="00BF7702">
      <w:pPr>
        <w:pStyle w:val="a8"/>
        <w:jc w:val="left"/>
        <w:rPr>
          <w:rFonts w:cs="Arial"/>
          <w:lang w:eastAsia="zh-TW"/>
        </w:rPr>
      </w:pPr>
      <w:r w:rsidRPr="0050479B">
        <w:rPr>
          <w:rFonts w:cs="Arial"/>
          <w:lang w:eastAsia="zh-TW"/>
        </w:rPr>
        <w:t>Proposal 1: Remove Component 2 from FG 18-5 and FG 18-5b.</w:t>
      </w:r>
    </w:p>
    <w:p w14:paraId="596DA1B1" w14:textId="77777777" w:rsidR="00BF7702" w:rsidRDefault="00BF7702" w:rsidP="00BF7702">
      <w:pPr>
        <w:pStyle w:val="a8"/>
        <w:jc w:val="left"/>
        <w:rPr>
          <w:rFonts w:cs="Arial"/>
          <w:lang w:eastAsia="zh-TW"/>
        </w:rPr>
      </w:pPr>
      <w:r w:rsidRPr="0050479B">
        <w:rPr>
          <w:rFonts w:cs="Arial"/>
          <w:lang w:eastAsia="zh-TW"/>
        </w:rPr>
        <w:t>Proposal 2: In FG 18-9 “Type2 HARQ-ACK codebook for &gt;1 DL DCIs in same Monitoring Occasion”, modify “DL DCI” to be “unicast DL DCI” for clarification.</w:t>
      </w:r>
    </w:p>
    <w:p w14:paraId="1228CBD1" w14:textId="5DE0D858" w:rsidR="00BF7702" w:rsidRDefault="00BF7702" w:rsidP="00BF7702">
      <w:pPr>
        <w:pStyle w:val="a8"/>
        <w:jc w:val="left"/>
        <w:rPr>
          <w:rFonts w:cs="Arial"/>
          <w:lang w:eastAsia="zh-TW"/>
        </w:rPr>
      </w:pPr>
      <w:r w:rsidRPr="0050479B">
        <w:rPr>
          <w:rFonts w:cs="Arial"/>
          <w:lang w:eastAsia="zh-TW"/>
        </w:rPr>
        <w:t>Proposal 3: For FG 18-5a and FG 18-6a, the candidate value should be {same numerology, different numerology, both}.</w:t>
      </w:r>
    </w:p>
    <w:p w14:paraId="5BC5E528" w14:textId="42BB7225" w:rsidR="00BF7702" w:rsidRDefault="00BF7702" w:rsidP="00BF7702">
      <w:pPr>
        <w:spacing w:before="240"/>
      </w:pPr>
      <w:r w:rsidRPr="00BF7702">
        <w:rPr>
          <w:b/>
          <w:bCs/>
          <w:highlight w:val="yellow"/>
        </w:rPr>
        <w:t>FL proposal:</w:t>
      </w:r>
      <w:r w:rsidRPr="00BF7702">
        <w:rPr>
          <w:highlight w:val="yellow"/>
        </w:rPr>
        <w:t xml:space="preserve"> </w:t>
      </w:r>
      <w:r>
        <w:rPr>
          <w:highlight w:val="yellow"/>
        </w:rPr>
        <w:t>Defer the FG discussions to the UE features agenda item as the</w:t>
      </w:r>
      <w:r w:rsidR="009F5B9E">
        <w:rPr>
          <w:highlight w:val="yellow"/>
        </w:rPr>
        <w:t xml:space="preserve">se FGs </w:t>
      </w:r>
      <w:r>
        <w:rPr>
          <w:highlight w:val="yellow"/>
        </w:rPr>
        <w:t>are discussed there</w:t>
      </w:r>
    </w:p>
    <w:p w14:paraId="51F52638" w14:textId="77777777" w:rsidR="00BF7702" w:rsidRDefault="00BF7702" w:rsidP="00BF7702">
      <w:r>
        <w:t>Comments on the FL proposal</w:t>
      </w:r>
    </w:p>
    <w:tbl>
      <w:tblPr>
        <w:tblStyle w:val="afa"/>
        <w:tblW w:w="9918" w:type="dxa"/>
        <w:tblLook w:val="04A0" w:firstRow="1" w:lastRow="0" w:firstColumn="1" w:lastColumn="0" w:noHBand="0" w:noVBand="1"/>
      </w:tblPr>
      <w:tblGrid>
        <w:gridCol w:w="1366"/>
        <w:gridCol w:w="8552"/>
      </w:tblGrid>
      <w:tr w:rsidR="00BF7702" w:rsidRPr="00590F3F" w14:paraId="025A4086" w14:textId="77777777" w:rsidTr="00E003A9">
        <w:tc>
          <w:tcPr>
            <w:tcW w:w="1128" w:type="dxa"/>
            <w:shd w:val="clear" w:color="auto" w:fill="D9D9D9" w:themeFill="background1" w:themeFillShade="D9"/>
          </w:tcPr>
          <w:p w14:paraId="44C80165" w14:textId="77777777" w:rsidR="00BF7702" w:rsidRPr="00590F3F" w:rsidRDefault="00BF7702" w:rsidP="003979A9">
            <w:pPr>
              <w:pStyle w:val="a8"/>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47EA4B5E" w14:textId="77777777" w:rsidR="00BF7702" w:rsidRPr="00590F3F" w:rsidRDefault="00BF7702" w:rsidP="003979A9">
            <w:pPr>
              <w:pStyle w:val="a8"/>
              <w:jc w:val="center"/>
              <w:rPr>
                <w:rFonts w:cs="Arial"/>
                <w:b/>
                <w:bCs/>
                <w:sz w:val="20"/>
                <w:szCs w:val="20"/>
                <w:lang w:val="en-GB"/>
              </w:rPr>
            </w:pPr>
            <w:r>
              <w:rPr>
                <w:rFonts w:cs="Arial"/>
                <w:b/>
                <w:bCs/>
                <w:sz w:val="20"/>
                <w:szCs w:val="20"/>
                <w:lang w:val="en-GB"/>
              </w:rPr>
              <w:t>Comments</w:t>
            </w:r>
          </w:p>
        </w:tc>
      </w:tr>
      <w:tr w:rsidR="00E003A9" w:rsidRPr="008104BC" w14:paraId="70EE34FD" w14:textId="77777777" w:rsidTr="00E003A9">
        <w:tc>
          <w:tcPr>
            <w:tcW w:w="1128" w:type="dxa"/>
          </w:tcPr>
          <w:p w14:paraId="5B6A1352" w14:textId="71D94790" w:rsidR="00E003A9" w:rsidRPr="008104BC" w:rsidRDefault="00E003A9" w:rsidP="00E003A9">
            <w:pPr>
              <w:pStyle w:val="a8"/>
              <w:rPr>
                <w:rFonts w:eastAsia="宋体" w:cs="Arial"/>
                <w:sz w:val="20"/>
                <w:szCs w:val="20"/>
                <w:lang w:val="en-GB"/>
              </w:rPr>
            </w:pPr>
            <w:r>
              <w:rPr>
                <w:rFonts w:eastAsia="宋体" w:cs="Arial"/>
                <w:sz w:val="20"/>
                <w:szCs w:val="20"/>
                <w:lang w:val="en-GB"/>
              </w:rPr>
              <w:t>MTK</w:t>
            </w:r>
          </w:p>
        </w:tc>
        <w:tc>
          <w:tcPr>
            <w:tcW w:w="8790" w:type="dxa"/>
          </w:tcPr>
          <w:p w14:paraId="0F7404F0" w14:textId="1CA711FD" w:rsidR="00E003A9" w:rsidRPr="008104BC" w:rsidRDefault="00E003A9" w:rsidP="00E003A9">
            <w:pPr>
              <w:pStyle w:val="a8"/>
              <w:jc w:val="left"/>
              <w:rPr>
                <w:rFonts w:cs="Arial"/>
                <w:sz w:val="20"/>
                <w:szCs w:val="20"/>
                <w:lang w:val="en-GB" w:eastAsia="zh-TW"/>
              </w:rPr>
            </w:pPr>
            <w:r>
              <w:rPr>
                <w:rFonts w:cs="Arial"/>
                <w:sz w:val="20"/>
                <w:szCs w:val="20"/>
                <w:lang w:val="en-GB" w:eastAsia="zh-TW"/>
              </w:rPr>
              <w:t>We are fine with deferring Proposal 1 &amp; 3 to UE features agenda. For Proposal 2, it should be a simple text fix and can be discussed here.</w:t>
            </w:r>
          </w:p>
        </w:tc>
      </w:tr>
      <w:tr w:rsidR="00E003A9" w:rsidRPr="008104BC" w14:paraId="0BEE5851" w14:textId="77777777" w:rsidTr="00E003A9">
        <w:tc>
          <w:tcPr>
            <w:tcW w:w="1128" w:type="dxa"/>
          </w:tcPr>
          <w:p w14:paraId="39711478" w14:textId="3984C8B2" w:rsidR="00E003A9" w:rsidRDefault="00E30F88" w:rsidP="00E003A9">
            <w:pPr>
              <w:pStyle w:val="a8"/>
              <w:rPr>
                <w:rFonts w:eastAsia="宋体" w:cs="Arial"/>
              </w:rPr>
            </w:pPr>
            <w:r>
              <w:rPr>
                <w:rFonts w:eastAsia="宋体" w:cs="Arial" w:hint="eastAsia"/>
              </w:rPr>
              <w:t>Z</w:t>
            </w:r>
            <w:r>
              <w:rPr>
                <w:rFonts w:eastAsia="宋体" w:cs="Arial"/>
              </w:rPr>
              <w:t>TE</w:t>
            </w:r>
          </w:p>
        </w:tc>
        <w:tc>
          <w:tcPr>
            <w:tcW w:w="8790" w:type="dxa"/>
          </w:tcPr>
          <w:p w14:paraId="422B2319" w14:textId="40112422" w:rsidR="00E003A9" w:rsidRPr="00E30F88" w:rsidRDefault="00E30F88" w:rsidP="00E003A9">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0A2D0C0B" w14:textId="77777777" w:rsidTr="00E003A9">
        <w:tc>
          <w:tcPr>
            <w:tcW w:w="1128" w:type="dxa"/>
          </w:tcPr>
          <w:p w14:paraId="039942B2" w14:textId="4494AB51" w:rsidR="00E04ECF" w:rsidRDefault="00E04ECF" w:rsidP="00E003A9">
            <w:pPr>
              <w:pStyle w:val="a8"/>
              <w:rPr>
                <w:rFonts w:eastAsia="宋体" w:cs="Arial" w:hint="eastAsia"/>
              </w:rPr>
            </w:pPr>
            <w:r>
              <w:rPr>
                <w:rFonts w:eastAsia="宋体" w:cs="Arial" w:hint="eastAsia"/>
              </w:rPr>
              <w:t>Spreadtrum</w:t>
            </w:r>
          </w:p>
        </w:tc>
        <w:tc>
          <w:tcPr>
            <w:tcW w:w="8790" w:type="dxa"/>
          </w:tcPr>
          <w:p w14:paraId="29A06AC7" w14:textId="7D33BADD" w:rsidR="00E04ECF" w:rsidRDefault="00E04ECF" w:rsidP="00E003A9">
            <w:pPr>
              <w:pStyle w:val="a8"/>
              <w:jc w:val="left"/>
              <w:rPr>
                <w:rFonts w:cs="Arial" w:hint="eastAsia"/>
              </w:rPr>
            </w:pPr>
            <w:r>
              <w:rPr>
                <w:rFonts w:eastAsiaTheme="minorEastAsia" w:cs="Arial"/>
              </w:rPr>
              <w:t>Fine with the FL proposal.</w:t>
            </w:r>
          </w:p>
        </w:tc>
      </w:tr>
    </w:tbl>
    <w:p w14:paraId="7D73CAE3" w14:textId="77777777" w:rsidR="00BF7702" w:rsidRDefault="00BF7702" w:rsidP="00BF7702"/>
    <w:p w14:paraId="4D47B1EF" w14:textId="774C60BB" w:rsidR="009F5B9E" w:rsidRDefault="009F5B9E" w:rsidP="009F5B9E">
      <w:pPr>
        <w:pStyle w:val="21"/>
      </w:pPr>
      <w:r>
        <w:t>#4 Reference SCS for dynamic grant overriding SPS PDSCH timeline [4]</w:t>
      </w:r>
    </w:p>
    <w:p w14:paraId="6DB44124" w14:textId="0E9A939D" w:rsidR="009F5B9E" w:rsidRDefault="009F5B9E" w:rsidP="009F5B9E">
      <w:pPr>
        <w:pStyle w:val="a8"/>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a8"/>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54D578DE" w14:textId="51CBD28A" w:rsidR="009F5B9E" w:rsidRDefault="009F5B9E" w:rsidP="009F5B9E">
      <w:pPr>
        <w:spacing w:before="240"/>
      </w:pPr>
      <w:r w:rsidRPr="00BF7702">
        <w:rPr>
          <w:b/>
          <w:bCs/>
          <w:highlight w:val="yellow"/>
        </w:rPr>
        <w:t>FL proposal:</w:t>
      </w:r>
      <w:r w:rsidRPr="00BF7702">
        <w:rPr>
          <w:highlight w:val="yellow"/>
        </w:rPr>
        <w:t xml:space="preserve"> Discuss the proposal</w:t>
      </w:r>
    </w:p>
    <w:p w14:paraId="1C8ABA3D" w14:textId="77777777" w:rsidR="009F5B9E" w:rsidRDefault="009F5B9E" w:rsidP="009F5B9E">
      <w:r>
        <w:t>Comments on the FL proposal</w:t>
      </w:r>
    </w:p>
    <w:tbl>
      <w:tblPr>
        <w:tblStyle w:val="afa"/>
        <w:tblW w:w="9918" w:type="dxa"/>
        <w:tblLook w:val="04A0" w:firstRow="1" w:lastRow="0" w:firstColumn="1" w:lastColumn="0" w:noHBand="0" w:noVBand="1"/>
      </w:tblPr>
      <w:tblGrid>
        <w:gridCol w:w="1366"/>
        <w:gridCol w:w="8552"/>
      </w:tblGrid>
      <w:tr w:rsidR="009F5B9E" w:rsidRPr="00590F3F" w14:paraId="2D631E2E" w14:textId="77777777" w:rsidTr="009F5B9E">
        <w:tc>
          <w:tcPr>
            <w:tcW w:w="1128" w:type="dxa"/>
            <w:shd w:val="clear" w:color="auto" w:fill="D9D9D9" w:themeFill="background1" w:themeFillShade="D9"/>
          </w:tcPr>
          <w:p w14:paraId="1117649E"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497BCC8D"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751C90" w:rsidRPr="008104BC" w14:paraId="1EA2F22E" w14:textId="77777777" w:rsidTr="009F5B9E">
        <w:tc>
          <w:tcPr>
            <w:tcW w:w="1128" w:type="dxa"/>
          </w:tcPr>
          <w:p w14:paraId="4E89A633" w14:textId="7B15FCBA" w:rsidR="00751C90" w:rsidRPr="008104BC" w:rsidRDefault="00751C90" w:rsidP="00751C90">
            <w:pPr>
              <w:pStyle w:val="a8"/>
              <w:rPr>
                <w:rFonts w:eastAsia="宋体" w:cs="Arial"/>
                <w:sz w:val="20"/>
                <w:szCs w:val="20"/>
                <w:lang w:val="en-GB"/>
              </w:rPr>
            </w:pPr>
            <w:r>
              <w:rPr>
                <w:rFonts w:eastAsia="宋体" w:cs="Arial"/>
                <w:sz w:val="20"/>
                <w:szCs w:val="20"/>
                <w:lang w:val="en-GB"/>
              </w:rPr>
              <w:t>MTK</w:t>
            </w:r>
          </w:p>
        </w:tc>
        <w:tc>
          <w:tcPr>
            <w:tcW w:w="8790" w:type="dxa"/>
          </w:tcPr>
          <w:p w14:paraId="11B9C40D" w14:textId="158D72E5" w:rsidR="00751C90" w:rsidRPr="008104BC" w:rsidRDefault="00751C90" w:rsidP="00751C90">
            <w:pPr>
              <w:pStyle w:val="a8"/>
              <w:jc w:val="left"/>
              <w:rPr>
                <w:rFonts w:cs="Arial"/>
                <w:sz w:val="20"/>
                <w:szCs w:val="20"/>
                <w:lang w:val="en-GB" w:eastAsia="zh-TW"/>
              </w:rPr>
            </w:pPr>
            <w:r>
              <w:rPr>
                <w:rFonts w:cs="Arial"/>
                <w:sz w:val="20"/>
                <w:szCs w:val="20"/>
                <w:lang w:val="en-GB" w:eastAsia="zh-TW"/>
              </w:rPr>
              <w:t>We are fine with the FL proposal.</w:t>
            </w:r>
          </w:p>
        </w:tc>
      </w:tr>
      <w:tr w:rsidR="00751C90" w:rsidRPr="008104BC" w14:paraId="7AC37A16" w14:textId="77777777" w:rsidTr="009F5B9E">
        <w:tc>
          <w:tcPr>
            <w:tcW w:w="1128" w:type="dxa"/>
          </w:tcPr>
          <w:p w14:paraId="70339DA9" w14:textId="1198EC72" w:rsidR="00751C90" w:rsidRDefault="00E30F88" w:rsidP="00751C90">
            <w:pPr>
              <w:pStyle w:val="a8"/>
              <w:rPr>
                <w:rFonts w:eastAsia="宋体" w:cs="Arial"/>
              </w:rPr>
            </w:pPr>
            <w:r>
              <w:rPr>
                <w:rFonts w:eastAsia="宋体" w:cs="Arial" w:hint="eastAsia"/>
              </w:rPr>
              <w:t>Z</w:t>
            </w:r>
            <w:r>
              <w:rPr>
                <w:rFonts w:eastAsia="宋体" w:cs="Arial"/>
              </w:rPr>
              <w:t>TE</w:t>
            </w:r>
          </w:p>
        </w:tc>
        <w:tc>
          <w:tcPr>
            <w:tcW w:w="8790" w:type="dxa"/>
          </w:tcPr>
          <w:p w14:paraId="0734418D" w14:textId="4A058102" w:rsidR="00751C90" w:rsidRPr="00E30F88" w:rsidRDefault="00E30F88" w:rsidP="00751C90">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4B8D87CD" w14:textId="77777777" w:rsidTr="00E04ECF">
        <w:tc>
          <w:tcPr>
            <w:tcW w:w="1128" w:type="dxa"/>
          </w:tcPr>
          <w:p w14:paraId="50288FD9" w14:textId="77777777" w:rsidR="00E04ECF" w:rsidRDefault="00E04ECF" w:rsidP="00CC5B3B">
            <w:pPr>
              <w:pStyle w:val="a8"/>
              <w:rPr>
                <w:rFonts w:eastAsia="宋体" w:cs="Arial" w:hint="eastAsia"/>
              </w:rPr>
            </w:pPr>
            <w:r>
              <w:rPr>
                <w:rFonts w:eastAsia="宋体" w:cs="Arial" w:hint="eastAsia"/>
              </w:rPr>
              <w:t>Spreadtrum</w:t>
            </w:r>
          </w:p>
        </w:tc>
        <w:tc>
          <w:tcPr>
            <w:tcW w:w="8790" w:type="dxa"/>
          </w:tcPr>
          <w:p w14:paraId="3F2362AE" w14:textId="77777777" w:rsidR="00E04ECF" w:rsidRDefault="00E04ECF" w:rsidP="00CC5B3B">
            <w:pPr>
              <w:pStyle w:val="a8"/>
              <w:jc w:val="left"/>
              <w:rPr>
                <w:rFonts w:cs="Arial" w:hint="eastAsia"/>
              </w:rPr>
            </w:pPr>
            <w:r>
              <w:rPr>
                <w:rFonts w:eastAsiaTheme="minorEastAsia" w:cs="Arial"/>
              </w:rPr>
              <w:t>Fine with the FL proposal.</w:t>
            </w:r>
          </w:p>
        </w:tc>
      </w:tr>
    </w:tbl>
    <w:p w14:paraId="3D5E32F6" w14:textId="18A553FA" w:rsidR="007E5462" w:rsidRPr="00E04ECF" w:rsidRDefault="007E5462" w:rsidP="007E5462">
      <w:pPr>
        <w:pStyle w:val="a8"/>
        <w:jc w:val="left"/>
      </w:pPr>
    </w:p>
    <w:p w14:paraId="6263E275" w14:textId="1A5B587B" w:rsidR="009F5B9E" w:rsidRDefault="009F5B9E" w:rsidP="009F5B9E">
      <w:pPr>
        <w:pStyle w:val="21"/>
      </w:pPr>
      <w:r>
        <w:lastRenderedPageBreak/>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a8"/>
        <w:jc w:val="left"/>
        <w:rPr>
          <w:rFonts w:eastAsia="宋体" w:cs="Arial"/>
        </w:rPr>
      </w:pPr>
      <w:r w:rsidRPr="0050479B">
        <w:rPr>
          <w:rFonts w:eastAsia="宋体"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a8"/>
        <w:jc w:val="left"/>
        <w:rPr>
          <w:rFonts w:eastAsia="宋体" w:cs="Arial"/>
        </w:rPr>
      </w:pPr>
      <w:r>
        <w:rPr>
          <w:rFonts w:eastAsia="宋体" w:cs="Arial"/>
        </w:rPr>
        <w:t>Proposal:</w:t>
      </w:r>
      <w:r w:rsidRPr="0050479B">
        <w:rPr>
          <w:rFonts w:eastAsia="宋体" w:cs="Arial"/>
        </w:rPr>
        <w:t xml:space="preserve"> fix the issue by limiting the Rel-15 behavior to “same carrier scheduling”</w:t>
      </w:r>
      <w:r>
        <w:rPr>
          <w:rFonts w:eastAsia="宋体" w:cs="Arial"/>
        </w:rPr>
        <w:t xml:space="preserve"> with the TP below</w:t>
      </w:r>
    </w:p>
    <w:tbl>
      <w:tblPr>
        <w:tblStyle w:val="afa"/>
        <w:tblW w:w="0" w:type="auto"/>
        <w:tblLook w:val="04A0" w:firstRow="1" w:lastRow="0" w:firstColumn="1" w:lastColumn="0" w:noHBand="0" w:noVBand="1"/>
      </w:tblPr>
      <w:tblGrid>
        <w:gridCol w:w="9629"/>
      </w:tblGrid>
      <w:tr w:rsidR="007E5462" w14:paraId="067AC1F4" w14:textId="77777777" w:rsidTr="007E5462">
        <w:tc>
          <w:tcPr>
            <w:tcW w:w="9629" w:type="dxa"/>
          </w:tcPr>
          <w:p w14:paraId="1D7AD032" w14:textId="77777777" w:rsidR="007E5462" w:rsidRDefault="007E5462" w:rsidP="007E5462">
            <w:pPr>
              <w:keepNext/>
              <w:keepLines/>
              <w:spacing w:before="120"/>
              <w:ind w:left="1134" w:hanging="1134"/>
              <w:outlineLvl w:val="2"/>
              <w:rPr>
                <w:rFonts w:ascii="Arial" w:eastAsia="宋体" w:hAnsi="Arial"/>
                <w:color w:val="000000"/>
                <w:sz w:val="28"/>
                <w:lang w:val="x-none" w:eastAsia="en-US"/>
              </w:rPr>
            </w:pPr>
            <w:r>
              <w:rPr>
                <w:rFonts w:ascii="Arial" w:eastAsia="宋体" w:hAnsi="Arial"/>
                <w:color w:val="000000"/>
                <w:sz w:val="28"/>
                <w:lang w:val="x-none"/>
              </w:rPr>
              <w:t>5.1.5</w:t>
            </w:r>
            <w:r>
              <w:rPr>
                <w:rFonts w:ascii="Arial" w:eastAsia="宋体" w:hAnsi="Arial"/>
                <w:color w:val="000000"/>
                <w:sz w:val="28"/>
                <w:lang w:val="x-none"/>
              </w:rPr>
              <w:tab/>
              <w:t>Antenna ports quasi co-location</w:t>
            </w:r>
          </w:p>
          <w:p w14:paraId="0B91E1A3" w14:textId="77777777" w:rsidR="007E5462" w:rsidRDefault="007E5462" w:rsidP="007E5462">
            <w:pPr>
              <w:rPr>
                <w:rFonts w:eastAsia="PMingLiU"/>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宋体"/>
                <w:color w:val="000000"/>
                <w:sz w:val="20"/>
                <w:szCs w:val="20"/>
                <w:lang w:val="en-GB" w:eastAsia="en-US"/>
              </w:rPr>
            </w:pPr>
            <w:r w:rsidRPr="007E5462">
              <w:rPr>
                <w:rFonts w:eastAsia="宋体"/>
                <w:color w:val="000000"/>
                <w:lang w:val="en-GB"/>
              </w:rPr>
              <w:t xml:space="preserve">If a UE is configured with the higher layer parameter </w:t>
            </w:r>
            <w:r w:rsidRPr="007E5462">
              <w:rPr>
                <w:rFonts w:eastAsia="宋体"/>
                <w:i/>
                <w:color w:val="000000"/>
                <w:lang w:val="en-GB"/>
              </w:rPr>
              <w:t xml:space="preserve">tci-PresentInDCI </w:t>
            </w:r>
            <w:r w:rsidRPr="007E5462">
              <w:rPr>
                <w:rFonts w:eastAsia="宋体"/>
                <w:color w:val="000000"/>
                <w:lang w:val="en-GB"/>
              </w:rPr>
              <w:t>that is set as 'enabled'</w:t>
            </w:r>
            <w:r w:rsidRPr="007E5462">
              <w:rPr>
                <w:rFonts w:eastAsia="宋体"/>
                <w:i/>
                <w:color w:val="000000"/>
                <w:lang w:val="en-GB"/>
              </w:rPr>
              <w:t xml:space="preserve"> </w:t>
            </w:r>
            <w:r w:rsidRPr="007E5462">
              <w:rPr>
                <w:rFonts w:eastAsia="宋体"/>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宋体"/>
                <w:i/>
                <w:color w:val="000000"/>
                <w:lang w:val="en-GB"/>
              </w:rPr>
              <w:t>tci-PresentInDCI</w:t>
            </w:r>
            <w:r w:rsidRPr="007E5462">
              <w:rPr>
                <w:rFonts w:eastAsia="宋体"/>
                <w:i/>
                <w:lang w:val="en-GB"/>
              </w:rPr>
              <w:t>-ForFormat1_2</w:t>
            </w:r>
            <w:r w:rsidRPr="007E5462">
              <w:rPr>
                <w:rFonts w:eastAsia="宋体"/>
                <w:i/>
                <w:color w:val="000000"/>
                <w:lang w:val="en-GB"/>
              </w:rPr>
              <w:t xml:space="preserve"> </w:t>
            </w:r>
            <w:r w:rsidRPr="007E5462">
              <w:rPr>
                <w:rFonts w:eastAsia="宋体"/>
                <w:color w:val="000000"/>
                <w:lang w:val="en-GB"/>
              </w:rPr>
              <w:t xml:space="preserve">for the CORESET scheduling the PDSCH, the UE assumes that the TCI field with a DCI field size indicated by </w:t>
            </w:r>
            <w:r w:rsidRPr="007E5462">
              <w:rPr>
                <w:rFonts w:eastAsia="宋体"/>
                <w:i/>
                <w:color w:val="000000"/>
                <w:lang w:val="en-GB"/>
              </w:rPr>
              <w:t>tci-PresentInDCI</w:t>
            </w:r>
            <w:r w:rsidRPr="007E5462">
              <w:rPr>
                <w:rFonts w:eastAsia="宋体"/>
                <w:i/>
                <w:lang w:val="en-GB"/>
              </w:rPr>
              <w:t>-ForFormat1_2</w:t>
            </w:r>
            <w:r w:rsidRPr="007E5462">
              <w:rPr>
                <w:rFonts w:eastAsia="宋体"/>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4" w:author="ASUSTeK" w:date="2020-08-06T16:08:00Z">
              <w:r w:rsidRPr="007E5462">
                <w:rPr>
                  <w:rFonts w:eastAsia="宋体"/>
                  <w:color w:val="000000"/>
                  <w:lang w:val="en-GB"/>
                </w:rPr>
                <w:t xml:space="preserve">of a serving cell </w:t>
              </w:r>
            </w:ins>
            <w:r w:rsidRPr="007E5462">
              <w:rPr>
                <w:rFonts w:eastAsia="宋体"/>
                <w:color w:val="000000"/>
                <w:lang w:val="en-GB"/>
              </w:rPr>
              <w:t xml:space="preserve">is equal to or greater than a threshold </w:t>
            </w:r>
            <w:r w:rsidRPr="007E5462">
              <w:rPr>
                <w:rFonts w:eastAsia="宋体"/>
                <w:i/>
                <w:color w:val="000000"/>
                <w:lang w:val="en-GB"/>
              </w:rPr>
              <w:t xml:space="preserve">timeDurationForQCL </w:t>
            </w:r>
            <w:r w:rsidRPr="007E5462">
              <w:rPr>
                <w:rFonts w:eastAsia="宋体"/>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5" w:author="ASUSTeK" w:date="2020-08-06T16:15:00Z">
              <w:r w:rsidRPr="007E5462">
                <w:rPr>
                  <w:color w:val="000000"/>
                  <w:lang w:val="en-GB"/>
                </w:rPr>
                <w:t xml:space="preserve"> within the active BWP of the serving cell</w:t>
              </w:r>
            </w:ins>
            <w:r w:rsidRPr="007E5462">
              <w:rPr>
                <w:rFonts w:eastAsia="宋体"/>
                <w:color w:val="000000"/>
                <w:lang w:val="en-GB"/>
              </w:rPr>
              <w:t xml:space="preserve">. </w:t>
            </w:r>
          </w:p>
        </w:tc>
      </w:tr>
    </w:tbl>
    <w:p w14:paraId="185B1D17" w14:textId="77777777" w:rsidR="007E5462" w:rsidRPr="00FE26A3" w:rsidRDefault="007E5462" w:rsidP="007E5462">
      <w:pPr>
        <w:pStyle w:val="a8"/>
        <w:jc w:val="left"/>
        <w:rPr>
          <w:rFonts w:cs="Arial"/>
          <w:lang w:eastAsia="zh-TW"/>
        </w:rPr>
      </w:pPr>
    </w:p>
    <w:p w14:paraId="5CAF74FC" w14:textId="77777777" w:rsidR="009F5B9E" w:rsidRDefault="009F5B9E" w:rsidP="009F5B9E">
      <w:pPr>
        <w:spacing w:before="240"/>
      </w:pPr>
      <w:r w:rsidRPr="00BF7702">
        <w:rPr>
          <w:b/>
          <w:bCs/>
          <w:highlight w:val="yellow"/>
        </w:rPr>
        <w:t>FL proposal:</w:t>
      </w:r>
      <w:r w:rsidRPr="00BF7702">
        <w:rPr>
          <w:highlight w:val="yellow"/>
        </w:rPr>
        <w:t xml:space="preserve"> Discuss the proposal</w:t>
      </w:r>
    </w:p>
    <w:p w14:paraId="5227C428" w14:textId="77777777" w:rsidR="009F5B9E" w:rsidRDefault="009F5B9E" w:rsidP="009F5B9E">
      <w:r>
        <w:t>Comments on the FL proposal</w:t>
      </w:r>
    </w:p>
    <w:tbl>
      <w:tblPr>
        <w:tblStyle w:val="afa"/>
        <w:tblW w:w="9918" w:type="dxa"/>
        <w:tblLook w:val="04A0" w:firstRow="1" w:lastRow="0" w:firstColumn="1" w:lastColumn="0" w:noHBand="0" w:noVBand="1"/>
      </w:tblPr>
      <w:tblGrid>
        <w:gridCol w:w="1366"/>
        <w:gridCol w:w="8552"/>
      </w:tblGrid>
      <w:tr w:rsidR="009F5B9E" w:rsidRPr="00590F3F" w14:paraId="02A9F20A" w14:textId="77777777" w:rsidTr="00751C90">
        <w:tc>
          <w:tcPr>
            <w:tcW w:w="1128" w:type="dxa"/>
            <w:shd w:val="clear" w:color="auto" w:fill="D9D9D9" w:themeFill="background1" w:themeFillShade="D9"/>
          </w:tcPr>
          <w:p w14:paraId="5A9D1FDA"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58DBC88F"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751C90" w:rsidRPr="008104BC" w14:paraId="254437A2" w14:textId="77777777" w:rsidTr="00751C90">
        <w:tc>
          <w:tcPr>
            <w:tcW w:w="1128" w:type="dxa"/>
          </w:tcPr>
          <w:p w14:paraId="4CB7262D" w14:textId="7BE9C789" w:rsidR="00751C90" w:rsidRPr="008104BC" w:rsidRDefault="00751C90" w:rsidP="00751C90">
            <w:pPr>
              <w:pStyle w:val="a8"/>
              <w:rPr>
                <w:rFonts w:eastAsia="宋体" w:cs="Arial"/>
                <w:sz w:val="20"/>
                <w:szCs w:val="20"/>
                <w:lang w:val="en-GB"/>
              </w:rPr>
            </w:pPr>
            <w:r>
              <w:rPr>
                <w:rFonts w:eastAsia="宋体" w:cs="Arial"/>
                <w:sz w:val="20"/>
                <w:szCs w:val="20"/>
                <w:lang w:val="en-GB"/>
              </w:rPr>
              <w:t>MTK</w:t>
            </w:r>
          </w:p>
        </w:tc>
        <w:tc>
          <w:tcPr>
            <w:tcW w:w="8790" w:type="dxa"/>
          </w:tcPr>
          <w:p w14:paraId="29405D33" w14:textId="5298D572" w:rsidR="00751C90" w:rsidRPr="008104BC" w:rsidRDefault="00751C90" w:rsidP="00751C90">
            <w:pPr>
              <w:pStyle w:val="a8"/>
              <w:jc w:val="left"/>
              <w:rPr>
                <w:rFonts w:cs="Arial"/>
                <w:sz w:val="20"/>
                <w:szCs w:val="20"/>
                <w:lang w:val="en-GB" w:eastAsia="zh-TW"/>
              </w:rPr>
            </w:pPr>
            <w:r>
              <w:rPr>
                <w:rFonts w:cs="Arial"/>
                <w:sz w:val="20"/>
                <w:szCs w:val="20"/>
                <w:lang w:val="en-GB" w:eastAsia="zh-TW"/>
              </w:rPr>
              <w:t>We are fine with the FL proposal.</w:t>
            </w:r>
          </w:p>
        </w:tc>
      </w:tr>
      <w:tr w:rsidR="00751C90" w:rsidRPr="008104BC" w14:paraId="0335A150" w14:textId="77777777" w:rsidTr="00751C90">
        <w:tc>
          <w:tcPr>
            <w:tcW w:w="1128" w:type="dxa"/>
          </w:tcPr>
          <w:p w14:paraId="540D3927" w14:textId="65E0B4AD" w:rsidR="00751C90" w:rsidRDefault="00E30F88" w:rsidP="00751C90">
            <w:pPr>
              <w:pStyle w:val="a8"/>
              <w:rPr>
                <w:rFonts w:eastAsia="宋体" w:cs="Arial"/>
              </w:rPr>
            </w:pPr>
            <w:r>
              <w:rPr>
                <w:rFonts w:eastAsia="宋体" w:cs="Arial" w:hint="eastAsia"/>
              </w:rPr>
              <w:t>Z</w:t>
            </w:r>
            <w:r>
              <w:rPr>
                <w:rFonts w:eastAsia="宋体" w:cs="Arial"/>
              </w:rPr>
              <w:t>TE</w:t>
            </w:r>
          </w:p>
        </w:tc>
        <w:tc>
          <w:tcPr>
            <w:tcW w:w="8790" w:type="dxa"/>
          </w:tcPr>
          <w:p w14:paraId="1A567E3D" w14:textId="4F7FA8D9" w:rsidR="00751C90" w:rsidRPr="00E30F88" w:rsidRDefault="00E30F88" w:rsidP="00751C90">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6E2528E1" w14:textId="77777777" w:rsidTr="00E04ECF">
        <w:tc>
          <w:tcPr>
            <w:tcW w:w="1128" w:type="dxa"/>
          </w:tcPr>
          <w:p w14:paraId="0F9F8E1B" w14:textId="77777777" w:rsidR="00E04ECF" w:rsidRDefault="00E04ECF" w:rsidP="00CC5B3B">
            <w:pPr>
              <w:pStyle w:val="a8"/>
              <w:rPr>
                <w:rFonts w:eastAsia="宋体" w:cs="Arial" w:hint="eastAsia"/>
              </w:rPr>
            </w:pPr>
            <w:r>
              <w:rPr>
                <w:rFonts w:eastAsia="宋体" w:cs="Arial" w:hint="eastAsia"/>
              </w:rPr>
              <w:t>Spreadtrum</w:t>
            </w:r>
          </w:p>
        </w:tc>
        <w:tc>
          <w:tcPr>
            <w:tcW w:w="8790" w:type="dxa"/>
          </w:tcPr>
          <w:p w14:paraId="771B51FC" w14:textId="77777777" w:rsidR="00E04ECF" w:rsidRDefault="00E04ECF" w:rsidP="00CC5B3B">
            <w:pPr>
              <w:pStyle w:val="a8"/>
              <w:jc w:val="left"/>
              <w:rPr>
                <w:rFonts w:cs="Arial" w:hint="eastAsia"/>
              </w:rPr>
            </w:pPr>
            <w:r>
              <w:rPr>
                <w:rFonts w:eastAsiaTheme="minorEastAsia" w:cs="Arial"/>
              </w:rPr>
              <w:t>Fine with the FL proposal.</w:t>
            </w:r>
          </w:p>
        </w:tc>
      </w:tr>
    </w:tbl>
    <w:p w14:paraId="6B867021" w14:textId="77777777" w:rsidR="009C3237" w:rsidRPr="00E04ECF" w:rsidRDefault="009C3237" w:rsidP="0038295D">
      <w:bookmarkStart w:id="6" w:name="_GoBack"/>
      <w:bookmarkEnd w:id="6"/>
    </w:p>
    <w:p w14:paraId="0DE7B547" w14:textId="77777777" w:rsidR="0038295D" w:rsidRPr="00590F3F" w:rsidRDefault="0038295D" w:rsidP="0038295D">
      <w:pPr>
        <w:pStyle w:val="1"/>
        <w:rPr>
          <w:rStyle w:val="1Char"/>
        </w:rPr>
      </w:pPr>
      <w:r w:rsidRPr="00590F3F">
        <w:rPr>
          <w:rStyle w:val="1Char"/>
        </w:rPr>
        <w:t>References</w:t>
      </w:r>
    </w:p>
    <w:p w14:paraId="76BC47CD" w14:textId="7EB4FBDB" w:rsidR="004C101C" w:rsidRPr="004C101C" w:rsidRDefault="004C101C" w:rsidP="004C101C">
      <w:pPr>
        <w:pStyle w:val="af7"/>
        <w:numPr>
          <w:ilvl w:val="0"/>
          <w:numId w:val="36"/>
        </w:numPr>
        <w:rPr>
          <w:rFonts w:ascii="Arial" w:hAnsi="Arial" w:cs="Arial"/>
          <w:sz w:val="20"/>
          <w:szCs w:val="20"/>
        </w:rPr>
      </w:pPr>
      <w:bookmarkStart w:id="7"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Remaining Issues of SCell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r w:rsidRPr="004C101C">
        <w:rPr>
          <w:rFonts w:ascii="Arial" w:hAnsi="Arial" w:cs="Arial"/>
          <w:sz w:val="20"/>
          <w:szCs w:val="20"/>
        </w:rPr>
        <w:t>MediaTek Inc.</w:t>
      </w:r>
    </w:p>
    <w:p w14:paraId="65FA29F5" w14:textId="4BDF7B5C"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R1-2006123</w:t>
      </w:r>
      <w:r w:rsidRPr="004C101C">
        <w:rPr>
          <w:rFonts w:ascii="Arial" w:hAnsi="Arial" w:cs="Arial"/>
          <w:sz w:val="20"/>
          <w:szCs w:val="20"/>
        </w:rPr>
        <w:tab/>
        <w:t>On maintenance of Scell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p w14:paraId="4921C2D5" w14:textId="6BFB853B" w:rsidR="0038295D"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r w:rsidR="0038295D" w:rsidRPr="004C101C">
        <w:rPr>
          <w:rFonts w:ascii="Arial" w:hAnsi="Arial" w:cs="Arial"/>
        </w:rPr>
        <w:br w:type="page"/>
      </w:r>
    </w:p>
    <w:bookmarkEnd w:id="7"/>
    <w:p w14:paraId="2F3C43CA" w14:textId="489C18E2" w:rsidR="0038295D" w:rsidRDefault="0038295D" w:rsidP="0038295D">
      <w:pPr>
        <w:pStyle w:val="1"/>
        <w:rPr>
          <w:rStyle w:val="1Char"/>
        </w:rPr>
      </w:pPr>
      <w:r w:rsidRPr="00590F3F">
        <w:rPr>
          <w:rStyle w:val="1Char"/>
        </w:rPr>
        <w:lastRenderedPageBreak/>
        <w:t xml:space="preserve">Annex – Proposals </w:t>
      </w:r>
      <w:r w:rsidR="004C101C">
        <w:rPr>
          <w:rStyle w:val="1Char"/>
        </w:rPr>
        <w:t>related to cross-carrier scheduling with different SCS</w:t>
      </w:r>
    </w:p>
    <w:p w14:paraId="1BA756E2" w14:textId="6FF6240F" w:rsidR="00B33563" w:rsidRDefault="00B33563" w:rsidP="00B33563">
      <w:pPr>
        <w:pStyle w:val="21"/>
      </w:pPr>
      <w:r>
        <w:t>[1]</w:t>
      </w:r>
      <w:r>
        <w:tab/>
        <w:t>R1-2005360</w:t>
      </w:r>
      <w:r>
        <w:tab/>
        <w:t>Remaining issues on MR-DC, vivo</w:t>
      </w:r>
    </w:p>
    <w:p w14:paraId="488E4166" w14:textId="77777777" w:rsidR="00B33563" w:rsidRDefault="00B33563" w:rsidP="00B33563">
      <w:pPr>
        <w:pStyle w:val="a8"/>
        <w:spacing w:before="120"/>
        <w:rPr>
          <w:rFonts w:eastAsia="Batang"/>
          <w:lang w:eastAsia="x-none"/>
        </w:rPr>
      </w:pPr>
      <w:r>
        <w:rPr>
          <w:rFonts w:eastAsia="Batang"/>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afa"/>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宋体" w:hAnsi="Times" w:cs="Times"/>
                <w:noProof/>
                <w:sz w:val="20"/>
                <w:szCs w:val="20"/>
                <w:lang w:eastAsia="x-none"/>
              </w:rPr>
            </w:pPr>
            <w:r>
              <w:rPr>
                <w:rFonts w:ascii="Times" w:eastAsia="宋体"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宋体" w:hAnsi="Times" w:cs="Times"/>
                <w:noProof/>
                <w:sz w:val="20"/>
                <w:szCs w:val="20"/>
                <w:lang w:eastAsia="x-none"/>
              </w:rPr>
            </w:pPr>
            <w:r>
              <w:rPr>
                <w:rFonts w:ascii="Times" w:eastAsia="宋体"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Batang" w:hAnsi="Times" w:cs="Times"/>
                <w:noProof/>
                <w:sz w:val="20"/>
                <w:szCs w:val="20"/>
                <w:lang w:eastAsia="zh-CN"/>
              </w:rPr>
            </w:pPr>
            <w:r>
              <w:rPr>
                <w:rFonts w:ascii="Times" w:eastAsia="宋体" w:hAnsi="Times" w:cs="Times"/>
                <w:noProof/>
                <w:sz w:val="20"/>
                <w:szCs w:val="20"/>
                <w:highlight w:val="green"/>
                <w:lang w:eastAsia="zh-CN"/>
              </w:rPr>
              <w:t>Agreement:</w:t>
            </w:r>
          </w:p>
          <w:p w14:paraId="32F166E4" w14:textId="77777777" w:rsidR="00B33563" w:rsidRDefault="00B33563">
            <w:pPr>
              <w:rPr>
                <w:rFonts w:ascii="Times" w:eastAsia="宋体" w:hAnsi="Times" w:cs="Times"/>
                <w:noProof/>
                <w:sz w:val="20"/>
                <w:szCs w:val="20"/>
                <w:lang w:eastAsia="zh-CN"/>
              </w:rPr>
            </w:pPr>
            <w:r>
              <w:rPr>
                <w:rFonts w:ascii="Times" w:eastAsia="宋体"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宋体" w:hAnsi="Times" w:cs="Times"/>
                <w:noProof/>
                <w:sz w:val="20"/>
                <w:szCs w:val="20"/>
                <w:lang w:eastAsia="zh-CN"/>
              </w:rPr>
            </w:pPr>
            <w:r>
              <w:rPr>
                <w:rFonts w:ascii="Times" w:eastAsia="宋体"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宋体" w:hAnsi="Times" w:cs="Times"/>
                <w:noProof/>
                <w:color w:val="FF0000"/>
                <w:sz w:val="20"/>
                <w:szCs w:val="20"/>
                <w:u w:val="single"/>
                <w:lang w:eastAsia="zh-CN"/>
              </w:rPr>
              <w:t>if the UE indicated support for [NEW FG]</w:t>
            </w:r>
            <w:r>
              <w:rPr>
                <w:rFonts w:ascii="Times" w:eastAsia="宋体" w:hAnsi="Times" w:cs="Times"/>
                <w:noProof/>
                <w:color w:val="FF0000"/>
                <w:sz w:val="20"/>
                <w:szCs w:val="20"/>
                <w:lang w:eastAsia="zh-CN"/>
              </w:rPr>
              <w:t xml:space="preserve"> </w:t>
            </w:r>
            <w:r>
              <w:rPr>
                <w:rFonts w:ascii="Times" w:eastAsia="宋体"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宋体" w:hAnsi="Times" w:cs="Times"/>
                <w:noProof/>
                <w:sz w:val="20"/>
                <w:szCs w:val="20"/>
                <w:lang w:eastAsia="zh-CN"/>
              </w:rPr>
              <w:t xml:space="preserve">in ascending order of serving cell index, </w:t>
            </w:r>
            <w:r>
              <w:rPr>
                <w:rFonts w:ascii="Times" w:eastAsia="宋体" w:hAnsi="Times" w:cs="Times"/>
                <w:noProof/>
                <w:color w:val="FF0000"/>
                <w:sz w:val="20"/>
                <w:szCs w:val="20"/>
                <w:u w:val="single"/>
                <w:lang w:eastAsia="zh-CN"/>
              </w:rPr>
              <w:t xml:space="preserve">and </w:t>
            </w:r>
            <w:r>
              <w:rPr>
                <w:rFonts w:ascii="Times" w:eastAsia="宋体" w:hAnsi="Times" w:cs="Times"/>
                <w:noProof/>
                <w:sz w:val="20"/>
                <w:szCs w:val="20"/>
                <w:lang w:eastAsia="zh-CN"/>
              </w:rPr>
              <w:t>then in ascending order of PDCCH monitoring occasion index</w:t>
            </w:r>
            <w:r>
              <w:rPr>
                <w:rFonts w:ascii="Times" w:eastAsia="宋体" w:hAnsi="Times" w:cs="Times"/>
                <w:noProof/>
                <w:position w:val="-6"/>
                <w:lang w:val="en-US" w:eastAsia="zh-CN"/>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宋体" w:hAnsi="Times" w:cs="Times"/>
                <w:noProof/>
                <w:sz w:val="20"/>
                <w:szCs w:val="20"/>
                <w:lang w:eastAsia="zh-CN"/>
              </w:rPr>
              <w:t>, where</w:t>
            </w:r>
            <w:r>
              <w:rPr>
                <w:rFonts w:ascii="Times" w:eastAsia="宋体" w:hAnsi="Times" w:cs="Times"/>
                <w:noProof/>
                <w:position w:val="-6"/>
                <w:lang w:val="en-US" w:eastAsia="zh-CN"/>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宋体" w:hAnsi="Times" w:cs="Times"/>
                <w:noProof/>
                <w:sz w:val="20"/>
                <w:szCs w:val="20"/>
                <w:lang w:eastAsia="zh-CN"/>
              </w:rPr>
              <w:t>.</w:t>
            </w:r>
          </w:p>
          <w:p w14:paraId="432C2F86" w14:textId="77777777" w:rsidR="00B33563" w:rsidRDefault="00B33563">
            <w:pPr>
              <w:rPr>
                <w:rFonts w:ascii="Times" w:eastAsia="Batang" w:hAnsi="Times" w:cs="Times"/>
                <w:noProof/>
                <w:sz w:val="20"/>
                <w:szCs w:val="20"/>
                <w:lang w:eastAsia="x-none"/>
              </w:rPr>
            </w:pPr>
          </w:p>
        </w:tc>
      </w:tr>
    </w:tbl>
    <w:p w14:paraId="46959F93" w14:textId="77777777" w:rsidR="00B33563" w:rsidRDefault="00B33563" w:rsidP="00B33563">
      <w:pPr>
        <w:pStyle w:val="a8"/>
        <w:spacing w:before="120"/>
        <w:rPr>
          <w:rFonts w:ascii="Times" w:eastAsia="Batang" w:hAnsi="Times"/>
          <w:lang w:eastAsia="x-none"/>
        </w:rPr>
      </w:pPr>
      <w:r>
        <w:rPr>
          <w:rFonts w:eastAsia="Batang"/>
          <w:lang w:eastAsia="x-none"/>
        </w:rPr>
        <w:t xml:space="preserve">One example is shown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where a UE detects DCI-1 and DCI-2 in the same PDCCH monitoring occasion scheduling cell-1.</w:t>
      </w:r>
    </w:p>
    <w:p w14:paraId="7517A97C" w14:textId="31406D45" w:rsidR="00B33563" w:rsidRDefault="00B33563" w:rsidP="00B33563">
      <w:pPr>
        <w:pStyle w:val="a8"/>
        <w:spacing w:before="120"/>
        <w:rPr>
          <w:rFonts w:eastAsia="Batang"/>
          <w:lang w:eastAsia="x-none"/>
        </w:rPr>
      </w:pPr>
      <w:r>
        <w:rPr>
          <w:rFonts w:eastAsia="Batang"/>
          <w:noProof/>
          <w:lang w:val="en-US"/>
        </w:rPr>
        <w:lastRenderedPageBreak/>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a5"/>
        <w:jc w:val="center"/>
        <w:rPr>
          <w:rFonts w:eastAsia="Batang"/>
          <w:lang w:eastAsia="x-none"/>
        </w:rPr>
      </w:pPr>
      <w:bookmarkStart w:id="8" w:name="_Ref36824556"/>
      <w:bookmarkStart w:id="9"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8"/>
      <w:r>
        <w:t xml:space="preserve"> Examples of </w:t>
      </w:r>
      <w:bookmarkEnd w:id="9"/>
      <w:r>
        <w:t>more than one DCI in a monitoring occasion</w:t>
      </w:r>
    </w:p>
    <w:p w14:paraId="21293BE7" w14:textId="77777777" w:rsidR="00B33563" w:rsidRDefault="00B33563" w:rsidP="00B33563">
      <w:pPr>
        <w:pStyle w:val="a8"/>
        <w:spacing w:before="120"/>
        <w:rPr>
          <w:rFonts w:eastAsia="Batang"/>
          <w:lang w:eastAsia="x-none"/>
        </w:rPr>
      </w:pPr>
      <w:r>
        <w:rPr>
          <w:rFonts w:eastAsia="Batang"/>
          <w:lang w:eastAsia="x-none"/>
        </w:rPr>
        <w:t xml:space="preserve">In this case, if one of the scheduling DCIs triggering BWP switching, there may be some problem. For example, if the DCI-1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xml:space="preserve">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a8"/>
        <w:spacing w:before="120"/>
        <w:rPr>
          <w:rFonts w:eastAsia="Batang"/>
          <w:lang w:eastAsia="x-none"/>
        </w:rPr>
      </w:pPr>
      <w:r>
        <w:rPr>
          <w:rFonts w:eastAsia="Batang"/>
          <w:lang w:eastAsia="x-none"/>
        </w:rPr>
        <w:t xml:space="preserve">There are some approaches to avoid these problems, i.e., by introducing some scheduling restrictions. </w:t>
      </w:r>
    </w:p>
    <w:p w14:paraId="02713B26" w14:textId="77777777" w:rsidR="00B33563" w:rsidRDefault="00B33563" w:rsidP="00B33563">
      <w:pPr>
        <w:pStyle w:val="a8"/>
        <w:spacing w:before="120"/>
        <w:ind w:left="539" w:hanging="539"/>
        <w:rPr>
          <w:rFonts w:eastAsia="Batang"/>
          <w:lang w:eastAsia="x-none"/>
        </w:rPr>
      </w:pPr>
      <w:r>
        <w:rPr>
          <w:rFonts w:eastAsia="Batang"/>
          <w:lang w:eastAsia="x-none"/>
        </w:rPr>
        <w:t>Alt.1: BWP switching is only allowed for the last DCI (in increasing order of the time of the first symbol of the PDSCH) of the scheduled cell in a monitoring occasion. In this case, gNB can guarantee that the DCI size remains unchanged among DCIs for a scheduled cell.</w:t>
      </w:r>
    </w:p>
    <w:p w14:paraId="4CF6D5DA" w14:textId="77777777" w:rsidR="00B33563" w:rsidRDefault="00B33563" w:rsidP="00B33563">
      <w:pPr>
        <w:pStyle w:val="a8"/>
        <w:spacing w:before="120"/>
        <w:ind w:left="539" w:hanging="539"/>
        <w:rPr>
          <w:rFonts w:eastAsia="Batang"/>
          <w:lang w:eastAsia="x-none"/>
        </w:rPr>
      </w:pPr>
      <w:r>
        <w:rPr>
          <w:rFonts w:eastAsia="Batang"/>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a8"/>
        <w:spacing w:before="120"/>
        <w:rPr>
          <w:rFonts w:eastAsia="Batang"/>
          <w:lang w:eastAsia="x-none"/>
        </w:rPr>
      </w:pPr>
      <w:r>
        <w:rPr>
          <w:rFonts w:eastAsia="Batang"/>
          <w:lang w:eastAsia="x-none"/>
        </w:rPr>
        <w:t xml:space="preserve">We slightly prefer Alt.2 for its simplicity. </w:t>
      </w:r>
    </w:p>
    <w:p w14:paraId="53D9281C" w14:textId="77777777" w:rsidR="00B33563" w:rsidRDefault="00B33563" w:rsidP="00B33563">
      <w:pPr>
        <w:pStyle w:val="a5"/>
        <w:jc w:val="both"/>
        <w:rPr>
          <w:rFonts w:eastAsia="Batang"/>
          <w:lang w:eastAsia="x-none"/>
        </w:rPr>
      </w:pPr>
      <w:bookmarkStart w:id="10"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0"/>
    </w:p>
    <w:p w14:paraId="4CE4AD90" w14:textId="77777777" w:rsidR="00B33563" w:rsidRDefault="00B33563" w:rsidP="00B33563">
      <w:pPr>
        <w:pStyle w:val="a8"/>
        <w:spacing w:before="120"/>
        <w:rPr>
          <w:rFonts w:eastAsia="Batang"/>
          <w:lang w:eastAsia="x-none"/>
        </w:rPr>
      </w:pPr>
      <w:r>
        <w:rPr>
          <w:rFonts w:eastAsia="Batang"/>
          <w:lang w:eastAsia="x-none"/>
        </w:rPr>
        <w:t>The associated TP is provided below:</w:t>
      </w:r>
    </w:p>
    <w:tbl>
      <w:tblPr>
        <w:tblStyle w:val="afa"/>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宋体" w:hAnsi="Arial"/>
                <w:szCs w:val="20"/>
                <w:lang w:val="en-GB" w:eastAsia="zh-CN"/>
              </w:rPr>
            </w:pPr>
            <w:bookmarkStart w:id="11" w:name="_Ref500250940"/>
            <w:bookmarkStart w:id="12" w:name="_Toc12021473"/>
            <w:bookmarkStart w:id="13" w:name="_Toc20311585"/>
            <w:bookmarkStart w:id="14" w:name="_Toc26719410"/>
            <w:bookmarkStart w:id="15" w:name="_Toc29894843"/>
            <w:bookmarkStart w:id="16" w:name="_Toc29899142"/>
            <w:bookmarkStart w:id="17" w:name="_Toc29899560"/>
            <w:bookmarkStart w:id="18" w:name="_Toc29917297"/>
            <w:bookmarkStart w:id="19" w:name="_Toc36498171"/>
            <w:bookmarkStart w:id="20" w:name="_Toc45699197"/>
            <w:r>
              <w:rPr>
                <w:rFonts w:ascii="Arial" w:eastAsia="宋体" w:hAnsi="Arial"/>
                <w:szCs w:val="20"/>
                <w:lang w:val="en-GB" w:eastAsia="zh-CN"/>
              </w:rPr>
              <w:lastRenderedPageBreak/>
              <w:t>9.1.3.1</w:t>
            </w:r>
            <w:r>
              <w:rPr>
                <w:rFonts w:ascii="Arial" w:eastAsia="宋体" w:hAnsi="Arial"/>
                <w:szCs w:val="20"/>
                <w:lang w:val="en-GB" w:eastAsia="zh-CN"/>
              </w:rPr>
              <w:tab/>
              <w:t xml:space="preserve">Type-2 HARQ-ACK codebook in </w:t>
            </w:r>
            <w:bookmarkEnd w:id="11"/>
            <w:r>
              <w:rPr>
                <w:rFonts w:ascii="Arial" w:eastAsia="宋体" w:hAnsi="Arial"/>
                <w:szCs w:val="20"/>
                <w:lang w:val="en-GB" w:eastAsia="zh-CN"/>
              </w:rPr>
              <w:t>physical uplink control channel</w:t>
            </w:r>
            <w:bookmarkEnd w:id="12"/>
            <w:bookmarkEnd w:id="13"/>
            <w:bookmarkEnd w:id="14"/>
            <w:bookmarkEnd w:id="15"/>
            <w:bookmarkEnd w:id="16"/>
            <w:bookmarkEnd w:id="17"/>
            <w:bookmarkEnd w:id="18"/>
            <w:bookmarkEnd w:id="19"/>
            <w:bookmarkEnd w:id="20"/>
          </w:p>
          <w:p w14:paraId="579B06F2" w14:textId="77777777" w:rsidR="00B33563" w:rsidRDefault="00B33563">
            <w:pPr>
              <w:rPr>
                <w:rFonts w:eastAsia="宋体"/>
                <w:sz w:val="20"/>
                <w:szCs w:val="20"/>
                <w:lang w:val="en-GB" w:eastAsia="zh-CN"/>
              </w:rPr>
            </w:pPr>
            <w:r>
              <w:rPr>
                <w:rFonts w:eastAsia="宋体"/>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宋体" w:hAnsi="Cambria Math"/>
                  <w:sz w:val="20"/>
                  <w:szCs w:val="20"/>
                  <w:lang w:val="en-GB" w:eastAsia="zh-CN"/>
                </w:rPr>
                <m:t>c</m:t>
              </m:r>
            </m:oMath>
            <w:r>
              <w:rPr>
                <w:rFonts w:eastAsia="宋体"/>
                <w:sz w:val="20"/>
                <w:szCs w:val="20"/>
                <w:lang w:val="en-GB" w:eastAsia="zh-CN"/>
              </w:rPr>
              <w:t xml:space="preserve">, as described in Clause 10.1, </w:t>
            </w:r>
            <w:r>
              <w:rPr>
                <w:rFonts w:eastAsia="宋体"/>
                <w:sz w:val="20"/>
                <w:szCs w:val="20"/>
                <w:lang w:eastAsia="zh-CN"/>
              </w:rPr>
              <w:t xml:space="preserve">and for which the UE transmits HARQ-ACK information in a same PUCCH in slot </w:t>
            </w:r>
            <m:oMath>
              <m:r>
                <w:rPr>
                  <w:rFonts w:ascii="Cambria Math" w:eastAsia="宋体" w:hAnsi="Cambria Math"/>
                  <w:sz w:val="20"/>
                  <w:szCs w:val="20"/>
                  <w:lang w:eastAsia="zh-CN"/>
                </w:rPr>
                <m:t>n</m:t>
              </m:r>
            </m:oMath>
            <w:r>
              <w:rPr>
                <w:rFonts w:eastAsia="宋体"/>
                <w:sz w:val="20"/>
                <w:szCs w:val="20"/>
                <w:lang w:val="en-GB" w:eastAsia="zh-CN"/>
              </w:rPr>
              <w:t xml:space="preserve"> </w:t>
            </w:r>
            <w:r>
              <w:rPr>
                <w:rFonts w:eastAsia="宋体"/>
                <w:sz w:val="20"/>
                <w:szCs w:val="20"/>
                <w:lang w:eastAsia="zh-CN"/>
              </w:rPr>
              <w:t>based on</w:t>
            </w:r>
          </w:p>
          <w:p w14:paraId="71664CF3" w14:textId="77777777" w:rsidR="00B33563" w:rsidRDefault="00B33563">
            <w:pPr>
              <w:ind w:left="568" w:hanging="284"/>
              <w:rPr>
                <w:rFonts w:eastAsia="宋体"/>
                <w:sz w:val="20"/>
                <w:szCs w:val="20"/>
                <w:lang w:val="x-none" w:eastAsia="zh-CN"/>
              </w:rPr>
            </w:pPr>
            <w:r>
              <w:rPr>
                <w:rFonts w:eastAsia="宋体" w:cs="Arial"/>
                <w:sz w:val="20"/>
                <w:szCs w:val="20"/>
                <w:lang w:val="x-none" w:eastAsia="zh-CN"/>
              </w:rPr>
              <w:t>-</w:t>
            </w:r>
            <w:r>
              <w:rPr>
                <w:rFonts w:eastAsia="宋体" w:cs="Arial"/>
                <w:sz w:val="20"/>
                <w:szCs w:val="20"/>
                <w:lang w:val="x-none" w:eastAsia="zh-CN"/>
              </w:rPr>
              <w:tab/>
            </w:r>
            <w:r>
              <w:rPr>
                <w:rFonts w:eastAsia="宋体"/>
                <w:sz w:val="20"/>
                <w:szCs w:val="20"/>
                <w:lang w:val="x-none" w:eastAsia="zh-CN"/>
              </w:rPr>
              <w:t xml:space="preserve">PDSCH-to-HARQ_feedback timing </w:t>
            </w:r>
            <w:r>
              <w:rPr>
                <w:rFonts w:eastAsia="宋体"/>
                <w:sz w:val="20"/>
                <w:szCs w:val="20"/>
                <w:lang w:eastAsia="zh-CN"/>
              </w:rPr>
              <w:t xml:space="preserve">indicator field </w:t>
            </w:r>
            <w:r>
              <w:rPr>
                <w:rFonts w:eastAsia="宋体"/>
                <w:sz w:val="20"/>
                <w:szCs w:val="20"/>
                <w:lang w:val="x-none" w:eastAsia="zh-CN"/>
              </w:rPr>
              <w:t xml:space="preserve">values </w:t>
            </w:r>
            <w:r>
              <w:rPr>
                <w:rFonts w:eastAsia="宋体"/>
                <w:sz w:val="20"/>
                <w:szCs w:val="20"/>
                <w:lang w:eastAsia="zh-CN"/>
              </w:rPr>
              <w:t xml:space="preserve">for PUCCH transmission with HARQ-ACK information in slot </w:t>
            </w:r>
            <m:oMath>
              <m:r>
                <w:rPr>
                  <w:rFonts w:ascii="Cambria Math" w:eastAsia="宋体" w:hAnsi="Cambria Math"/>
                  <w:sz w:val="20"/>
                  <w:szCs w:val="20"/>
                  <w:lang w:eastAsia="zh-CN"/>
                </w:rPr>
                <m:t>n</m:t>
              </m:r>
            </m:oMath>
            <w:r>
              <w:rPr>
                <w:rFonts w:eastAsia="宋体"/>
                <w:sz w:val="20"/>
                <w:szCs w:val="20"/>
                <w:lang w:eastAsia="zh-CN"/>
              </w:rPr>
              <w:t xml:space="preserve"> in response to PDSCH receptions or SPS PDSCH release</w:t>
            </w:r>
          </w:p>
          <w:p w14:paraId="7CA2FAB6" w14:textId="77777777" w:rsidR="00B33563" w:rsidRDefault="00B33563">
            <w:pPr>
              <w:ind w:left="568" w:hanging="284"/>
              <w:rPr>
                <w:rFonts w:eastAsia="宋体"/>
                <w:color w:val="000000"/>
                <w:sz w:val="20"/>
                <w:szCs w:val="20"/>
                <w:lang w:val="en-US" w:eastAsia="zh-CN"/>
              </w:rPr>
            </w:pPr>
            <w:r>
              <w:rPr>
                <w:rFonts w:eastAsia="宋体" w:cs="Arial"/>
                <w:sz w:val="20"/>
                <w:szCs w:val="20"/>
                <w:lang w:val="x-none" w:eastAsia="zh-CN"/>
              </w:rPr>
              <w:t>-</w:t>
            </w:r>
            <w:r>
              <w:rPr>
                <w:rFonts w:eastAsia="宋体" w:cs="Arial"/>
                <w:sz w:val="20"/>
                <w:szCs w:val="20"/>
                <w:lang w:val="x-none" w:eastAsia="zh-CN"/>
              </w:rPr>
              <w:tab/>
            </w:r>
            <w:r>
              <w:rPr>
                <w:rFonts w:eastAsia="宋体"/>
                <w:sz w:val="20"/>
                <w:szCs w:val="20"/>
                <w:lang w:eastAsia="zh-CN"/>
              </w:rPr>
              <w:t xml:space="preserve">slot offsets </w:t>
            </w:r>
            <m:oMath>
              <m:sSub>
                <m:sSubPr>
                  <m:ctrlPr>
                    <w:rPr>
                      <w:rFonts w:ascii="Cambria Math" w:hAnsi="Cambria Math"/>
                      <w:i/>
                      <w:lang w:eastAsia="zh-CN"/>
                    </w:rPr>
                  </m:ctrlPr>
                </m:sSubPr>
                <m:e>
                  <m:r>
                    <w:rPr>
                      <w:rFonts w:ascii="Cambria Math" w:eastAsia="宋体" w:hAnsi="Cambria Math"/>
                      <w:sz w:val="20"/>
                      <w:szCs w:val="20"/>
                      <w:lang w:eastAsia="zh-CN"/>
                    </w:rPr>
                    <m:t>K</m:t>
                  </m:r>
                </m:e>
                <m:sub>
                  <m:r>
                    <w:rPr>
                      <w:rFonts w:ascii="Cambria Math" w:eastAsia="宋体" w:hAnsi="Cambria Math"/>
                      <w:sz w:val="20"/>
                      <w:szCs w:val="20"/>
                      <w:lang w:eastAsia="zh-CN"/>
                    </w:rPr>
                    <m:t>0</m:t>
                  </m:r>
                </m:sub>
              </m:sSub>
            </m:oMath>
            <w:r>
              <w:rPr>
                <w:rFonts w:eastAsia="宋体"/>
                <w:sz w:val="20"/>
                <w:szCs w:val="20"/>
                <w:lang w:eastAsia="zh-CN"/>
              </w:rPr>
              <w:t xml:space="preserve"> </w:t>
            </w:r>
            <w:r>
              <w:rPr>
                <w:rFonts w:eastAsia="宋体"/>
                <w:sz w:val="20"/>
                <w:szCs w:val="20"/>
                <w:lang w:val="x-none" w:eastAsia="zh-CN"/>
              </w:rPr>
              <w:t>[6, TS 38.214</w:t>
            </w:r>
            <w:r>
              <w:rPr>
                <w:rFonts w:eastAsia="宋体"/>
                <w:sz w:val="20"/>
                <w:szCs w:val="20"/>
                <w:lang w:eastAsia="zh-CN"/>
              </w:rPr>
              <w:t xml:space="preserve">] </w:t>
            </w:r>
            <w:r>
              <w:rPr>
                <w:rFonts w:eastAsia="Yu Mincho"/>
                <w:sz w:val="20"/>
                <w:szCs w:val="20"/>
                <w:lang w:val="x-none" w:eastAsia="zh-CN"/>
              </w:rPr>
              <w:t>provided by time domain resource assignment fie</w:t>
            </w:r>
            <w:r>
              <w:rPr>
                <w:rFonts w:eastAsia="Yu Mincho"/>
                <w:sz w:val="20"/>
                <w:szCs w:val="20"/>
                <w:lang w:eastAsia="zh-CN"/>
              </w:rPr>
              <w:t>l</w:t>
            </w:r>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宋体"/>
                <w:color w:val="000000"/>
                <w:sz w:val="20"/>
                <w:szCs w:val="20"/>
                <w:lang w:eastAsia="zh-CN"/>
              </w:rPr>
              <w:t xml:space="preserve"> and by </w:t>
            </w:r>
            <w:r>
              <w:rPr>
                <w:rFonts w:eastAsia="宋体"/>
                <w:i/>
                <w:sz w:val="20"/>
                <w:szCs w:val="20"/>
                <w:lang w:val="x-none" w:eastAsia="zh-CN"/>
              </w:rPr>
              <w:t>pdsch-AggregationFactor</w:t>
            </w:r>
            <w:r>
              <w:rPr>
                <w:rFonts w:eastAsia="宋体"/>
                <w:iCs/>
                <w:sz w:val="20"/>
                <w:szCs w:val="20"/>
                <w:lang w:val="x-none" w:eastAsia="zh-CN"/>
              </w:rPr>
              <w:t xml:space="preserve"> or</w:t>
            </w:r>
            <w:r>
              <w:rPr>
                <w:rFonts w:eastAsia="宋体"/>
                <w:sz w:val="20"/>
                <w:szCs w:val="20"/>
                <w:lang w:val="x-none" w:eastAsia="zh-CN"/>
              </w:rPr>
              <w:t xml:space="preserve"> </w:t>
            </w:r>
            <w:r>
              <w:rPr>
                <w:rFonts w:eastAsia="宋体"/>
                <w:i/>
                <w:iCs/>
                <w:sz w:val="20"/>
                <w:szCs w:val="20"/>
                <w:lang w:val="x-none" w:eastAsia="zh-CN"/>
              </w:rPr>
              <w:t>RepNumR16</w:t>
            </w:r>
            <w:r>
              <w:rPr>
                <w:rFonts w:eastAsia="宋体"/>
                <w:sz w:val="20"/>
                <w:szCs w:val="20"/>
                <w:lang w:val="x-none" w:eastAsia="zh-CN"/>
              </w:rPr>
              <w:t>,</w:t>
            </w:r>
            <w:r>
              <w:rPr>
                <w:rFonts w:eastAsia="宋体"/>
                <w:sz w:val="20"/>
                <w:szCs w:val="20"/>
                <w:lang w:eastAsia="zh-CN"/>
              </w:rPr>
              <w:t xml:space="preserve"> when provided.</w:t>
            </w:r>
          </w:p>
          <w:p w14:paraId="137922D0" w14:textId="77777777" w:rsidR="00B33563" w:rsidRDefault="00B33563">
            <w:pPr>
              <w:rPr>
                <w:rFonts w:eastAsia="宋体"/>
                <w:sz w:val="20"/>
                <w:szCs w:val="20"/>
                <w:lang w:eastAsia="zh-CN"/>
              </w:rPr>
            </w:pPr>
            <w:r>
              <w:rPr>
                <w:rFonts w:eastAsia="宋体"/>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宋体"/>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宋体" w:hAnsi="Cambria Math"/>
                  <w:sz w:val="20"/>
                  <w:szCs w:val="20"/>
                  <w:lang w:val="en-GB" w:eastAsia="zh-CN"/>
                </w:rPr>
                <m:t>M</m:t>
              </m:r>
            </m:oMath>
            <w:r>
              <w:rPr>
                <w:rFonts w:eastAsia="宋体"/>
                <w:sz w:val="20"/>
                <w:szCs w:val="20"/>
                <w:lang w:val="en-GB" w:eastAsia="zh-CN"/>
              </w:rPr>
              <w:t xml:space="preserve"> of PDCCH monitoring occasions.</w:t>
            </w:r>
          </w:p>
          <w:p w14:paraId="2939416F" w14:textId="77777777" w:rsidR="00B33563" w:rsidRDefault="00B33563">
            <w:pPr>
              <w:rPr>
                <w:rFonts w:eastAsia="Batang"/>
                <w:sz w:val="24"/>
                <w:szCs w:val="20"/>
                <w:lang w:eastAsia="x-none"/>
              </w:rPr>
            </w:pPr>
            <w:r>
              <w:rPr>
                <w:rFonts w:eastAsia="宋体"/>
                <w:sz w:val="20"/>
                <w:szCs w:val="20"/>
                <w:lang w:val="en-GB" w:eastAsia="zh-CN"/>
              </w:rPr>
              <w:t>A</w:t>
            </w:r>
            <w:r>
              <w:rPr>
                <w:rFonts w:eastAsia="宋体"/>
                <w:sz w:val="20"/>
                <w:szCs w:val="20"/>
                <w:lang w:eastAsia="zh-CN"/>
              </w:rPr>
              <w:t xml:space="preserve"> value of the counter </w:t>
            </w:r>
            <w:r>
              <w:rPr>
                <w:rFonts w:eastAsia="宋体"/>
                <w:sz w:val="20"/>
                <w:szCs w:val="20"/>
                <w:lang w:val="en-GB" w:eastAsia="zh-CN"/>
              </w:rPr>
              <w:t>downlink assignment indicator (DAI)</w:t>
            </w:r>
            <w:r>
              <w:rPr>
                <w:rFonts w:eastAsia="宋体"/>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宋体" w:cs="Arial"/>
                <w:sz w:val="20"/>
                <w:szCs w:val="20"/>
                <w:lang w:val="en-GB" w:eastAsia="zh-CN"/>
              </w:rPr>
              <w:t>is present</w:t>
            </w:r>
            <w:r>
              <w:rPr>
                <w:rFonts w:eastAsia="宋体"/>
                <w:sz w:val="20"/>
                <w:szCs w:val="20"/>
                <w:lang w:eastAsia="zh-CN"/>
              </w:rPr>
              <w:t xml:space="preserve"> up to</w:t>
            </w:r>
            <w:r>
              <w:rPr>
                <w:rFonts w:eastAsia="宋体"/>
                <w:sz w:val="20"/>
                <w:szCs w:val="20"/>
                <w:lang w:val="en-GB" w:eastAsia="zh-CN"/>
              </w:rPr>
              <w:t xml:space="preserve"> the current serving cell and current PDCCH monitoring occasion, first </w:t>
            </w:r>
            <w:r>
              <w:rPr>
                <w:rFonts w:eastAsia="宋体" w:cs="Times"/>
                <w:sz w:val="20"/>
                <w:szCs w:val="20"/>
                <w:lang w:val="en-GB" w:eastAsia="zh-CN"/>
              </w:rPr>
              <w:t xml:space="preserve">if the UE indicates support for </w:t>
            </w:r>
            <w:r>
              <w:rPr>
                <w:rFonts w:eastAsia="宋体" w:cs="Times"/>
                <w:i/>
                <w:iCs/>
                <w:sz w:val="20"/>
                <w:szCs w:val="20"/>
                <w:lang w:val="en-GB" w:eastAsia="zh-CN"/>
              </w:rPr>
              <w:t>PDSCH-Number-perMOperCell</w:t>
            </w:r>
            <w:r>
              <w:rPr>
                <w:rFonts w:eastAsia="宋体" w:cs="Times"/>
                <w:sz w:val="20"/>
                <w:szCs w:val="20"/>
                <w:lang w:val="en-GB" w:eastAsia="zh-CN"/>
              </w:rPr>
              <w:t xml:space="preserve"> in increasing order of the PDSCH reception starting time for the same {serving cell, PDCCH monitoring occasion} pair, second</w:t>
            </w:r>
            <w:r>
              <w:rPr>
                <w:rFonts w:eastAsia="宋体" w:cs="Times"/>
                <w:sz w:val="20"/>
                <w:szCs w:val="20"/>
                <w:u w:val="single"/>
                <w:lang w:val="en-GB" w:eastAsia="zh-CN"/>
              </w:rPr>
              <w:t xml:space="preserve"> </w:t>
            </w:r>
            <w:r>
              <w:rPr>
                <w:rFonts w:eastAsia="宋体"/>
                <w:sz w:val="20"/>
                <w:szCs w:val="20"/>
                <w:lang w:val="en-GB" w:eastAsia="zh-CN"/>
              </w:rPr>
              <w:t xml:space="preserve">in ascending order of serving cell index, and then in ascending order of PDCCH monitoring occasion index </w:t>
            </w:r>
            <m:oMath>
              <m:r>
                <w:rPr>
                  <w:rFonts w:ascii="Cambria Math" w:eastAsia="宋体" w:hAnsi="Cambria Math"/>
                  <w:sz w:val="20"/>
                  <w:szCs w:val="20"/>
                  <w:lang w:val="en-GB" w:eastAsia="zh-CN"/>
                </w:rPr>
                <m:t>m</m:t>
              </m:r>
            </m:oMath>
            <w:r>
              <w:rPr>
                <w:rFonts w:eastAsia="宋体"/>
                <w:sz w:val="20"/>
                <w:szCs w:val="20"/>
                <w:lang w:val="en-GB" w:eastAsia="zh-CN"/>
              </w:rPr>
              <w:t xml:space="preserve">, where </w:t>
            </w:r>
            <m:oMath>
              <m:r>
                <w:rPr>
                  <w:rFonts w:ascii="Cambria Math" w:eastAsia="宋体" w:hAnsi="Cambria Math"/>
                  <w:sz w:val="20"/>
                  <w:szCs w:val="20"/>
                  <w:lang w:val="en-GB" w:eastAsia="zh-CN"/>
                </w:rPr>
                <m:t>m</m:t>
              </m:r>
            </m:oMath>
            <w:r>
              <w:rPr>
                <w:rFonts w:eastAsia="宋体"/>
                <w:noProof/>
                <w:position w:val="-6"/>
                <w:sz w:val="20"/>
                <w:szCs w:val="20"/>
                <w:lang w:val="en-GB" w:eastAsia="zh-CN"/>
              </w:rPr>
              <w:t xml:space="preserve"> </w:t>
            </w:r>
            <m:oMath>
              <m:r>
                <w:rPr>
                  <w:rFonts w:ascii="Cambria Math" w:eastAsia="宋体" w:hAnsi="Cambria Math"/>
                  <w:sz w:val="20"/>
                  <w:szCs w:val="20"/>
                  <w:lang w:val="en-GB" w:eastAsia="zh-CN"/>
                </w:rPr>
                <m:t>0≤m&lt;M</m:t>
              </m:r>
            </m:oMath>
            <w:r>
              <w:rPr>
                <w:rFonts w:eastAsia="宋体"/>
                <w:sz w:val="20"/>
                <w:szCs w:val="20"/>
                <w:lang w:val="en-GB" w:eastAsia="zh-CN"/>
              </w:rPr>
              <w:t xml:space="preserve">. If, for an active DL BWP of a serving cell, the UE is not provided </w:t>
            </w:r>
            <w:r>
              <w:rPr>
                <w:rFonts w:eastAsia="宋体"/>
                <w:i/>
                <w:sz w:val="20"/>
                <w:szCs w:val="20"/>
                <w:lang w:val="en-GB" w:eastAsia="zh-CN"/>
              </w:rPr>
              <w:t>CORESETPoolIndex</w:t>
            </w:r>
            <w:r>
              <w:rPr>
                <w:rFonts w:eastAsia="宋体"/>
                <w:sz w:val="20"/>
                <w:szCs w:val="20"/>
                <w:lang w:val="en-GB" w:eastAsia="zh-CN"/>
              </w:rPr>
              <w:t xml:space="preserve"> or is provided </w:t>
            </w:r>
            <w:r>
              <w:rPr>
                <w:rFonts w:eastAsia="宋体"/>
                <w:i/>
                <w:sz w:val="20"/>
                <w:szCs w:val="20"/>
                <w:lang w:val="en-GB" w:eastAsia="zh-CN"/>
              </w:rPr>
              <w:t>CORESETPoolIndex</w:t>
            </w:r>
            <w:r>
              <w:rPr>
                <w:rFonts w:eastAsia="宋体"/>
                <w:sz w:val="20"/>
                <w:szCs w:val="20"/>
                <w:lang w:val="en-GB" w:eastAsia="zh-CN"/>
              </w:rPr>
              <w:t xml:space="preserve"> with value 0 for one or more first CORESETs and is provided </w:t>
            </w:r>
            <w:r>
              <w:rPr>
                <w:rFonts w:eastAsia="宋体"/>
                <w:i/>
                <w:sz w:val="20"/>
                <w:szCs w:val="20"/>
                <w:lang w:val="en-GB" w:eastAsia="zh-CN"/>
              </w:rPr>
              <w:t>CORESETPoolIndex</w:t>
            </w:r>
            <w:r>
              <w:rPr>
                <w:rFonts w:eastAsia="宋体"/>
                <w:sz w:val="20"/>
                <w:szCs w:val="20"/>
                <w:lang w:val="en-GB" w:eastAsia="zh-CN"/>
              </w:rPr>
              <w:t xml:space="preserve"> with value 1 for one or more second CORESETs, and is provided </w:t>
            </w:r>
            <w:r>
              <w:rPr>
                <w:rFonts w:eastAsia="宋体"/>
                <w:i/>
                <w:sz w:val="20"/>
                <w:szCs w:val="20"/>
                <w:lang w:val="en-GB" w:eastAsia="zh-CN"/>
              </w:rPr>
              <w:t>ACKNACKFeedbackMode = JointFeedback</w:t>
            </w:r>
            <w:r>
              <w:rPr>
                <w:rFonts w:eastAsia="宋体"/>
                <w:sz w:val="20"/>
                <w:szCs w:val="20"/>
                <w:lang w:val="en-GB" w:eastAsia="zh-CN"/>
              </w:rPr>
              <w:t xml:space="preserve">, the value of the counter DAI is in the order of the first CORESETs and then the second CORESETs for a same serving cell index and a same PDCCH monitoring occasion index. </w:t>
            </w:r>
            <w:r>
              <w:rPr>
                <w:rFonts w:eastAsia="宋体"/>
                <w:color w:val="FF0000"/>
                <w:sz w:val="20"/>
                <w:szCs w:val="20"/>
                <w:u w:val="single"/>
                <w:lang w:val="en-GB" w:eastAsia="zh-CN"/>
              </w:rPr>
              <w:t xml:space="preserve">If a UE indicates support of </w:t>
            </w:r>
            <w:r>
              <w:rPr>
                <w:rFonts w:eastAsia="宋体"/>
                <w:i/>
                <w:color w:val="FF0000"/>
                <w:sz w:val="20"/>
                <w:szCs w:val="20"/>
                <w:u w:val="single"/>
                <w:lang w:val="en-GB" w:eastAsia="zh-CN"/>
              </w:rPr>
              <w:t>PDSCH-Number-perMOperCell</w:t>
            </w:r>
            <w:r>
              <w:rPr>
                <w:rFonts w:eastAsia="宋体"/>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a5"/>
        <w:jc w:val="both"/>
        <w:rPr>
          <w:rFonts w:eastAsia="Batang"/>
          <w:lang w:eastAsia="x-none"/>
        </w:rPr>
      </w:pPr>
      <w:bookmarkStart w:id="21"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Agree the TP above for TS 38.213 to clarify the UE behavior.</w:t>
      </w:r>
      <w:bookmarkEnd w:id="21"/>
    </w:p>
    <w:p w14:paraId="50D23DED" w14:textId="77777777" w:rsidR="00B33563" w:rsidRPr="00B33563" w:rsidRDefault="00B33563" w:rsidP="00B33563"/>
    <w:p w14:paraId="7DBCCEF9" w14:textId="7CC14526" w:rsidR="00B33563" w:rsidRDefault="00B33563" w:rsidP="00B33563">
      <w:pPr>
        <w:pStyle w:val="21"/>
      </w:pPr>
      <w:r>
        <w:t>[2]</w:t>
      </w:r>
      <w:r>
        <w:tab/>
        <w:t>R1-2005421</w:t>
      </w:r>
      <w:r>
        <w:tab/>
        <w:t>Remaining Issues of SCell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afa"/>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Specification reflects that UE behavior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UE behavior of a UE supporting this capability is different from UE behavior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A value of the counter downlink assignment indicator (DAI) field in DCI formats denotes the accumulative number of {serving cell, PDCCH monitoring occasion}-pair(s) in which PDSCH reception(s) or SPS PDSCH release associated with the DCI formats is presentup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afa"/>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12"/>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PDSCH-to-HARQ_feedback timing indicator field, if present, or a value of </w:t>
            </w:r>
            <w:r>
              <w:rPr>
                <w:i/>
                <w:iCs/>
                <w:sz w:val="20"/>
                <w:szCs w:val="20"/>
              </w:rPr>
              <w:t>dl-DataToUL-ACK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22" w:author="ZTE" w:date="2020-07-31T15:20:00Z">
              <w:r>
                <w:rPr>
                  <w:sz w:val="20"/>
                  <w:szCs w:val="20"/>
                </w:rPr>
                <w:t>in increasing order of the PDSCH reception starting time for the same serving cell and PDCCH monitoring occasion</w:t>
              </w:r>
            </w:ins>
            <w:ins w:id="23" w:author="ZTE" w:date="2020-07-31T15:21:00Z">
              <w:r>
                <w:rPr>
                  <w:sz w:val="20"/>
                  <w:szCs w:val="20"/>
                </w:rPr>
                <w:t xml:space="preserve"> if the UE indicates support for </w:t>
              </w:r>
              <w:r>
                <w:rPr>
                  <w:i/>
                  <w:sz w:val="20"/>
                  <w:szCs w:val="20"/>
                </w:rPr>
                <w:t>PDSCH-Number-perMOperCell</w:t>
              </w:r>
              <w:r>
                <w:rPr>
                  <w:sz w:val="20"/>
                  <w:szCs w:val="20"/>
                </w:rPr>
                <w:t xml:space="preserve">, </w:t>
              </w:r>
            </w:ins>
            <w:ins w:id="24"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r>
              <w:rPr>
                <w:i/>
                <w:iCs/>
                <w:sz w:val="20"/>
                <w:szCs w:val="20"/>
              </w:rPr>
              <w:t>CORESETPoolIndex</w:t>
            </w:r>
            <w:r>
              <w:rPr>
                <w:sz w:val="20"/>
                <w:szCs w:val="20"/>
              </w:rPr>
              <w:t xml:space="preserve"> or is provided </w:t>
            </w:r>
            <w:r>
              <w:rPr>
                <w:i/>
                <w:iCs/>
                <w:sz w:val="20"/>
                <w:szCs w:val="20"/>
              </w:rPr>
              <w:t>CORESETPoolIndex</w:t>
            </w:r>
            <w:r>
              <w:rPr>
                <w:sz w:val="20"/>
                <w:szCs w:val="20"/>
              </w:rPr>
              <w:t xml:space="preserve"> with value 0 for one or more first CORESETs and is provided</w:t>
            </w:r>
            <w:r>
              <w:rPr>
                <w:i/>
                <w:iCs/>
                <w:sz w:val="20"/>
                <w:szCs w:val="20"/>
              </w:rPr>
              <w:t xml:space="preserve"> CORESETPoolIndex</w:t>
            </w:r>
            <w:r>
              <w:rPr>
                <w:sz w:val="20"/>
                <w:szCs w:val="20"/>
              </w:rPr>
              <w:t xml:space="preserve"> with value 1 for one or more second CORESETs on an active DL BWP of a serving cell, and with </w:t>
            </w:r>
            <w:r>
              <w:rPr>
                <w:i/>
                <w:iCs/>
                <w:sz w:val="20"/>
                <w:szCs w:val="20"/>
              </w:rPr>
              <w:t>ACKNACKFeedbackMode</w:t>
            </w:r>
            <w:r>
              <w:rPr>
                <w:sz w:val="20"/>
                <w:szCs w:val="20"/>
              </w:rPr>
              <w:t xml:space="preserve"> = </w:t>
            </w:r>
            <w:r>
              <w:rPr>
                <w:i/>
                <w:iCs/>
                <w:sz w:val="20"/>
                <w:szCs w:val="20"/>
              </w:rPr>
              <w:t>JointFeedback</w:t>
            </w:r>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21"/>
      </w:pPr>
      <w:r>
        <w:t>[3]</w:t>
      </w:r>
      <w:r>
        <w:tab/>
        <w:t>R1-2005626</w:t>
      </w:r>
      <w:r>
        <w:tab/>
        <w:t>Remaining issues on Rel-16 carrier aggregation, MediaTek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zh-CN"/>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zh-CN"/>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PMingLiU"/>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zh-CN"/>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21"/>
      </w:pPr>
      <w:r>
        <w:lastRenderedPageBreak/>
        <w:t>[4]</w:t>
      </w:r>
      <w:r>
        <w:tab/>
        <w:t>R1-2006123</w:t>
      </w:r>
      <w:r>
        <w:tab/>
        <w:t>On maintenance of Scell dormancy and CCS with different SCSs, Samsung</w:t>
      </w:r>
    </w:p>
    <w:p w14:paraId="4105F21A" w14:textId="77777777"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Malgun Gothic"/>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Batang"/>
          <w:lang w:val="en-US"/>
        </w:rPr>
      </w:pPr>
    </w:p>
    <w:p w14:paraId="121D4ECE" w14:textId="77777777" w:rsidR="00B33563" w:rsidRDefault="00B33563" w:rsidP="00B33563">
      <w:pPr>
        <w:rPr>
          <w:rFonts w:eastAsia="Malgun Gothic"/>
          <w:b/>
          <w:u w:val="single"/>
        </w:rPr>
      </w:pPr>
      <w:r>
        <w:rPr>
          <w:rFonts w:eastAsia="Malgun Gothic"/>
          <w:b/>
          <w:u w:val="single"/>
        </w:rPr>
        <w:t>Proposed TP4 for 38.214 Section 5.1</w:t>
      </w:r>
    </w:p>
    <w:tbl>
      <w:tblPr>
        <w:tblStyle w:val="afa"/>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Batang"/>
                <w:lang w:val="en-GB"/>
              </w:rPr>
            </w:pPr>
            <w:r w:rsidRPr="00B33563">
              <w:rPr>
                <w:rFonts w:eastAsia="宋体"/>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宋体"/>
                <w:color w:val="FF0000"/>
                <w:kern w:val="2"/>
                <w:lang w:val="en-GB" w:eastAsia="zh-CN"/>
              </w:rPr>
              <w:t xml:space="preserve">where the symbol duration is based on the smallest numerology between the scheduling PDCCH and the PDSCH, </w:t>
            </w:r>
            <w:r w:rsidRPr="00B33563">
              <w:rPr>
                <w:rFonts w:eastAsia="宋体"/>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21"/>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Batang"/>
          <w:bCs/>
          <w:sz w:val="22"/>
          <w:szCs w:val="22"/>
          <w:lang w:val="en-US" w:eastAsia="ko-KR"/>
        </w:rPr>
      </w:pPr>
      <w:r>
        <w:rPr>
          <w:rFonts w:eastAsia="Batang"/>
          <w:sz w:val="22"/>
          <w:szCs w:val="22"/>
          <w:lang w:eastAsia="ko-KR"/>
        </w:rPr>
        <w:t xml:space="preserve">For the support of cross-carrier scheduling with different </w:t>
      </w:r>
      <w:r>
        <w:rPr>
          <w:rFonts w:eastAsia="Batang"/>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Batang"/>
          <w:bCs/>
          <w:sz w:val="22"/>
          <w:szCs w:val="22"/>
          <w:lang w:val="en-US" w:eastAsia="ko-KR"/>
        </w:rPr>
      </w:pPr>
      <w:r>
        <w:rPr>
          <w:rFonts w:eastAsia="Batang"/>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Batang"/>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Batang"/>
          <w:sz w:val="22"/>
          <w:szCs w:val="22"/>
          <w:lang w:eastAsia="ko-KR"/>
        </w:rPr>
      </w:pPr>
    </w:p>
    <w:tbl>
      <w:tblPr>
        <w:tblStyle w:val="afa"/>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Batang"/>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PDSCH-Number-perMOperCell</w:t>
            </w:r>
            <w:r w:rsidRPr="00B33563">
              <w:rPr>
                <w:rFonts w:cs="Times"/>
                <w:lang w:val="en-GB" w:eastAsia="ko-KR"/>
              </w:rPr>
              <w:t xml:space="preserve"> in increasing order of the PDSCH reception starting time</w:t>
            </w:r>
            <w:ins w:id="25"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21"/>
      </w:pPr>
      <w:r>
        <w:lastRenderedPageBreak/>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宋体"/>
          <w:color w:val="000000"/>
          <w:lang w:eastAsia="en-US"/>
        </w:rPr>
      </w:pPr>
      <w:r>
        <w:rPr>
          <w:rFonts w:eastAsia="宋体"/>
          <w:color w:val="000000"/>
        </w:rPr>
        <w:t>If the PDCCH carrying the scheduling DCI is received on one component carrier, and the PDSCH scheduled by that DCI is on another component carrier and the UE is configured with [</w:t>
      </w:r>
      <w:r>
        <w:rPr>
          <w:rFonts w:eastAsia="宋体"/>
          <w:i/>
          <w:color w:val="000000"/>
        </w:rPr>
        <w:t>enableDefaultBeamForCCS</w:t>
      </w:r>
      <w:r>
        <w:rPr>
          <w:rFonts w:eastAsia="宋体"/>
          <w:color w:val="000000"/>
        </w:rPr>
        <w:t>]:</w:t>
      </w:r>
    </w:p>
    <w:p w14:paraId="7AF38810" w14:textId="77777777" w:rsidR="00B33563" w:rsidRDefault="00B33563" w:rsidP="00B33563">
      <w:pPr>
        <w:ind w:left="568" w:hanging="284"/>
        <w:rPr>
          <w:rFonts w:eastAsia="宋体"/>
          <w:lang w:val="x-none"/>
        </w:rPr>
      </w:pPr>
      <w:r>
        <w:rPr>
          <w:rFonts w:eastAsia="宋体"/>
          <w:lang w:val="x-none"/>
        </w:rPr>
        <w:t>-</w:t>
      </w:r>
      <w:r>
        <w:rPr>
          <w:rFonts w:eastAsia="宋体"/>
          <w:lang w:val="x-none"/>
        </w:rPr>
        <w:tab/>
        <w:t xml:space="preserve">The </w:t>
      </w:r>
      <w:r>
        <w:rPr>
          <w:rFonts w:eastAsia="宋体"/>
          <w:i/>
          <w:lang w:val="x-none"/>
        </w:rPr>
        <w:t>timeDurationForQCL</w:t>
      </w:r>
      <w:r>
        <w:rPr>
          <w:rFonts w:eastAsia="宋体"/>
          <w:lang w:val="x-none"/>
        </w:rPr>
        <w:t xml:space="preserve"> is determined based on the subcarrier spacing of the scheduled PDSC</w:t>
      </w:r>
      <w:r>
        <w:rPr>
          <w:rFonts w:eastAsia="宋体"/>
          <w:lang w:val="en-US"/>
        </w:rPr>
        <w:t>H</w:t>
      </w:r>
      <w:r>
        <w:rPr>
          <w:rFonts w:eastAsia="宋体"/>
          <w:lang w:val="x-none"/>
        </w:rPr>
        <w:t>. If µ</w:t>
      </w:r>
      <w:r>
        <w:rPr>
          <w:rFonts w:eastAsia="宋体"/>
          <w:vertAlign w:val="subscript"/>
          <w:lang w:val="x-none"/>
        </w:rPr>
        <w:t>PDCCH</w:t>
      </w:r>
      <w:r>
        <w:rPr>
          <w:rFonts w:eastAsia="宋体"/>
          <w:lang w:val="x-none"/>
        </w:rPr>
        <w:t xml:space="preserve"> &lt; µ</w:t>
      </w:r>
      <w:r>
        <w:rPr>
          <w:rFonts w:eastAsia="宋体"/>
          <w:vertAlign w:val="subscript"/>
          <w:lang w:val="x-none"/>
        </w:rPr>
        <w:t>PDSCH</w:t>
      </w:r>
      <w:r>
        <w:rPr>
          <w:rFonts w:eastAsia="宋体"/>
          <w:lang w:val="x-none"/>
        </w:rPr>
        <w:t xml:space="preserve"> an additional timing delay </w:t>
      </w:r>
      <w:r>
        <w:rPr>
          <w:rFonts w:eastAsia="宋体"/>
          <w:lang w:val="x-none"/>
        </w:rPr>
        <w:fldChar w:fldCharType="begin"/>
      </w:r>
      <w:r>
        <w:rPr>
          <w:rFonts w:eastAsia="宋体"/>
          <w:lang w:val="x-none"/>
        </w:rPr>
        <w:instrText xml:space="preserve"> QUOTE </w:instrText>
      </w:r>
      <w:r w:rsidR="00E04ECF">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8.25pt" equationxml="&lt;">
            <v:imagedata r:id="rId20" o:title="" chromakey="white"/>
          </v:shape>
        </w:pict>
      </w:r>
      <w:r>
        <w:rPr>
          <w:rFonts w:eastAsia="宋体"/>
          <w:lang w:val="x-none"/>
        </w:rPr>
        <w:instrText xml:space="preserve"> </w:instrText>
      </w:r>
      <w:r>
        <w:rPr>
          <w:rFonts w:eastAsia="宋体"/>
          <w:lang w:val="x-none"/>
        </w:rPr>
        <w:fldChar w:fldCharType="separate"/>
      </w:r>
      <w:r w:rsidR="00E04ECF">
        <w:rPr>
          <w:position w:val="-11"/>
        </w:rPr>
        <w:pict w14:anchorId="34250D26">
          <v:shape id="_x0000_i1026" type="#_x0000_t75" style="width:38.7pt;height:18.25pt" equationxml="&lt;">
            <v:imagedata r:id="rId20" o:title="" chromakey="white"/>
          </v:shape>
        </w:pict>
      </w:r>
      <w:r>
        <w:rPr>
          <w:rFonts w:eastAsia="宋体"/>
          <w:lang w:val="x-none"/>
        </w:rPr>
        <w:fldChar w:fldCharType="end"/>
      </w:r>
      <w:r>
        <w:rPr>
          <w:rFonts w:eastAsia="宋体"/>
          <w:lang w:val="x-none"/>
        </w:rPr>
        <w:t xml:space="preserve"> is added to the </w:t>
      </w:r>
      <w:r>
        <w:rPr>
          <w:rFonts w:eastAsia="宋体"/>
          <w:i/>
          <w:lang w:val="x-none"/>
        </w:rPr>
        <w:t>timeDurationForQCL</w:t>
      </w:r>
      <w:r>
        <w:rPr>
          <w:rFonts w:eastAsia="宋体"/>
          <w:lang w:val="x-none"/>
        </w:rPr>
        <w:t xml:space="preserve">, where </w:t>
      </w:r>
      <w:r>
        <w:rPr>
          <w:rFonts w:eastAsia="宋体"/>
          <w:i/>
          <w:lang w:val="x-none"/>
        </w:rPr>
        <w:t>d</w:t>
      </w:r>
      <w:r>
        <w:rPr>
          <w:rFonts w:eastAsia="宋体"/>
          <w:lang w:val="x-none"/>
        </w:rPr>
        <w:t xml:space="preserve"> is defined in </w:t>
      </w:r>
      <w:r>
        <w:rPr>
          <w:rFonts w:eastAsia="宋体"/>
          <w:color w:val="000000"/>
          <w:lang w:val="x-none"/>
        </w:rPr>
        <w:t xml:space="preserve">5.2.1.5.1a-1, otherwise </w:t>
      </w:r>
      <w:r>
        <w:rPr>
          <w:rFonts w:eastAsia="宋体"/>
          <w:i/>
          <w:color w:val="000000"/>
          <w:lang w:val="x-none"/>
        </w:rPr>
        <w:t>d</w:t>
      </w:r>
      <w:r>
        <w:rPr>
          <w:rFonts w:eastAsia="宋体"/>
          <w:color w:val="000000"/>
          <w:lang w:val="x-none"/>
        </w:rPr>
        <w:t xml:space="preserve"> is zero</w:t>
      </w:r>
      <w:r>
        <w:rPr>
          <w:rFonts w:eastAsia="宋体"/>
          <w:lang w:val="x-none"/>
        </w:rPr>
        <w:t>;</w:t>
      </w:r>
    </w:p>
    <w:p w14:paraId="6BB7D4C2" w14:textId="77777777" w:rsidR="00B33563" w:rsidRDefault="00B33563" w:rsidP="00B33563">
      <w:pPr>
        <w:ind w:left="568" w:hanging="284"/>
        <w:rPr>
          <w:rFonts w:eastAsia="宋体"/>
          <w:lang w:val="x-none"/>
        </w:rPr>
      </w:pPr>
      <w:r>
        <w:rPr>
          <w:rFonts w:eastAsia="宋体"/>
          <w:lang w:val="x-none"/>
        </w:rPr>
        <w:t>-</w:t>
      </w:r>
      <w:r>
        <w:rPr>
          <w:rFonts w:eastAsia="宋体"/>
          <w:lang w:val="x-none"/>
        </w:rPr>
        <w:tab/>
      </w:r>
      <w:r>
        <w:rPr>
          <w:rFonts w:eastAsia="宋体"/>
          <w:color w:val="000000"/>
          <w:highlight w:val="yellow"/>
          <w:lang w:val="x-none"/>
        </w:rPr>
        <w:t>For</w:t>
      </w:r>
      <w:r>
        <w:rPr>
          <w:rFonts w:eastAsia="宋体"/>
          <w:color w:val="000000"/>
          <w:lang w:val="x-none"/>
        </w:rPr>
        <w:t xml:space="preserve"> both </w:t>
      </w:r>
      <w:r>
        <w:rPr>
          <w:rFonts w:eastAsia="宋体"/>
          <w:color w:val="000000"/>
          <w:highlight w:val="yellow"/>
          <w:lang w:val="x-none"/>
        </w:rPr>
        <w:t>the case</w:t>
      </w:r>
      <w:r>
        <w:rPr>
          <w:rFonts w:eastAsia="宋体"/>
          <w:color w:val="000000"/>
          <w:lang w:val="x-none"/>
        </w:rPr>
        <w:t>s</w:t>
      </w:r>
      <w:r>
        <w:rPr>
          <w:rFonts w:eastAsia="宋体"/>
          <w:color w:val="000000"/>
          <w:lang w:val="en-US"/>
        </w:rPr>
        <w:t>,</w:t>
      </w:r>
      <w:r>
        <w:rPr>
          <w:rFonts w:eastAsia="宋体"/>
          <w:color w:val="000000"/>
          <w:lang w:val="x-none"/>
        </w:rPr>
        <w:t xml:space="preserve"> when the offset between the reception of the DL DCI and the corresponding PDSCH is less than the threshold </w:t>
      </w:r>
      <w:r>
        <w:rPr>
          <w:rFonts w:eastAsia="宋体"/>
          <w:i/>
          <w:color w:val="000000"/>
          <w:lang w:val="x-none"/>
        </w:rPr>
        <w:t>timeDurationForQCL</w:t>
      </w:r>
      <w:r>
        <w:rPr>
          <w:rFonts w:eastAsia="宋体"/>
          <w:i/>
          <w:color w:val="000000"/>
          <w:lang w:val="en-US"/>
        </w:rPr>
        <w:t>,</w:t>
      </w:r>
      <w:r>
        <w:rPr>
          <w:rFonts w:eastAsia="宋体"/>
          <w:color w:val="000000"/>
          <w:lang w:val="x-none"/>
        </w:rPr>
        <w:t xml:space="preserve"> and </w:t>
      </w:r>
      <w:r>
        <w:rPr>
          <w:rFonts w:eastAsia="宋体"/>
          <w:color w:val="000000"/>
          <w:highlight w:val="yellow"/>
          <w:lang w:val="x-none"/>
        </w:rPr>
        <w:t>when the DL DCI does not have the TCI field present</w:t>
      </w:r>
      <w:r>
        <w:rPr>
          <w:rFonts w:eastAsia="宋体"/>
          <w:color w:val="000000"/>
          <w:lang w:val="x-none"/>
        </w:rPr>
        <w:t xml:space="preserve">, </w:t>
      </w:r>
      <w:r>
        <w:rPr>
          <w:rFonts w:eastAsia="宋体"/>
          <w:color w:val="000000"/>
          <w:highlight w:val="yellow"/>
          <w:lang w:val="x-none"/>
        </w:rPr>
        <w:t>the UE obtains its QCL assumption for the scheduled PDSCH from the activated TCI state with the lowest ID applicable to PDSCH in the active BWP of the scheduled cell</w:t>
      </w:r>
      <w:r>
        <w:rPr>
          <w:rFonts w:eastAsia="宋体"/>
          <w:color w:val="000000"/>
          <w:lang w:val="x-none"/>
        </w:rPr>
        <w:t>.</w:t>
      </w:r>
    </w:p>
    <w:p w14:paraId="0669F590" w14:textId="77777777" w:rsidR="00B33563" w:rsidRDefault="00B33563" w:rsidP="00B33563">
      <w:pPr>
        <w:rPr>
          <w:rFonts w:eastAsia="PMingLiU"/>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r>
        <w:rPr>
          <w:i/>
          <w:color w:val="000000"/>
          <w:highlight w:val="yellow"/>
        </w:rPr>
        <w:t>timeDurationForQCL</w:t>
      </w:r>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宋体" w:hAnsi="Arial"/>
          <w:color w:val="000000"/>
          <w:sz w:val="28"/>
          <w:lang w:val="x-none" w:eastAsia="en-US"/>
        </w:rPr>
      </w:pPr>
      <w:bookmarkStart w:id="26" w:name="_Toc45810558"/>
      <w:bookmarkStart w:id="27" w:name="_Toc36645513"/>
      <w:bookmarkStart w:id="28" w:name="_Toc29674283"/>
      <w:bookmarkStart w:id="29" w:name="_Toc29673290"/>
      <w:bookmarkStart w:id="30" w:name="_Toc29673149"/>
      <w:bookmarkStart w:id="31" w:name="_Toc27299884"/>
      <w:bookmarkStart w:id="32" w:name="_Toc20317986"/>
      <w:bookmarkStart w:id="33" w:name="_Toc11352096"/>
      <w:r>
        <w:rPr>
          <w:rFonts w:ascii="Arial" w:eastAsia="宋体" w:hAnsi="Arial"/>
          <w:color w:val="000000"/>
          <w:sz w:val="28"/>
          <w:lang w:val="x-none"/>
        </w:rPr>
        <w:t>5.1.5</w:t>
      </w:r>
      <w:r>
        <w:rPr>
          <w:rFonts w:ascii="Arial" w:eastAsia="宋体" w:hAnsi="Arial"/>
          <w:color w:val="000000"/>
          <w:sz w:val="28"/>
          <w:lang w:val="x-none"/>
        </w:rPr>
        <w:tab/>
        <w:t>Antenna ports quasi co-location</w:t>
      </w:r>
      <w:bookmarkEnd w:id="26"/>
      <w:bookmarkEnd w:id="27"/>
      <w:bookmarkEnd w:id="28"/>
      <w:bookmarkEnd w:id="29"/>
      <w:bookmarkEnd w:id="30"/>
      <w:bookmarkEnd w:id="31"/>
      <w:bookmarkEnd w:id="32"/>
      <w:bookmarkEnd w:id="33"/>
    </w:p>
    <w:p w14:paraId="437C420B"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宋体"/>
          <w:color w:val="000000"/>
          <w:lang w:eastAsia="en-US"/>
        </w:rPr>
      </w:pPr>
      <w:r>
        <w:rPr>
          <w:rFonts w:eastAsia="宋体"/>
          <w:color w:val="000000"/>
        </w:rPr>
        <w:t xml:space="preserve">If a UE is configured with the higher layer parameter </w:t>
      </w:r>
      <w:r>
        <w:rPr>
          <w:rFonts w:eastAsia="宋体"/>
          <w:i/>
          <w:color w:val="000000"/>
        </w:rPr>
        <w:t xml:space="preserve">tci-PresentInDCI </w:t>
      </w:r>
      <w:r>
        <w:rPr>
          <w:rFonts w:eastAsia="宋体"/>
          <w:color w:val="000000"/>
        </w:rPr>
        <w:t>that is set as 'enabled'</w:t>
      </w:r>
      <w:r>
        <w:rPr>
          <w:rFonts w:eastAsia="宋体"/>
          <w:i/>
          <w:color w:val="000000"/>
        </w:rPr>
        <w:t xml:space="preserve"> </w:t>
      </w:r>
      <w:r>
        <w:rPr>
          <w:rFonts w:eastAsia="宋体"/>
          <w:color w:val="000000"/>
        </w:rPr>
        <w:t xml:space="preserve">for the CORESET scheduling the PDSCH, the UE assumes that the TCI field is present in the DCI format 1_1 of the PDCCH transmitted on the CORESET. If a UE is configured with the higher layer parameter </w:t>
      </w:r>
      <w:r>
        <w:rPr>
          <w:rFonts w:eastAsia="宋体"/>
          <w:i/>
          <w:color w:val="000000"/>
        </w:rPr>
        <w:t>tci-PresentInDCI</w:t>
      </w:r>
      <w:r>
        <w:rPr>
          <w:rFonts w:eastAsia="宋体"/>
          <w:i/>
        </w:rPr>
        <w:t>-ForFormat1_2</w:t>
      </w:r>
      <w:r>
        <w:rPr>
          <w:rFonts w:eastAsia="宋体"/>
          <w:i/>
          <w:color w:val="000000"/>
        </w:rPr>
        <w:t xml:space="preserve"> </w:t>
      </w:r>
      <w:r>
        <w:rPr>
          <w:rFonts w:eastAsia="宋体"/>
          <w:color w:val="000000"/>
        </w:rPr>
        <w:t xml:space="preserve">for the CORESET scheduling the PDSCH, the UE assumes that the TCI field with a DCI field size indicated by </w:t>
      </w:r>
      <w:r>
        <w:rPr>
          <w:rFonts w:eastAsia="宋体"/>
          <w:i/>
          <w:color w:val="000000"/>
        </w:rPr>
        <w:t>tci-PresentInDCI</w:t>
      </w:r>
      <w:r>
        <w:rPr>
          <w:rFonts w:eastAsia="宋体"/>
          <w:i/>
        </w:rPr>
        <w:t>-ForFormat1_2</w:t>
      </w:r>
      <w:r>
        <w:rPr>
          <w:rFonts w:eastAsia="宋体"/>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34" w:author="ASUSTeK" w:date="2020-08-06T16:08:00Z">
        <w:r>
          <w:rPr>
            <w:rFonts w:eastAsia="宋体"/>
            <w:color w:val="000000"/>
          </w:rPr>
          <w:t xml:space="preserve">of a serving cell </w:t>
        </w:r>
      </w:ins>
      <w:r>
        <w:rPr>
          <w:rFonts w:eastAsia="宋体"/>
          <w:color w:val="000000"/>
        </w:rPr>
        <w:t xml:space="preserve">is equal to or greater than a threshold </w:t>
      </w:r>
      <w:r>
        <w:rPr>
          <w:rFonts w:eastAsia="宋体"/>
          <w:i/>
          <w:color w:val="000000"/>
        </w:rPr>
        <w:t xml:space="preserve">timeDurationForQCL </w:t>
      </w:r>
      <w:r>
        <w:rPr>
          <w:rFonts w:eastAsia="宋体"/>
          <w:color w:val="000000"/>
        </w:rPr>
        <w:t xml:space="preserve">if applicable, where the threshold is based on reported UE capability [13, TS 38.306], for determining PDSCH antenna </w:t>
      </w:r>
      <w:r>
        <w:rPr>
          <w:rFonts w:eastAsia="宋体"/>
          <w:color w:val="000000"/>
        </w:rPr>
        <w:lastRenderedPageBreak/>
        <w:t>port quasi co-location, the UE assumes that the TCI state or the QCL assumption for the PDSCH is identical to the TCI state or QCL assumption whichever is applied for the CORESET used for the PDCCH transmission</w:t>
      </w:r>
      <w:ins w:id="35" w:author="ASUSTeK" w:date="2020-08-06T16:15:00Z">
        <w:r>
          <w:rPr>
            <w:color w:val="000000"/>
          </w:rPr>
          <w:t xml:space="preserve"> within the active BWP of the serving cell</w:t>
        </w:r>
      </w:ins>
      <w:r>
        <w:rPr>
          <w:rFonts w:eastAsia="宋体"/>
          <w:color w:val="000000"/>
        </w:rPr>
        <w:t xml:space="preserve">. </w:t>
      </w:r>
    </w:p>
    <w:p w14:paraId="0AE01796"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77777777" w:rsidR="00B33563" w:rsidRPr="00B33563" w:rsidRDefault="00B33563" w:rsidP="00B33563"/>
    <w:sectPr w:rsidR="00B33563" w:rsidRPr="00B33563"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56D2B" w14:textId="77777777" w:rsidR="00B214BB" w:rsidRDefault="00B214BB">
      <w:r>
        <w:separator/>
      </w:r>
    </w:p>
  </w:endnote>
  <w:endnote w:type="continuationSeparator" w:id="0">
    <w:p w14:paraId="75F2185C" w14:textId="77777777" w:rsidR="00B214BB" w:rsidRDefault="00B2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altName w:val="Times New Roman"/>
    <w:panose1 w:val="02020603050405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04ECF">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04ECF">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A4371" w14:textId="77777777" w:rsidR="00B214BB" w:rsidRDefault="00B214BB">
      <w:r>
        <w:separator/>
      </w:r>
    </w:p>
  </w:footnote>
  <w:footnote w:type="continuationSeparator" w:id="0">
    <w:p w14:paraId="3A1BBD1A" w14:textId="77777777" w:rsidR="00B214BB" w:rsidRDefault="00B21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9"/>
  </w:num>
  <w:num w:numId="4">
    <w:abstractNumId w:val="20"/>
  </w:num>
  <w:num w:numId="5">
    <w:abstractNumId w:val="11"/>
  </w:num>
  <w:num w:numId="6">
    <w:abstractNumId w:val="24"/>
  </w:num>
  <w:num w:numId="7">
    <w:abstractNumId w:val="31"/>
  </w:num>
  <w:num w:numId="8">
    <w:abstractNumId w:val="12"/>
  </w:num>
  <w:num w:numId="9">
    <w:abstractNumId w:val="9"/>
  </w:num>
  <w:num w:numId="10">
    <w:abstractNumId w:val="2"/>
  </w:num>
  <w:num w:numId="11">
    <w:abstractNumId w:val="1"/>
  </w:num>
  <w:num w:numId="12">
    <w:abstractNumId w:val="0"/>
  </w:num>
  <w:num w:numId="13">
    <w:abstractNumId w:val="28"/>
  </w:num>
  <w:num w:numId="14">
    <w:abstractNumId w:val="29"/>
  </w:num>
  <w:num w:numId="15">
    <w:abstractNumId w:val="22"/>
  </w:num>
  <w:num w:numId="16">
    <w:abstractNumId w:val="32"/>
  </w:num>
  <w:num w:numId="17">
    <w:abstractNumId w:val="7"/>
  </w:num>
  <w:num w:numId="18">
    <w:abstractNumId w:val="8"/>
  </w:num>
  <w:num w:numId="19">
    <w:abstractNumId w:val="5"/>
  </w:num>
  <w:num w:numId="20">
    <w:abstractNumId w:val="41"/>
  </w:num>
  <w:num w:numId="21">
    <w:abstractNumId w:val="14"/>
  </w:num>
  <w:num w:numId="22">
    <w:abstractNumId w:val="36"/>
  </w:num>
  <w:num w:numId="23">
    <w:abstractNumId w:val="25"/>
  </w:num>
  <w:num w:numId="24">
    <w:abstractNumId w:val="16"/>
  </w:num>
  <w:num w:numId="25">
    <w:abstractNumId w:val="34"/>
  </w:num>
  <w:num w:numId="26">
    <w:abstractNumId w:val="37"/>
  </w:num>
  <w:num w:numId="27">
    <w:abstractNumId w:val="43"/>
  </w:num>
  <w:num w:numId="28">
    <w:abstractNumId w:val="33"/>
  </w:num>
  <w:num w:numId="29">
    <w:abstractNumId w:val="30"/>
  </w:num>
  <w:num w:numId="30">
    <w:abstractNumId w:val="6"/>
  </w:num>
  <w:num w:numId="31">
    <w:abstractNumId w:val="15"/>
  </w:num>
  <w:num w:numId="32">
    <w:abstractNumId w:val="27"/>
  </w:num>
  <w:num w:numId="33">
    <w:abstractNumId w:val="39"/>
  </w:num>
  <w:num w:numId="34">
    <w:abstractNumId w:val="35"/>
  </w:num>
  <w:num w:numId="35">
    <w:abstractNumId w:val="38"/>
  </w:num>
  <w:num w:numId="36">
    <w:abstractNumId w:val="17"/>
  </w:num>
  <w:num w:numId="37">
    <w:abstractNumId w:val="42"/>
  </w:num>
  <w:num w:numId="38">
    <w:abstractNumId w:val="40"/>
  </w:num>
  <w:num w:numId="39">
    <w:abstractNumId w:val="21"/>
  </w:num>
  <w:num w:numId="40">
    <w:abstractNumId w:val="23"/>
  </w:num>
  <w:num w:numId="41">
    <w:abstractNumId w:val="3"/>
  </w:num>
  <w:num w:numId="42">
    <w:abstractNumId w:val="13"/>
  </w:num>
  <w:num w:numId="43">
    <w:abstractNumId w:val="10"/>
  </w:num>
  <w:num w:numId="44">
    <w:abstractNumId w:val="1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356A"/>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3F9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215"/>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44"/>
      </w:numPr>
      <w:overflowPunct/>
      <w:adjustRightInd/>
      <w:snapToGrid w:val="0"/>
      <w:spacing w:after="60"/>
      <w:textAlignment w:val="auto"/>
    </w:pPr>
    <w:rPr>
      <w:rFonts w:eastAsia="宋体"/>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1.png@01D63D7A.0E2DDF0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63D7A.0E2DDF0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B4A0B7-04FA-458E-87F2-0DCAE7E2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TotalTime>
  <Pages>13</Pages>
  <Words>4835</Words>
  <Characters>27561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32332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Spreadtrum</cp:lastModifiedBy>
  <cp:revision>2</cp:revision>
  <cp:lastPrinted>2008-01-31T07:09:00Z</cp:lastPrinted>
  <dcterms:created xsi:type="dcterms:W3CDTF">2020-08-13T00:38:00Z</dcterms:created>
  <dcterms:modified xsi:type="dcterms:W3CDTF">2020-08-13T00:38:00Z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