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CellMar>
          <w:left w:w="0" w:type="dxa"/>
          <w:right w:w="0" w:type="dxa"/>
        </w:tblCellMar>
        <w:tblLook w:val="04A0" w:firstRow="1" w:lastRow="0" w:firstColumn="1" w:lastColumn="0" w:noHBand="0" w:noVBand="1"/>
      </w:tblPr>
      <w:tblGrid>
        <w:gridCol w:w="988"/>
        <w:gridCol w:w="817"/>
        <w:gridCol w:w="951"/>
        <w:gridCol w:w="951"/>
        <w:gridCol w:w="951"/>
        <w:gridCol w:w="940"/>
        <w:gridCol w:w="951"/>
        <w:gridCol w:w="967"/>
        <w:gridCol w:w="967"/>
        <w:gridCol w:w="824"/>
      </w:tblGrid>
      <w:tr w:rsidR="006072A4" w:rsidRPr="00295069" w:rsidTr="00E63659">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11"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E63659">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E63659">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E63659">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E63659">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E63659">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r w:rsidR="008274DE" w:rsidTr="00E63659">
        <w:tc>
          <w:tcPr>
            <w:tcW w:w="994" w:type="dxa"/>
          </w:tcPr>
          <w:p w:rsidR="008274DE" w:rsidRDefault="008274DE">
            <w:pPr>
              <w:rPr>
                <w:sz w:val="20"/>
                <w:szCs w:val="20"/>
                <w:lang w:eastAsia="zh-CN"/>
              </w:rPr>
            </w:pPr>
            <w:r>
              <w:rPr>
                <w:sz w:val="20"/>
                <w:szCs w:val="20"/>
                <w:lang w:eastAsia="zh-CN"/>
              </w:rPr>
              <w:t>Intel</w:t>
            </w:r>
          </w:p>
        </w:tc>
        <w:tc>
          <w:tcPr>
            <w:tcW w:w="828"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Medium</w:t>
            </w:r>
          </w:p>
        </w:tc>
        <w:tc>
          <w:tcPr>
            <w:tcW w:w="962"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Low</w:t>
            </w:r>
          </w:p>
        </w:tc>
        <w:tc>
          <w:tcPr>
            <w:tcW w:w="962" w:type="dxa"/>
          </w:tcPr>
          <w:p w:rsidR="008274DE" w:rsidRDefault="008274DE">
            <w:pPr>
              <w:rPr>
                <w:lang w:eastAsia="zh-CN"/>
              </w:rPr>
            </w:pPr>
            <w:r>
              <w:rPr>
                <w:lang w:eastAsia="zh-CN"/>
              </w:rPr>
              <w:t>Medium</w:t>
            </w:r>
          </w:p>
        </w:tc>
        <w:tc>
          <w:tcPr>
            <w:tcW w:w="978" w:type="dxa"/>
          </w:tcPr>
          <w:p w:rsidR="008274DE" w:rsidRDefault="008274DE">
            <w:pPr>
              <w:rPr>
                <w:lang w:eastAsia="zh-CN"/>
              </w:rPr>
            </w:pPr>
            <w:r>
              <w:rPr>
                <w:lang w:eastAsia="zh-CN"/>
              </w:rPr>
              <w:t xml:space="preserve">High </w:t>
            </w:r>
          </w:p>
        </w:tc>
        <w:tc>
          <w:tcPr>
            <w:tcW w:w="978" w:type="dxa"/>
          </w:tcPr>
          <w:p w:rsidR="008274DE" w:rsidRDefault="008274DE">
            <w:pPr>
              <w:rPr>
                <w:lang w:eastAsia="zh-CN"/>
              </w:rPr>
            </w:pPr>
            <w:r>
              <w:rPr>
                <w:lang w:eastAsia="zh-CN"/>
              </w:rPr>
              <w:t>Medium</w:t>
            </w:r>
          </w:p>
        </w:tc>
        <w:tc>
          <w:tcPr>
            <w:tcW w:w="828" w:type="dxa"/>
          </w:tcPr>
          <w:p w:rsidR="008274DE" w:rsidRDefault="008274DE">
            <w:pPr>
              <w:rPr>
                <w:lang w:eastAsia="zh-CN"/>
              </w:rPr>
            </w:pPr>
            <w:r>
              <w:rPr>
                <w:lang w:eastAsia="zh-CN"/>
              </w:rPr>
              <w:t>High</w:t>
            </w:r>
          </w:p>
        </w:tc>
      </w:tr>
      <w:tr w:rsidR="00F601E4" w:rsidTr="00E63659">
        <w:tc>
          <w:tcPr>
            <w:tcW w:w="994"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28" w:type="dxa"/>
          </w:tcPr>
          <w:p w:rsidR="00F601E4" w:rsidRDefault="00F601E4" w:rsidP="00722994">
            <w:pPr>
              <w:rPr>
                <w:lang w:eastAsia="zh-CN"/>
              </w:rPr>
            </w:pPr>
            <w:r>
              <w:rPr>
                <w:rFonts w:hint="eastAsia"/>
                <w:lang w:eastAsia="zh-CN"/>
              </w:rPr>
              <w:t>High</w:t>
            </w:r>
          </w:p>
        </w:tc>
        <w:tc>
          <w:tcPr>
            <w:tcW w:w="962" w:type="dxa"/>
          </w:tcPr>
          <w:p w:rsidR="00F601E4" w:rsidRDefault="00F601E4" w:rsidP="00722994">
            <w:pPr>
              <w:rPr>
                <w:lang w:eastAsia="zh-CN"/>
              </w:rPr>
            </w:pPr>
            <w:r>
              <w:rPr>
                <w:rFonts w:hint="eastAsia"/>
                <w:lang w:eastAsia="zh-CN"/>
              </w:rPr>
              <w:t>Medium</w:t>
            </w:r>
            <w:r>
              <w:rPr>
                <w:lang w:eastAsia="zh-CN"/>
              </w:rPr>
              <w:t xml:space="preserve"> </w:t>
            </w:r>
          </w:p>
        </w:tc>
        <w:tc>
          <w:tcPr>
            <w:tcW w:w="962" w:type="dxa"/>
          </w:tcPr>
          <w:p w:rsidR="00F601E4" w:rsidRDefault="00F601E4" w:rsidP="00722994">
            <w:pPr>
              <w:rPr>
                <w:lang w:eastAsia="zh-CN"/>
              </w:rPr>
            </w:pPr>
            <w:r>
              <w:rPr>
                <w:rFonts w:hint="eastAsia"/>
                <w:lang w:eastAsia="zh-CN"/>
              </w:rPr>
              <w:t>Medium</w:t>
            </w:r>
          </w:p>
        </w:tc>
        <w:tc>
          <w:tcPr>
            <w:tcW w:w="962"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rFonts w:hint="eastAsia"/>
                <w:lang w:eastAsia="zh-CN"/>
              </w:rPr>
              <w:t>Low</w:t>
            </w:r>
          </w:p>
        </w:tc>
        <w:tc>
          <w:tcPr>
            <w:tcW w:w="962" w:type="dxa"/>
          </w:tcPr>
          <w:p w:rsidR="00F601E4" w:rsidRDefault="00F601E4" w:rsidP="00722994">
            <w:pPr>
              <w:rPr>
                <w:lang w:eastAsia="zh-CN"/>
              </w:rPr>
            </w:pPr>
            <w:r>
              <w:rPr>
                <w:lang w:eastAsia="zh-CN"/>
              </w:rPr>
              <w:t>Low</w:t>
            </w:r>
          </w:p>
        </w:tc>
        <w:tc>
          <w:tcPr>
            <w:tcW w:w="978" w:type="dxa"/>
          </w:tcPr>
          <w:p w:rsidR="00F601E4" w:rsidRDefault="00F601E4" w:rsidP="00722994">
            <w:pPr>
              <w:rPr>
                <w:lang w:eastAsia="zh-CN"/>
              </w:rPr>
            </w:pPr>
            <w:r>
              <w:rPr>
                <w:rFonts w:hint="eastAsia"/>
                <w:lang w:eastAsia="zh-CN"/>
              </w:rPr>
              <w:t>High</w:t>
            </w:r>
          </w:p>
        </w:tc>
        <w:tc>
          <w:tcPr>
            <w:tcW w:w="978" w:type="dxa"/>
          </w:tcPr>
          <w:p w:rsidR="00F601E4" w:rsidRDefault="00F601E4" w:rsidP="00722994">
            <w:pPr>
              <w:rPr>
                <w:lang w:eastAsia="zh-CN"/>
              </w:rPr>
            </w:pPr>
            <w:r>
              <w:rPr>
                <w:rFonts w:hint="eastAsia"/>
                <w:lang w:eastAsia="zh-CN"/>
              </w:rPr>
              <w:t>Medium</w:t>
            </w:r>
          </w:p>
        </w:tc>
        <w:tc>
          <w:tcPr>
            <w:tcW w:w="828" w:type="dxa"/>
          </w:tcPr>
          <w:p w:rsidR="00F601E4" w:rsidRPr="00295069" w:rsidRDefault="00F601E4" w:rsidP="00722994">
            <w:pPr>
              <w:rPr>
                <w:sz w:val="20"/>
                <w:szCs w:val="20"/>
                <w:lang w:eastAsia="zh-CN"/>
              </w:rPr>
            </w:pPr>
            <w:r>
              <w:rPr>
                <w:rFonts w:hint="eastAsia"/>
                <w:lang w:eastAsia="zh-CN"/>
              </w:rPr>
              <w:t>High</w:t>
            </w:r>
          </w:p>
        </w:tc>
      </w:tr>
      <w:tr w:rsidR="0011253A" w:rsidTr="00E63659">
        <w:tc>
          <w:tcPr>
            <w:tcW w:w="994" w:type="dxa"/>
          </w:tcPr>
          <w:p w:rsidR="0011253A" w:rsidRDefault="0011253A" w:rsidP="00DF7CD5">
            <w:pPr>
              <w:rPr>
                <w:sz w:val="20"/>
                <w:szCs w:val="20"/>
                <w:lang w:eastAsia="zh-CN"/>
              </w:rPr>
            </w:pPr>
            <w:r>
              <w:rPr>
                <w:rFonts w:hint="eastAsia"/>
                <w:sz w:val="20"/>
                <w:szCs w:val="20"/>
                <w:lang w:eastAsia="zh-CN"/>
              </w:rPr>
              <w:t>Huawei</w:t>
            </w:r>
          </w:p>
        </w:tc>
        <w:tc>
          <w:tcPr>
            <w:tcW w:w="828" w:type="dxa"/>
          </w:tcPr>
          <w:p w:rsidR="0011253A" w:rsidRDefault="0011253A" w:rsidP="00DF7CD5">
            <w:pPr>
              <w:rPr>
                <w:lang w:eastAsia="zh-CN"/>
              </w:rPr>
            </w:pPr>
            <w:r>
              <w:rPr>
                <w:rFonts w:hint="eastAsia"/>
                <w:lang w:eastAsia="zh-CN"/>
              </w:rPr>
              <w:t>High</w:t>
            </w:r>
          </w:p>
        </w:tc>
        <w:tc>
          <w:tcPr>
            <w:tcW w:w="962" w:type="dxa"/>
          </w:tcPr>
          <w:p w:rsidR="0011253A" w:rsidRDefault="0011253A" w:rsidP="00DF7CD5">
            <w:pPr>
              <w:rPr>
                <w:lang w:eastAsia="zh-CN"/>
              </w:rPr>
            </w:pPr>
            <w:r>
              <w:rPr>
                <w:rFonts w:hint="eastAsia"/>
                <w:lang w:eastAsia="zh-CN"/>
              </w:rPr>
              <w:t>Medium</w:t>
            </w:r>
          </w:p>
        </w:tc>
        <w:tc>
          <w:tcPr>
            <w:tcW w:w="962" w:type="dxa"/>
          </w:tcPr>
          <w:p w:rsidR="0011253A" w:rsidRDefault="0011253A" w:rsidP="00DF7CD5">
            <w:pPr>
              <w:rPr>
                <w:lang w:eastAsia="zh-CN"/>
              </w:rPr>
            </w:pPr>
            <w:r>
              <w:rPr>
                <w:rFonts w:hint="eastAsia"/>
                <w:lang w:eastAsia="zh-CN"/>
              </w:rPr>
              <w:t>High</w:t>
            </w:r>
          </w:p>
        </w:tc>
        <w:tc>
          <w:tcPr>
            <w:tcW w:w="962"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2" w:type="dxa"/>
          </w:tcPr>
          <w:p w:rsidR="0011253A" w:rsidRDefault="0011253A" w:rsidP="00DF7CD5">
            <w:pPr>
              <w:rPr>
                <w:lang w:eastAsia="zh-CN"/>
              </w:rPr>
            </w:pPr>
            <w:r>
              <w:rPr>
                <w:rFonts w:hint="eastAsia"/>
                <w:lang w:eastAsia="zh-CN"/>
              </w:rPr>
              <w:t>Low</w:t>
            </w:r>
          </w:p>
        </w:tc>
        <w:tc>
          <w:tcPr>
            <w:tcW w:w="978" w:type="dxa"/>
          </w:tcPr>
          <w:p w:rsidR="0011253A" w:rsidRDefault="0011253A" w:rsidP="00DF7CD5">
            <w:pPr>
              <w:rPr>
                <w:lang w:eastAsia="zh-CN"/>
              </w:rPr>
            </w:pPr>
            <w:r>
              <w:rPr>
                <w:rFonts w:hint="eastAsia"/>
                <w:lang w:eastAsia="zh-CN"/>
              </w:rPr>
              <w:t>High</w:t>
            </w:r>
          </w:p>
        </w:tc>
        <w:tc>
          <w:tcPr>
            <w:tcW w:w="978" w:type="dxa"/>
          </w:tcPr>
          <w:p w:rsidR="0011253A" w:rsidRDefault="0011253A" w:rsidP="00DF7CD5">
            <w:pPr>
              <w:rPr>
                <w:lang w:eastAsia="zh-CN"/>
              </w:rPr>
            </w:pPr>
            <w:r>
              <w:rPr>
                <w:rFonts w:hint="eastAsia"/>
                <w:lang w:eastAsia="zh-CN"/>
              </w:rPr>
              <w:t>Medium</w:t>
            </w:r>
          </w:p>
        </w:tc>
        <w:tc>
          <w:tcPr>
            <w:tcW w:w="828" w:type="dxa"/>
          </w:tcPr>
          <w:p w:rsidR="0011253A" w:rsidRDefault="0011253A" w:rsidP="00DF7CD5">
            <w:pPr>
              <w:rPr>
                <w:lang w:eastAsia="zh-CN"/>
              </w:rPr>
            </w:pPr>
            <w:r>
              <w:rPr>
                <w:rFonts w:hint="eastAsia"/>
                <w:lang w:eastAsia="zh-CN"/>
              </w:rPr>
              <w:t>Medium</w:t>
            </w:r>
          </w:p>
        </w:tc>
      </w:tr>
      <w:tr w:rsidR="00E63659" w:rsidTr="00E63659">
        <w:tc>
          <w:tcPr>
            <w:tcW w:w="994" w:type="dxa"/>
          </w:tcPr>
          <w:p w:rsidR="00E63659" w:rsidRDefault="00E63659" w:rsidP="00DF7CD5">
            <w:pPr>
              <w:rPr>
                <w:rFonts w:hint="eastAsia"/>
                <w:sz w:val="20"/>
                <w:szCs w:val="20"/>
                <w:lang w:eastAsia="zh-CN"/>
              </w:rPr>
            </w:pPr>
            <w:r>
              <w:rPr>
                <w:sz w:val="20"/>
                <w:szCs w:val="20"/>
                <w:lang w:eastAsia="zh-CN"/>
              </w:rPr>
              <w:t>Qualcomm</w:t>
            </w:r>
          </w:p>
        </w:tc>
        <w:tc>
          <w:tcPr>
            <w:tcW w:w="828" w:type="dxa"/>
          </w:tcPr>
          <w:p w:rsidR="00E63659" w:rsidRDefault="00E63659" w:rsidP="00DF7CD5">
            <w:pPr>
              <w:rPr>
                <w:rFonts w:hint="eastAsia"/>
                <w:lang w:eastAsia="zh-CN"/>
              </w:rPr>
            </w:pPr>
            <w:r>
              <w:rPr>
                <w:lang w:eastAsia="zh-CN"/>
              </w:rPr>
              <w:t xml:space="preserve"> High</w:t>
            </w:r>
          </w:p>
        </w:tc>
        <w:tc>
          <w:tcPr>
            <w:tcW w:w="962" w:type="dxa"/>
          </w:tcPr>
          <w:p w:rsidR="00E63659" w:rsidRDefault="00E63659" w:rsidP="00DF7CD5">
            <w:pPr>
              <w:rPr>
                <w:rFonts w:hint="eastAsia"/>
                <w:lang w:eastAsia="zh-CN"/>
              </w:rPr>
            </w:pPr>
            <w:r>
              <w:rPr>
                <w:lang w:eastAsia="zh-CN"/>
              </w:rPr>
              <w:t>Medium</w:t>
            </w:r>
          </w:p>
        </w:tc>
        <w:tc>
          <w:tcPr>
            <w:tcW w:w="962" w:type="dxa"/>
          </w:tcPr>
          <w:p w:rsidR="00E63659" w:rsidRDefault="00E63659" w:rsidP="00DF7CD5">
            <w:pPr>
              <w:rPr>
                <w:rFonts w:hint="eastAsia"/>
                <w:lang w:eastAsia="zh-CN"/>
              </w:rPr>
            </w:pPr>
            <w:r>
              <w:rPr>
                <w:lang w:eastAsia="zh-CN"/>
              </w:rPr>
              <w:t xml:space="preserve"> High</w:t>
            </w:r>
          </w:p>
        </w:tc>
        <w:tc>
          <w:tcPr>
            <w:tcW w:w="962" w:type="dxa"/>
          </w:tcPr>
          <w:p w:rsidR="00E63659" w:rsidRDefault="00E63659" w:rsidP="00DF7CD5">
            <w:pPr>
              <w:rPr>
                <w:rFonts w:hint="eastAsia"/>
                <w:lang w:eastAsia="zh-CN"/>
              </w:rPr>
            </w:pPr>
            <w:r>
              <w:rPr>
                <w:lang w:eastAsia="zh-CN"/>
              </w:rPr>
              <w:t xml:space="preserve"> Low</w:t>
            </w:r>
          </w:p>
        </w:tc>
        <w:tc>
          <w:tcPr>
            <w:tcW w:w="951" w:type="dxa"/>
          </w:tcPr>
          <w:p w:rsidR="00E63659" w:rsidRDefault="00E63659" w:rsidP="00DF7CD5">
            <w:pPr>
              <w:rPr>
                <w:rFonts w:hint="eastAsia"/>
                <w:lang w:eastAsia="zh-CN"/>
              </w:rPr>
            </w:pPr>
            <w:r>
              <w:rPr>
                <w:lang w:eastAsia="zh-CN"/>
              </w:rPr>
              <w:t xml:space="preserve"> </w:t>
            </w:r>
            <w:r w:rsidR="00860BC0">
              <w:rPr>
                <w:lang w:eastAsia="zh-CN"/>
              </w:rPr>
              <w:t>Medium</w:t>
            </w:r>
          </w:p>
        </w:tc>
        <w:tc>
          <w:tcPr>
            <w:tcW w:w="962" w:type="dxa"/>
          </w:tcPr>
          <w:p w:rsidR="00E63659" w:rsidRDefault="00DF7CD5" w:rsidP="00DF7CD5">
            <w:pPr>
              <w:rPr>
                <w:rFonts w:hint="eastAsia"/>
                <w:lang w:eastAsia="zh-CN"/>
              </w:rPr>
            </w:pPr>
            <w:r>
              <w:rPr>
                <w:lang w:eastAsia="zh-CN"/>
              </w:rPr>
              <w:t xml:space="preserve"> </w:t>
            </w:r>
            <w:r w:rsidR="00E63659">
              <w:rPr>
                <w:lang w:eastAsia="zh-CN"/>
              </w:rPr>
              <w:t>Medium</w:t>
            </w:r>
          </w:p>
        </w:tc>
        <w:tc>
          <w:tcPr>
            <w:tcW w:w="978" w:type="dxa"/>
          </w:tcPr>
          <w:p w:rsidR="00E63659" w:rsidRDefault="00DF7CD5" w:rsidP="00DF7CD5">
            <w:pPr>
              <w:rPr>
                <w:rFonts w:hint="eastAsia"/>
                <w:lang w:eastAsia="zh-CN"/>
              </w:rPr>
            </w:pPr>
            <w:r>
              <w:rPr>
                <w:lang w:eastAsia="zh-CN"/>
              </w:rPr>
              <w:t xml:space="preserve"> </w:t>
            </w:r>
            <w:r w:rsidR="00E63659">
              <w:rPr>
                <w:lang w:eastAsia="zh-CN"/>
              </w:rPr>
              <w:t>High</w:t>
            </w:r>
          </w:p>
        </w:tc>
        <w:tc>
          <w:tcPr>
            <w:tcW w:w="978" w:type="dxa"/>
          </w:tcPr>
          <w:p w:rsidR="00E63659" w:rsidRDefault="00DF7CD5" w:rsidP="00DF7CD5">
            <w:pPr>
              <w:rPr>
                <w:rFonts w:hint="eastAsia"/>
                <w:lang w:eastAsia="zh-CN"/>
              </w:rPr>
            </w:pPr>
            <w:r>
              <w:rPr>
                <w:lang w:eastAsia="zh-CN"/>
              </w:rPr>
              <w:t>Medium</w:t>
            </w:r>
          </w:p>
        </w:tc>
        <w:tc>
          <w:tcPr>
            <w:tcW w:w="828" w:type="dxa"/>
          </w:tcPr>
          <w:p w:rsidR="00E63659" w:rsidRDefault="00DF7CD5" w:rsidP="00DF7CD5">
            <w:pPr>
              <w:rPr>
                <w:rFonts w:hint="eastAsia"/>
                <w:lang w:eastAsia="zh-CN"/>
              </w:rPr>
            </w:pPr>
            <w:r>
              <w:rPr>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although we’re a bit preferring to align MsgB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xml:space="preserve">. We would like to see other companies views </w:t>
            </w:r>
            <w:r>
              <w:lastRenderedPageBreak/>
              <w:t>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 xml:space="preserve">or issue #2, since a MsgB PDSCH would include RRC message which may have larger payload than Msg2 PDSCH, it is not necessary to limit the modulation order </w:t>
            </w:r>
            <w:r>
              <w:rPr>
                <w:lang w:eastAsia="zh-CN"/>
              </w:rPr>
              <w:lastRenderedPageBreak/>
              <w:t>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lastRenderedPageBreak/>
              <w:t>Huawei</w:t>
            </w:r>
            <w:r>
              <w:rPr>
                <w:lang w:eastAsia="zh-CN"/>
              </w:rPr>
              <w:t>, HiSilicon</w:t>
            </w:r>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rFonts w:hint="eastAsia"/>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rFonts w:hint="eastAsia"/>
                <w:lang w:eastAsia="zh-CN"/>
              </w:rPr>
            </w:pPr>
            <w:r>
              <w:rPr>
                <w:lang w:eastAsia="zh-CN"/>
              </w:rPr>
              <w:t>Issues #1, #3 and #7 have higher priority for this meeting, and we expect companies can reach a</w:t>
            </w:r>
            <w:r w:rsidR="002A0259">
              <w:rPr>
                <w:lang w:eastAsia="zh-CN"/>
              </w:rPr>
              <w:t>n agreement</w:t>
            </w:r>
            <w:bookmarkStart w:id="6" w:name="_GoBack"/>
            <w:bookmarkEnd w:id="6"/>
            <w:r>
              <w:rPr>
                <w:lang w:eastAsia="zh-CN"/>
              </w:rPr>
              <w:t xml:space="preserve"> sooner than the rest of the issues</w:t>
            </w:r>
            <w:r w:rsidR="002076C4">
              <w:rPr>
                <w:lang w:eastAsia="zh-CN"/>
              </w:rPr>
              <w:t xml:space="preserve"> in the list.</w:t>
            </w:r>
          </w:p>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BodyText"/>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BodyText"/>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w:t>
            </w:r>
            <w:r w:rsidRPr="00213624">
              <w:rPr>
                <w:b/>
              </w:rPr>
              <w:lastRenderedPageBreak/>
              <w:t>triggered by BFR.</w:t>
            </w:r>
            <w:bookmarkEnd w:id="9"/>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lastRenderedPageBreak/>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0"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SimSun"/>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4" w:author="CATT" w:date="2020-07-23T16:01:00Z">
                      <w:rPr>
                        <w:rFonts w:ascii="Cambria Math" w:eastAsia="SimSun" w:hAnsi="Cambria Math"/>
                        <w:b/>
                        <w:i/>
                        <w:sz w:val="20"/>
                        <w:szCs w:val="20"/>
                      </w:rPr>
                    </w:ins>
                  </m:ctrlPr>
                </m:sSubPr>
                <m:e>
                  <m:r>
                    <w:ins w:id="25" w:author="CATT" w:date="2020-07-23T16:01:00Z">
                      <w:rPr>
                        <w:rFonts w:ascii="Cambria Math" w:eastAsia="SimSun" w:hAnsi="Cambria Math"/>
                        <w:sz w:val="20"/>
                        <w:szCs w:val="20"/>
                      </w:rPr>
                      <m:t>N</m:t>
                    </w:ins>
                  </m:r>
                </m:e>
                <m:sub>
                  <m:r>
                    <w:ins w:id="26" w:author="CATT" w:date="2020-07-23T16:01:00Z">
                      <w:rPr>
                        <w:rFonts w:ascii="Cambria Math" w:eastAsia="SimSun" w:hAnsi="Cambria Math"/>
                        <w:sz w:val="20"/>
                        <w:szCs w:val="20"/>
                      </w:rPr>
                      <m:t>f</m:t>
                    </w:ins>
                  </m:r>
                </m:sub>
              </m:sSub>
              <m:r>
                <w:ins w:id="27"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9"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SimSun" w:hAnsi="Cambria Math"/>
                        <w:i/>
                        <w:sz w:val="20"/>
                        <w:szCs w:val="20"/>
                      </w:rPr>
                    </w:ins>
                  </m:ctrlPr>
                </m:sSubPr>
                <m:e>
                  <m:r>
                    <w:ins w:id="31" w:author="CATT" w:date="2020-07-23T16:03:00Z">
                      <w:rPr>
                        <w:rFonts w:ascii="Cambria Math" w:eastAsia="SimSun" w:hAnsi="Cambria Math"/>
                        <w:sz w:val="20"/>
                        <w:szCs w:val="20"/>
                      </w:rPr>
                      <m:t>N</m:t>
                    </w:ins>
                  </m:r>
                </m:e>
                <m:sub>
                  <m:r>
                    <w:ins w:id="32"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3" w:author="CATT" w:date="2020-07-23T16:03:00Z">
                      <w:rPr>
                        <w:rFonts w:ascii="Cambria Math" w:eastAsia="SimSun" w:hAnsi="Cambria Math"/>
                        <w:i/>
                        <w:sz w:val="20"/>
                        <w:szCs w:val="20"/>
                      </w:rPr>
                    </w:ins>
                  </m:ctrlPr>
                </m:sSubPr>
                <m:e>
                  <m:r>
                    <w:ins w:id="34" w:author="CATT" w:date="2020-07-23T16:03:00Z">
                      <w:rPr>
                        <w:rFonts w:ascii="Cambria Math" w:eastAsia="SimSun" w:hAnsi="Cambria Math"/>
                        <w:sz w:val="20"/>
                        <w:szCs w:val="20"/>
                      </w:rPr>
                      <m:t>N</m:t>
                    </w:ins>
                  </m:r>
                </m:e>
                <m:sub>
                  <m:r>
                    <w:ins w:id="35"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 xml:space="preserve">A UE is provided a DMRS configuration for a PUSCH transmission in a PUSCH occasion </w:t>
            </w:r>
            <w:r w:rsidRPr="00213624">
              <w:rPr>
                <w:rFonts w:cs="Times"/>
                <w:sz w:val="20"/>
                <w:szCs w:val="20"/>
              </w:rPr>
              <w:lastRenderedPageBreak/>
              <w:t>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ins w:id="63" w:author="CATT" w:date="2020-07-30T16:14:00Z">
              <w:r w:rsidRPr="00213624">
                <w:rPr>
                  <w:i/>
                  <w:sz w:val="20"/>
                  <w:szCs w:val="20"/>
                </w:rPr>
                <w:t>rach-ConfigCommonTwoStepRA</w:t>
              </w:r>
            </w:ins>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ins w:id="72" w:author="MarkXiong" w:date="2020-08-05T14:56:00Z">
              <w:r w:rsidRPr="00EE40A6">
                <w:rPr>
                  <w:rFonts w:eastAsia="SimSun" w:hint="eastAsia"/>
                  <w:sz w:val="20"/>
                  <w:szCs w:val="20"/>
                  <w:shd w:val="clear" w:color="auto" w:fill="FFFFFF"/>
                  <w:lang w:eastAsia="zh-CN"/>
                </w:rPr>
                <w:t xml:space="preserve"> within a SSB-RO mapping cycle</w:t>
              </w:r>
            </w:ins>
            <w:r w:rsidRPr="00EE40A6">
              <w:rPr>
                <w:rFonts w:eastAsia="SimSun"/>
                <w:sz w:val="20"/>
                <w:szCs w:val="20"/>
                <w:shd w:val="clear" w:color="auto" w:fill="FFFFFF"/>
              </w:rPr>
              <w:t xml:space="preserve"> 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SimSun"/>
                <w:i/>
                <w:iCs/>
                <w:sz w:val="20"/>
                <w:szCs w:val="20"/>
              </w:rPr>
              <w:t>msgA-PUSCH-TimeDomainOffset</w:t>
            </w:r>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Yu Mincho"/>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w:t>
            </w:r>
            <w:r w:rsidRPr="00EE40A6">
              <w:rPr>
                <w:rFonts w:eastAsia="SimSun"/>
                <w:iCs/>
                <w:sz w:val="20"/>
                <w:szCs w:val="20"/>
              </w:rPr>
              <w:lastRenderedPageBreak/>
              <w:t xml:space="preserve">transmission that is provided by </w:t>
            </w:r>
            <w:r w:rsidRPr="00EE40A6">
              <w:rPr>
                <w:rFonts w:eastAsia="SimSun"/>
                <w:i/>
                <w:iCs/>
                <w:sz w:val="20"/>
                <w:szCs w:val="20"/>
              </w:rPr>
              <w:t>startSymbolAndLengthMsgA-PO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r w:rsidRPr="00EE40A6">
              <w:rPr>
                <w:rFonts w:eastAsia="SimSun"/>
                <w:i/>
                <w:iCs/>
                <w:sz w:val="20"/>
                <w:szCs w:val="20"/>
              </w:rPr>
              <w:t>nrofMsgA-PO-perSlot</w:t>
            </w:r>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r w:rsidRPr="00EE40A6">
              <w:rPr>
                <w:rFonts w:eastAsia="SimSun"/>
                <w:i/>
                <w:iCs/>
                <w:sz w:val="20"/>
                <w:szCs w:val="20"/>
              </w:rPr>
              <w:t>nrofSlotsMsgA-PUSCH</w:t>
            </w:r>
            <w:r w:rsidRPr="00EE40A6">
              <w:rPr>
                <w:rFonts w:eastAsia="SimSun"/>
                <w:iCs/>
                <w:sz w:val="20"/>
                <w:szCs w:val="20"/>
              </w:rPr>
              <w:t>.</w:t>
            </w:r>
            <w:r w:rsidRPr="00EE40A6">
              <w:rPr>
                <w:rFonts w:eastAsia="SimSun" w:hint="eastAsia"/>
                <w:iCs/>
                <w:sz w:val="20"/>
                <w:szCs w:val="20"/>
                <w:lang w:eastAsia="zh-CN"/>
              </w:rPr>
              <w:t xml:space="preserve"> </w:t>
            </w:r>
            <w:ins w:id="73"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for one slot might be </w:t>
              </w:r>
            </w:ins>
            <w:ins w:id="74" w:author="MarkXiong" w:date="2020-08-05T16:23:00Z">
              <w:r w:rsidRPr="00EE40A6">
                <w:rPr>
                  <w:rFonts w:eastAsia="SimSun" w:hint="eastAsia"/>
                  <w:iCs/>
                  <w:sz w:val="20"/>
                  <w:szCs w:val="20"/>
                  <w:lang w:eastAsia="zh-CN"/>
                </w:rPr>
                <w:t>extended</w:t>
              </w:r>
            </w:ins>
            <w:ins w:id="75"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9" o:title=""/>
                </v:shape>
                <o:OLEObject Type="Embed" ProgID="Equation.3" ShapeID="_x0000_i1025" DrawAspect="Content" ObjectID="_1658671173"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25pt;height:42.75pt" o:ole="">
                  <v:imagedata r:id="rId11" o:title=""/>
                </v:shape>
                <o:OLEObject Type="Embed" ProgID="Equation.3" ShapeID="_x0000_i1026" DrawAspect="Content" ObjectID="_1658671174"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75pt;height:37.5pt" o:ole="">
                  <v:imagedata r:id="rId13" o:title=""/>
                </v:shape>
                <o:OLEObject Type="Embed" ProgID="Equation.3" ShapeID="_x0000_i1027" DrawAspect="Content" ObjectID="_1658671175" r:id="rId14"/>
              </w:object>
            </w:r>
          </w:p>
          <w:p w:rsidR="00080962" w:rsidRDefault="00080962" w:rsidP="00080962">
            <w:r>
              <w:t xml:space="preserve">where </w:t>
            </w:r>
            <w:r w:rsidRPr="006A5007">
              <w:rPr>
                <w:position w:val="-10"/>
              </w:rPr>
              <w:object w:dxaOrig="920" w:dyaOrig="300">
                <v:shape id="_x0000_i1028" type="#_x0000_t75" style="width:46.5pt;height:15.75pt" o:ole="">
                  <v:imagedata r:id="rId15" o:title=""/>
                </v:shape>
                <o:OLEObject Type="Embed" ProgID="Equation.3" ShapeID="_x0000_i1028" DrawAspect="Content" ObjectID="_1658671176" r:id="rId16"/>
              </w:object>
            </w:r>
            <w:r>
              <w:t xml:space="preserve">, </w:t>
            </w:r>
            <w:r w:rsidRPr="009A1E80">
              <w:rPr>
                <w:position w:val="-10"/>
              </w:rPr>
              <w:object w:dxaOrig="900" w:dyaOrig="300">
                <v:shape id="_x0000_i1029" type="#_x0000_t75" style="width:45pt;height:15.75pt" o:ole="">
                  <v:imagedata r:id="rId17" o:title=""/>
                </v:shape>
                <o:OLEObject Type="Embed" ProgID="Equation.3" ShapeID="_x0000_i1029" DrawAspect="Content" ObjectID="_1658671177"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5pt;height:15.75pt" o:ole="">
                  <v:imagedata r:id="rId19" o:title=""/>
                </v:shape>
                <o:OLEObject Type="Embed" ProgID="Equation.3" ShapeID="_x0000_i1030" DrawAspect="Content" ObjectID="_1658671178"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9pt;height:10.5pt" o:ole="">
                  <v:imagedata r:id="rId21" o:title=""/>
                </v:shape>
                <o:OLEObject Type="Embed" ProgID="Equation.3" ShapeID="_x0000_i1031" DrawAspect="Content" ObjectID="_1658671179"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5pt;height:15.75pt" o:ole="">
                  <v:imagedata r:id="rId19" o:title=""/>
                </v:shape>
                <o:OLEObject Type="Embed" ProgID="Equation.3" ShapeID="_x0000_i1032" DrawAspect="Content" ObjectID="_1658671180"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5pt;height:86.25pt" o:ole="">
                  <v:imagedata r:id="rId24" o:title=""/>
                </v:shape>
                <o:OLEObject Type="Embed" ProgID="Equation.3" ShapeID="_x0000_i1033" DrawAspect="Content" ObjectID="_1658671181" r:id="rId25"/>
              </w:object>
            </w:r>
          </w:p>
          <w:p w:rsidR="00080962" w:rsidRDefault="00080962" w:rsidP="00080962">
            <w:r>
              <w:t xml:space="preserve">where </w:t>
            </w:r>
            <w:r w:rsidRPr="004F5299">
              <w:rPr>
                <w:position w:val="-10"/>
              </w:rPr>
              <w:object w:dxaOrig="400" w:dyaOrig="300">
                <v:shape id="_x0000_i1034" type="#_x0000_t75" style="width:21pt;height:15.75pt" o:ole="">
                  <v:imagedata r:id="rId26" o:title=""/>
                </v:shape>
                <o:OLEObject Type="Embed" ProgID="Equation.3" ShapeID="_x0000_i1034" DrawAspect="Content" ObjectID="_1658671182"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ins w:id="91" w:author="Spreadtrum" w:date="2020-07-31T16:30:00Z">
              <w:r w:rsidRPr="00FF731C">
                <w:rPr>
                  <w:i/>
                </w:rPr>
                <w:t>msgA-RestrictedSetConfig</w:t>
              </w:r>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75pt;height:32.25pt" o:ole="">
                  <v:imagedata r:id="rId28" o:title=""/>
                </v:shape>
                <o:OLEObject Type="Embed" ProgID="Equation.3" ShapeID="_x0000_i1035" DrawAspect="Content" ObjectID="_1658671183" r:id="rId29"/>
              </w:object>
            </w:r>
          </w:p>
          <w:p w:rsidR="00080962" w:rsidRDefault="00080962" w:rsidP="00080962">
            <w:r>
              <w:t xml:space="preserve">where </w:t>
            </w:r>
            <w:r w:rsidRPr="00282DE7">
              <w:rPr>
                <w:position w:val="-10"/>
              </w:rPr>
              <w:object w:dxaOrig="680" w:dyaOrig="300">
                <v:shape id="_x0000_i1036" type="#_x0000_t75" style="width:34.5pt;height:15.75pt" o:ole="">
                  <v:imagedata r:id="rId30" o:title=""/>
                </v:shape>
                <o:OLEObject Type="Embed" ProgID="Equation.3" ShapeID="_x0000_i1036" DrawAspect="Content" ObjectID="_1658671184" r:id="rId31"/>
              </w:object>
            </w:r>
            <w:r>
              <w:t xml:space="preserve"> is an amplitude scaling factor in order to conform to the transmit power specified in [5, TS38.213], and </w:t>
            </w:r>
            <w:r w:rsidRPr="00282DE7">
              <w:rPr>
                <w:position w:val="-10"/>
              </w:rPr>
              <w:object w:dxaOrig="820" w:dyaOrig="279">
                <v:shape id="_x0000_i1037" type="#_x0000_t75" style="width:41.25pt;height:14.25pt" o:ole="">
                  <v:imagedata r:id="rId32" o:title=""/>
                </v:shape>
                <o:OLEObject Type="Embed" ProgID="Equation.3" ShapeID="_x0000_i1037" DrawAspect="Content" ObjectID="_1658671185"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10.5pt;height:15.75pt" o:ole="">
                  <v:imagedata r:id="rId34" o:title=""/>
                </v:shape>
                <o:OLEObject Type="Embed" ProgID="Equation.3" ShapeID="_x0000_i1038" DrawAspect="Content" ObjectID="_1658671186"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SimSun" w:hAnsi="Arial" w:cs="Arial"/>
                <w:color w:val="FF0000"/>
                <w:sz w:val="20"/>
                <w:szCs w:val="20"/>
                <w:lang w:eastAsia="zh-CN"/>
              </w:rPr>
              <w:t>------------------------------ Unchanged parts omitted --------------------------------------</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w:t>
            </w:r>
            <w:r w:rsidRPr="00B916EC">
              <w:lastRenderedPageBreak/>
              <w:t xml:space="preserve">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position w:val="-12"/>
                <w:sz w:val="20"/>
                <w:szCs w:val="20"/>
                <w:lang w:val="en-GB"/>
              </w:rPr>
              <w:object w:dxaOrig="780" w:dyaOrig="405">
                <v:shape id="_x0000_i1039" type="#_x0000_t75" style="width:39.75pt;height:20.25pt" o:ole="">
                  <v:imagedata r:id="rId38" o:title=""/>
                </v:shape>
                <o:OLEObject Type="Embed" ProgID="Equation.3" ShapeID="_x0000_i1039" DrawAspect="Content" ObjectID="_1658671187"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DF7CD5"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position w:val="-12"/>
                <w:sz w:val="20"/>
                <w:szCs w:val="20"/>
                <w:lang w:val="en-GB"/>
              </w:rPr>
              <w:object w:dxaOrig="2535" w:dyaOrig="375">
                <v:shape id="_x0000_i1040" type="#_x0000_t75" style="width:126.75pt;height:18.75pt" o:ole="">
                  <v:imagedata r:id="rId40" o:title=""/>
                </v:shape>
                <o:OLEObject Type="Embed" ProgID="Equation.3" ShapeID="_x0000_i1040" DrawAspect="Content" ObjectID="_1658671188"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6"/>
                <w:sz w:val="20"/>
                <w:szCs w:val="20"/>
                <w:lang w:val="en-GB"/>
              </w:rPr>
              <w:object w:dxaOrig="195" w:dyaOrig="300">
                <v:shape id="_x0000_i1041" type="#_x0000_t75" style="width:10.5pt;height:15.75pt" o:ole="">
                  <v:imagedata r:id="rId42" o:title=""/>
                </v:shape>
                <o:OLEObject Type="Embed" ProgID="Equation.3" ShapeID="_x0000_i1041" DrawAspect="Content" ObjectID="_1658671189"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10"/>
                <w:sz w:val="20"/>
                <w:szCs w:val="20"/>
                <w:lang w:val="en-GB"/>
              </w:rPr>
              <w:object w:dxaOrig="300" w:dyaOrig="300">
                <v:shape id="_x0000_i1042" type="#_x0000_t75" style="width:15.75pt;height:15.75pt" o:ole="">
                  <v:imagedata r:id="rId44" o:title=""/>
                </v:shape>
                <o:OLEObject Type="Embed" ProgID="Equation.3" ShapeID="_x0000_i1042" DrawAspect="Content" ObjectID="_1658671190" r:id="rId45"/>
              </w:object>
            </w:r>
            <w:r w:rsidRPr="00522C06">
              <w:rPr>
                <w:sz w:val="20"/>
                <w:szCs w:val="20"/>
              </w:rPr>
              <w:t xml:space="preserve"> is the subcarrier spacing of the initial uplink bandwidth part during initial access. Otherwise, </w:t>
            </w:r>
            <w:r w:rsidRPr="00522C06">
              <w:rPr>
                <w:rFonts w:eastAsia="DengXian"/>
                <w:position w:val="-10"/>
                <w:sz w:val="20"/>
                <w:szCs w:val="20"/>
                <w:lang w:val="en-GB"/>
              </w:rPr>
              <w:object w:dxaOrig="300" w:dyaOrig="300">
                <v:shape id="_x0000_i1043" type="#_x0000_t75" style="width:15.75pt;height:15.75pt" o:ole="">
                  <v:imagedata r:id="rId44" o:title=""/>
                </v:shape>
                <o:OLEObject Type="Embed" ProgID="Equation.3" ShapeID="_x0000_i1043" DrawAspect="Content" ObjectID="_1658671191"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lastRenderedPageBreak/>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Pr="00861CEA">
              <w:rPr>
                <w:rFonts w:eastAsia="DengXian"/>
                <w:position w:val="-10"/>
                <w:sz w:val="20"/>
                <w:szCs w:val="20"/>
                <w:lang w:val="en-GB"/>
              </w:rPr>
              <w:object w:dxaOrig="285" w:dyaOrig="300">
                <v:shape id="_x0000_i1044" type="#_x0000_t75" style="width:13.5pt;height:15.75pt" o:ole="">
                  <v:imagedata r:id="rId19" o:title=""/>
                </v:shape>
                <o:OLEObject Type="Embed" ProgID="Equation.3" ShapeID="_x0000_i1044" DrawAspect="Content" ObjectID="_1658671192" r:id="rId48"/>
              </w:object>
            </w:r>
            <w:r w:rsidRPr="00861CEA">
              <w:rPr>
                <w:rFonts w:eastAsia="DengXian"/>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45" type="#_x0000_t75" style="width:380.25pt;height:85.5pt" o:ole="">
                  <v:imagedata r:id="rId24" o:title=""/>
                </v:shape>
                <o:OLEObject Type="Embed" ProgID="Equation.3" ShapeID="_x0000_i1045" DrawAspect="Content" ObjectID="_1658671193"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Pr="00861CEA">
              <w:rPr>
                <w:rFonts w:eastAsia="DengXian"/>
                <w:position w:val="-10"/>
                <w:sz w:val="20"/>
                <w:szCs w:val="20"/>
                <w:lang w:val="en-GB"/>
              </w:rPr>
              <w:object w:dxaOrig="405" w:dyaOrig="300">
                <v:shape id="_x0000_i1046" type="#_x0000_t75" style="width:20.25pt;height:15.75pt" o:ole="">
                  <v:imagedata r:id="rId26" o:title=""/>
                </v:shape>
                <o:OLEObject Type="Embed" ProgID="Equation.3" ShapeID="_x0000_i1046" DrawAspect="Content" ObjectID="_1658671194" r:id="rId50"/>
              </w:object>
            </w:r>
            <w:r w:rsidRPr="00861CEA">
              <w:rPr>
                <w:rFonts w:eastAsia="DengXian"/>
                <w:sz w:val="20"/>
                <w:szCs w:val="20"/>
                <w:lang w:val="en-GB"/>
              </w:rPr>
              <w:t xml:space="preserve"> is given by Tables 6.3.3.1-5 to 6.3.3.1-7, the higher-layer parameter </w:t>
            </w:r>
            <w:r w:rsidRPr="00861CEA">
              <w:rPr>
                <w:rFonts w:eastAsia="DengXian"/>
                <w:i/>
                <w:sz w:val="20"/>
                <w:szCs w:val="20"/>
                <w:lang w:val="en-GB"/>
              </w:rPr>
              <w:t>restrictedSetConfig</w:t>
            </w:r>
            <w:r w:rsidRPr="00861CEA">
              <w:rPr>
                <w:rFonts w:eastAsia="DengXian"/>
                <w:sz w:val="20"/>
                <w:szCs w:val="20"/>
                <w:lang w:val="en-GB"/>
              </w:rPr>
              <w:t xml:space="preserve"> determines the type of restricted sets (unrestricted, restricted type A, restricted type B), </w:t>
            </w:r>
            <w:ins w:id="116"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 xml:space="preserve">R1-2006609, </w:t>
            </w:r>
            <w:r>
              <w:rPr>
                <w:rFonts w:hint="eastAsia"/>
                <w:sz w:val="20"/>
                <w:szCs w:val="20"/>
                <w:lang w:eastAsia="zh-CN"/>
              </w:rPr>
              <w:lastRenderedPageBreak/>
              <w:t>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lastRenderedPageBreak/>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 xml:space="preserve">If the MsgA resource the UE determines does not meet </w:t>
              </w:r>
              <w:r w:rsidRPr="001421F8">
                <w:rPr>
                  <w:rStyle w:val="Hyperlink"/>
                  <w:noProof/>
                </w:rPr>
                <w:lastRenderedPageBreak/>
                <w:t>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DF7CD5"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 xml:space="preserve">determined first in an ascending order of a DMRS port index and second in an ascending order of a DMRS sequence </w:t>
            </w:r>
            <w:r w:rsidRPr="007549C6">
              <w:lastRenderedPageBreak/>
              <w:t>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DF7CD5"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DF7CD5"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lastRenderedPageBreak/>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75pt;height:14.25pt" o:ole="">
                  <v:imagedata r:id="rId51" o:title=""/>
                </v:shape>
                <o:OLEObject Type="Embed" ProgID="Equation.3" ShapeID="_x0000_i1047" DrawAspect="Content" ObjectID="_1658671195"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0.75pt;height:21.75pt" o:ole="">
                  <v:imagedata r:id="rId53" o:title=""/>
                </v:shape>
                <o:OLEObject Type="Embed" ProgID="Equation.3" ShapeID="_x0000_i1048" DrawAspect="Content" ObjectID="_1658671196" r:id="rId54"/>
              </w:object>
            </w:r>
            <w:r w:rsidRPr="0048482F">
              <w:rPr>
                <w:lang w:eastAsia="ko-KR"/>
              </w:rPr>
              <w:t>, where</w:t>
            </w:r>
            <w:r w:rsidRPr="0048482F">
              <w:rPr>
                <w:position w:val="-10"/>
                <w:lang w:eastAsia="ko-KR"/>
              </w:rPr>
              <w:object w:dxaOrig="859" w:dyaOrig="340">
                <v:shape id="_x0000_i1049" type="#_x0000_t75" style="width:44.25pt;height:14.25pt" o:ole="">
                  <v:imagedata r:id="rId55" o:title=""/>
                </v:shape>
                <o:OLEObject Type="Embed" ProgID="Equation.3" ShapeID="_x0000_i1049" DrawAspect="Content" ObjectID="_1658671197"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75pt;height:22.5pt" o:ole="">
                  <v:imagedata r:id="rId57" o:title=""/>
                </v:shape>
                <o:OLEObject Type="Embed" ProgID="Equation.3" ShapeID="_x0000_i1050" DrawAspect="Content" ObjectID="_1658671198"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75pt;height:14.25pt" o:ole="">
                  <v:imagedata r:id="rId59" o:title=""/>
                </v:shape>
                <o:OLEObject Type="Embed" ProgID="Equation.3" ShapeID="_x0000_i1051" DrawAspect="Content" ObjectID="_1658671199"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25pt;height:14.25pt" o:ole="">
                  <v:imagedata r:id="rId61" o:title=""/>
                </v:shape>
                <o:OLEObject Type="Embed" ProgID="Equation.3" ShapeID="_x0000_i1052" DrawAspect="Content" ObjectID="_1658671200"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25pt;height:21.75pt" o:ole="">
                  <v:imagedata r:id="rId63" o:title=""/>
                </v:shape>
                <o:OLEObject Type="Embed" ProgID="Equation.3" ShapeID="_x0000_i1053" DrawAspect="Content" ObjectID="_1658671201"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9.25pt;height:21.75pt" o:ole="">
                  <v:imagedata r:id="rId63" o:title=""/>
                </v:shape>
                <o:OLEObject Type="Embed" ProgID="Equation.3" ShapeID="_x0000_i1054" DrawAspect="Content" ObjectID="_1658671202"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9.25pt;height:21.75pt" o:ole="">
                  <v:imagedata r:id="rId63" o:title=""/>
                </v:shape>
                <o:OLEObject Type="Embed" ProgID="Equation.3" ShapeID="_x0000_i1055" DrawAspect="Content" ObjectID="_1658671203"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25pt;height:12pt" o:ole="">
                  <v:imagedata r:id="rId59" o:title=""/>
                </v:shape>
                <o:OLEObject Type="Embed" ProgID="Equation.3" ShapeID="_x0000_i1056" DrawAspect="Content" ObjectID="_1658671204"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DF7CD5"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lastRenderedPageBreak/>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E22" w:rsidRDefault="00111E22" w:rsidP="000878A1">
      <w:pPr>
        <w:spacing w:after="0"/>
      </w:pPr>
      <w:r>
        <w:separator/>
      </w:r>
    </w:p>
  </w:endnote>
  <w:endnote w:type="continuationSeparator" w:id="0">
    <w:p w:rsidR="00111E22" w:rsidRDefault="00111E2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E22" w:rsidRDefault="00111E22" w:rsidP="000878A1">
      <w:pPr>
        <w:spacing w:after="0"/>
      </w:pPr>
      <w:r>
        <w:separator/>
      </w:r>
    </w:p>
  </w:footnote>
  <w:footnote w:type="continuationSeparator" w:id="0">
    <w:p w:rsidR="00111E22" w:rsidRDefault="00111E22"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27535E5"/>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A76D2-3A6F-4899-BEEE-6EE118BD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5853</Words>
  <Characters>33365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9</cp:revision>
  <cp:lastPrinted>2007-06-18T05:08:00Z</cp:lastPrinted>
  <dcterms:created xsi:type="dcterms:W3CDTF">2020-08-11T22:59:00Z</dcterms:created>
  <dcterms:modified xsi:type="dcterms:W3CDTF">2020-08-11T23:34:00Z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