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Heading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Heading1"/>
      </w:pPr>
      <w:r>
        <w:t xml:space="preserve">Email discussions </w:t>
      </w:r>
    </w:p>
    <w:p w14:paraId="1D5427D9" w14:textId="77777777" w:rsidR="00A44B87" w:rsidRDefault="00A44B87" w:rsidP="00A44B87">
      <w:pPr>
        <w:pStyle w:val="Heading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TableGrid"/>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TableGrid"/>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Caption"/>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Heading2"/>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7EAA1BAA" w14:textId="77777777" w:rsidR="00A44B87" w:rsidRPr="00A775C3" w:rsidRDefault="00A44B87" w:rsidP="00A44B87">
            <w:pPr>
              <w:pStyle w:val="Heading3"/>
              <w:ind w:left="1082" w:hanging="482"/>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FC499D"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BodyText"/>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TableGrid"/>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BodyText"/>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BodyText"/>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B702F1">
      <w:pPr>
        <w:pStyle w:val="Heading3"/>
        <w:ind w:left="1000" w:hanging="400"/>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TableGrid"/>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TableGrid"/>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Heading2"/>
              <w:keepNext w:val="0"/>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2CBF373A" w14:textId="77777777" w:rsidR="000913A5" w:rsidRPr="00A775C3" w:rsidRDefault="000913A5" w:rsidP="00913449">
            <w:pPr>
              <w:pStyle w:val="Heading3"/>
              <w:keepNext w:val="0"/>
              <w:ind w:left="1082" w:hanging="482"/>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FC499D"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TableGrid"/>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BodyText"/>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BodyText"/>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994"/>
        <w:gridCol w:w="7225"/>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HW/HiSi</w:t>
            </w:r>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Gulim" w:hAnsi="Gulim"/>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So we think we cannot simply follow 9.1.2 in this case.</w:t>
            </w:r>
          </w:p>
          <w:p w14:paraId="4AEED476" w14:textId="77777777" w:rsidR="007A3E19" w:rsidRDefault="007A3E19" w:rsidP="007A3E19">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ListParagraph"/>
              <w:widowControl/>
              <w:numPr>
                <w:ilvl w:val="0"/>
                <w:numId w:val="38"/>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ListParagraph"/>
              <w:widowControl/>
              <w:numPr>
                <w:ilvl w:val="0"/>
                <w:numId w:val="38"/>
              </w:numPr>
              <w:autoSpaceDE/>
              <w:spacing w:line="240" w:lineRule="auto"/>
              <w:ind w:leftChars="0" w:right="147"/>
              <w:jc w:val="left"/>
              <w:rPr>
                <w:rFonts w:cs="Times New Roman"/>
                <w:szCs w:val="20"/>
                <w:lang w:eastAsia="zh-CN"/>
              </w:rPr>
            </w:pPr>
            <w:r>
              <w:rPr>
                <w:rFonts w:eastAsia="Batang"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Gulim"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Gulim" w:hAnsi="Times New Roman" w:cs="Times New Roman"/>
                <w:sz w:val="20"/>
                <w:szCs w:val="20"/>
              </w:rPr>
              <w:t>TP#3</w:t>
            </w:r>
            <w:r>
              <w:rPr>
                <w:rFonts w:ascii="Times New Roman" w:eastAsia="Gulim"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r w:rsidRPr="0037262F">
              <w:rPr>
                <w:rFonts w:ascii="Times New Roman" w:eastAsia="Gulim" w:hAnsi="Times New Roman" w:cs="Times New Roman"/>
                <w:b/>
                <w:bCs/>
                <w:sz w:val="20"/>
                <w:szCs w:val="20"/>
              </w:rPr>
              <w:t>TP#1 does not keep Rel-15 compatibility</w:t>
            </w:r>
            <w:r w:rsidRPr="00046B41">
              <w:rPr>
                <w:rFonts w:ascii="Times New Roman" w:eastAsia="Gulim"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Gulim"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Gulim" w:hAnsi="Times New Roman" w:cs="Times New Roman"/>
                <w:color w:val="000000" w:themeColor="text1"/>
                <w:sz w:val="20"/>
                <w:szCs w:val="20"/>
              </w:rPr>
            </w:pPr>
            <w:r w:rsidRPr="00046B41">
              <w:rPr>
                <w:rFonts w:ascii="Times New Roman" w:eastAsia="Gulim" w:hAnsi="Times New Roman" w:cs="Times New Roman"/>
                <w:sz w:val="20"/>
                <w:szCs w:val="20"/>
              </w:rPr>
              <w:t xml:space="preserve">For TP#2, </w:t>
            </w:r>
            <w:r>
              <w:rPr>
                <w:rFonts w:ascii="Times New Roman" w:eastAsia="Gulim" w:hAnsi="Times New Roman" w:cs="Times New Roman"/>
                <w:sz w:val="20"/>
                <w:szCs w:val="20"/>
              </w:rPr>
              <w:t>“</w:t>
            </w:r>
            <w:r w:rsidRPr="00046B41">
              <w:rPr>
                <w:rFonts w:ascii="Times New Roman" w:eastAsia="Gulim" w:hAnsi="Times New Roman" w:cs="Times New Roman"/>
                <w:color w:val="FF0000"/>
                <w:sz w:val="20"/>
                <w:szCs w:val="20"/>
                <w:u w:val="single"/>
              </w:rPr>
              <w:t>or there is more than one DL slot for SPS PDSCH receptions on a serving cell</w:t>
            </w:r>
            <w:r w:rsidRPr="00046B41">
              <w:rPr>
                <w:rFonts w:ascii="Times New Roman" w:eastAsia="Gulim" w:hAnsi="Times New Roman" w:cs="Times New Roman"/>
                <w:color w:val="000000" w:themeColor="text1"/>
                <w:sz w:val="20"/>
                <w:szCs w:val="20"/>
              </w:rPr>
              <w:t>”</w:t>
            </w:r>
            <w:r>
              <w:rPr>
                <w:rFonts w:ascii="Times New Roman" w:eastAsia="Gulim"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Gulim" w:hAnsi="Times New Roman" w:cs="Times New Roman"/>
                <w:sz w:val="20"/>
                <w:szCs w:val="20"/>
              </w:rPr>
            </w:pPr>
            <w:r>
              <w:rPr>
                <w:rFonts w:ascii="Times New Roman" w:eastAsia="Gulim"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Gulim" w:hAnsi="Times New Roman" w:cs="Times New Roman"/>
                <w:sz w:val="20"/>
                <w:szCs w:val="20"/>
              </w:rPr>
            </w:pPr>
            <w:r w:rsidRPr="006809C6">
              <w:rPr>
                <w:rFonts w:ascii="Times New Roman" w:eastAsia="Gulim" w:hAnsi="Times New Roman" w:cs="Times New Roman"/>
                <w:sz w:val="20"/>
                <w:szCs w:val="20"/>
              </w:rPr>
              <w:t xml:space="preserve">We </w:t>
            </w:r>
            <w:r>
              <w:rPr>
                <w:rFonts w:ascii="Times New Roman" w:eastAsia="Gulim"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s CATT and Nokia pointed that this discussion point is related to the last meeting agreement and the tentative TP based on the agreement will be discussed in email thread#1.I suggest we can come back to this issue discussion after the outcome of that TP in email thread#1. Note: the tentative TP of proposals in email thread#1 is new and little different with the summary version at end of last meeting, the new TP could cover the one SPS PDSCH case.</w:t>
            </w:r>
          </w:p>
        </w:tc>
      </w:tr>
    </w:tbl>
    <w:p w14:paraId="35E46C2E" w14:textId="77777777" w:rsidR="00B702F1" w:rsidRDefault="00B702F1" w:rsidP="00B702F1">
      <w:pPr>
        <w:pStyle w:val="Heading3"/>
        <w:ind w:left="1000" w:hanging="400"/>
      </w:pPr>
      <w:r>
        <w:rPr>
          <w:rFonts w:hint="eastAsia"/>
        </w:rPr>
        <w:lastRenderedPageBreak/>
        <w:t>FL</w:t>
      </w:r>
      <w:r>
        <w:t>’s suggestion on the issue 3.3 at 5/28</w:t>
      </w:r>
    </w:p>
    <w:p w14:paraId="1716E5DF" w14:textId="77777777" w:rsidR="00B702F1" w:rsidRDefault="00B702F1" w:rsidP="00B702F1">
      <w:r>
        <w:t>Based on the comment, what CATT and Nokia commented is valid. Because we are changing a description of 9.1.2, so that the description would apply only to the case of more than one SPS receptions. Therefore, existing one SPS reception case may or may not be a problem. In this point of view, I would like to suggest to adopt TP#4 as alternative. It would be safer than revising 9.1.2 or TP1.</w:t>
      </w:r>
    </w:p>
    <w:p w14:paraId="69F40828" w14:textId="777336EC" w:rsidR="000E4F2E" w:rsidRDefault="000E4F2E" w:rsidP="000E4F2E">
      <w:r>
        <w:rPr>
          <w:rFonts w:hint="eastAsia"/>
        </w:rPr>
        <w:t>@ZTE:</w:t>
      </w:r>
    </w:p>
    <w:p w14:paraId="2E922F4E" w14:textId="11BC14B6" w:rsidR="00B702F1" w:rsidRDefault="000E4F2E" w:rsidP="000E4F2E">
      <w:r>
        <w:t>T</w:t>
      </w:r>
      <w:r w:rsidR="00B702F1">
        <w:t>he problem comes from different handling for single bit between type 1 and type 2</w:t>
      </w:r>
      <w:r>
        <w:t xml:space="preserve"> codebook. It means it could be difficult to refer Type 1 codebook to make single bit for type 2 codebook. In addition, the text for single bit in 9.1.2 would be </w:t>
      </w:r>
      <w:r w:rsidR="00B702F1">
        <w:t>“the UE determines a HARQ-ACK codebook only for the SPS PDSCH”</w:t>
      </w:r>
      <w:r>
        <w:t xml:space="preserve">. It seems not clear how to append. </w:t>
      </w:r>
    </w:p>
    <w:p w14:paraId="392D88F2" w14:textId="77777777" w:rsidR="00B702F1" w:rsidRDefault="00B702F1" w:rsidP="00B702F1"/>
    <w:p w14:paraId="3A2234C2" w14:textId="77777777" w:rsidR="00B702F1" w:rsidRPr="000913A5" w:rsidRDefault="00B702F1" w:rsidP="00B702F1">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A: </w:t>
      </w:r>
      <w:r w:rsidRPr="000913A5">
        <w:rPr>
          <w:rFonts w:hint="eastAsia"/>
          <w:b/>
          <w:lang w:val="en-GB"/>
        </w:rPr>
        <w:t xml:space="preserve"> </w:t>
      </w:r>
      <w:r>
        <w:rPr>
          <w:b/>
          <w:lang w:val="en-GB"/>
        </w:rPr>
        <w:t>Take TP4 as agreed TP.</w:t>
      </w:r>
    </w:p>
    <w:p w14:paraId="4D4ED064"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D85E562" w14:textId="77777777" w:rsidTr="00B702F1">
        <w:trPr>
          <w:trHeight w:val="294"/>
          <w:jc w:val="center"/>
        </w:trPr>
        <w:tc>
          <w:tcPr>
            <w:tcW w:w="678" w:type="pct"/>
            <w:shd w:val="clear" w:color="auto" w:fill="9CC2E5"/>
            <w:tcMar>
              <w:top w:w="0" w:type="dxa"/>
              <w:left w:w="108" w:type="dxa"/>
              <w:bottom w:w="0" w:type="dxa"/>
              <w:right w:w="108" w:type="dxa"/>
            </w:tcMar>
          </w:tcPr>
          <w:p w14:paraId="639D64F7" w14:textId="77777777" w:rsidR="00B702F1" w:rsidRPr="004B1732" w:rsidRDefault="00B702F1" w:rsidP="00B702F1">
            <w:pPr>
              <w:widowControl/>
              <w:spacing w:line="240" w:lineRule="atLeast"/>
              <w:rPr>
                <w:rFonts w:eastAsia="Gulim" w:cs="Times New Roman"/>
                <w:szCs w:val="20"/>
                <w:lang w:eastAsia="zh-CN"/>
              </w:rPr>
            </w:pPr>
          </w:p>
        </w:tc>
        <w:tc>
          <w:tcPr>
            <w:tcW w:w="4322" w:type="pct"/>
            <w:shd w:val="clear" w:color="auto" w:fill="9CC2E5"/>
            <w:tcMar>
              <w:top w:w="0" w:type="dxa"/>
              <w:left w:w="108" w:type="dxa"/>
              <w:bottom w:w="0" w:type="dxa"/>
              <w:right w:w="108" w:type="dxa"/>
            </w:tcMar>
          </w:tcPr>
          <w:p w14:paraId="2837535D" w14:textId="77777777" w:rsidR="00B702F1" w:rsidRPr="004B1732" w:rsidRDefault="00B702F1" w:rsidP="00B702F1">
            <w:pPr>
              <w:widowControl/>
              <w:spacing w:line="240" w:lineRule="atLeast"/>
              <w:rPr>
                <w:rFonts w:eastAsia="Gulim" w:cs="Times New Roman"/>
                <w:szCs w:val="20"/>
              </w:rPr>
            </w:pPr>
          </w:p>
        </w:tc>
      </w:tr>
      <w:tr w:rsidR="00B702F1" w:rsidRPr="00475E1E" w14:paraId="02F0F050" w14:textId="77777777" w:rsidTr="00B702F1">
        <w:trPr>
          <w:trHeight w:val="327"/>
          <w:jc w:val="center"/>
        </w:trPr>
        <w:tc>
          <w:tcPr>
            <w:tcW w:w="678" w:type="pct"/>
            <w:tcMar>
              <w:top w:w="0" w:type="dxa"/>
              <w:left w:w="108" w:type="dxa"/>
              <w:bottom w:w="0" w:type="dxa"/>
              <w:right w:w="108" w:type="dxa"/>
            </w:tcMar>
          </w:tcPr>
          <w:p w14:paraId="44BDCF32" w14:textId="30BDE65E" w:rsidR="00B702F1" w:rsidRPr="00545D47" w:rsidRDefault="00CE2D66" w:rsidP="00B702F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40C28EE6" w14:textId="037AC1B1" w:rsidR="00B702F1" w:rsidRPr="00545D47" w:rsidRDefault="00CE2D66" w:rsidP="00B702F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w:t>
            </w:r>
          </w:p>
        </w:tc>
      </w:tr>
      <w:tr w:rsidR="0021191B" w:rsidRPr="00475E1E" w14:paraId="41D788B5" w14:textId="77777777" w:rsidTr="00B702F1">
        <w:trPr>
          <w:trHeight w:val="327"/>
          <w:jc w:val="center"/>
        </w:trPr>
        <w:tc>
          <w:tcPr>
            <w:tcW w:w="678" w:type="pct"/>
            <w:tcMar>
              <w:top w:w="0" w:type="dxa"/>
              <w:left w:w="108" w:type="dxa"/>
              <w:bottom w:w="0" w:type="dxa"/>
              <w:right w:w="108" w:type="dxa"/>
            </w:tcMar>
          </w:tcPr>
          <w:p w14:paraId="30EC5D48" w14:textId="4AA59E1E" w:rsidR="0021191B" w:rsidRDefault="00B75880" w:rsidP="00B702F1">
            <w:pPr>
              <w:pStyle w:val="xmsonormal"/>
              <w:spacing w:line="240" w:lineRule="atLeast"/>
              <w:jc w:val="both"/>
              <w:rPr>
                <w:rFonts w:ascii="Times New Roman" w:eastAsia="Gulim" w:hAnsi="Times New Roman" w:cs="Times New Roman"/>
                <w:sz w:val="20"/>
                <w:szCs w:val="20"/>
                <w:lang w:eastAsia="zh-CN"/>
              </w:rPr>
            </w:pPr>
            <w:r w:rsidRPr="00B75880">
              <w:rPr>
                <w:rFonts w:ascii="Times New Roman" w:eastAsia="Gulim" w:hAnsi="Times New Roman" w:cs="Times New Roman" w:hint="eastAsia"/>
                <w:sz w:val="20"/>
                <w:szCs w:val="20"/>
              </w:rPr>
              <w:t>v</w:t>
            </w:r>
            <w:r w:rsidRPr="00B75880">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76C36A72" w14:textId="5E82154B" w:rsidR="0021191B" w:rsidRPr="00B75880"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upport</w:t>
            </w:r>
          </w:p>
        </w:tc>
      </w:tr>
      <w:tr w:rsidR="00FC499D" w:rsidRPr="00475E1E" w14:paraId="4182BF4D" w14:textId="77777777" w:rsidTr="00B702F1">
        <w:trPr>
          <w:trHeight w:val="327"/>
          <w:jc w:val="center"/>
        </w:trPr>
        <w:tc>
          <w:tcPr>
            <w:tcW w:w="678" w:type="pct"/>
            <w:tcMar>
              <w:top w:w="0" w:type="dxa"/>
              <w:left w:w="108" w:type="dxa"/>
              <w:bottom w:w="0" w:type="dxa"/>
              <w:right w:w="108" w:type="dxa"/>
            </w:tcMar>
          </w:tcPr>
          <w:p w14:paraId="097FB255" w14:textId="6330102D" w:rsidR="00FC499D" w:rsidRPr="00B75880" w:rsidRDefault="00FC499D" w:rsidP="00B702F1">
            <w:pPr>
              <w:pStyle w:val="xmsonormal"/>
              <w:spacing w:line="240" w:lineRule="atLeast"/>
              <w:jc w:val="both"/>
              <w:rPr>
                <w:rFonts w:ascii="Times New Roman" w:eastAsia="Gulim" w:hAnsi="Times New Roman" w:cs="Times New Roman" w:hint="eastAsia"/>
                <w:sz w:val="20"/>
                <w:szCs w:val="20"/>
              </w:rPr>
            </w:pPr>
            <w:r>
              <w:rPr>
                <w:rFonts w:ascii="Times New Roman" w:eastAsia="Gulim" w:hAnsi="Times New Roman" w:cs="Times New Roman"/>
                <w:sz w:val="20"/>
                <w:szCs w:val="20"/>
              </w:rPr>
              <w:t>NEC</w:t>
            </w:r>
          </w:p>
        </w:tc>
        <w:tc>
          <w:tcPr>
            <w:tcW w:w="4322" w:type="pct"/>
            <w:tcMar>
              <w:top w:w="0" w:type="dxa"/>
              <w:left w:w="108" w:type="dxa"/>
              <w:bottom w:w="0" w:type="dxa"/>
              <w:right w:w="108" w:type="dxa"/>
            </w:tcMar>
          </w:tcPr>
          <w:p w14:paraId="02E90C1F" w14:textId="06B66D29" w:rsidR="00FC499D" w:rsidRDefault="00FC499D" w:rsidP="00B702F1">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Support</w:t>
            </w:r>
          </w:p>
        </w:tc>
      </w:tr>
    </w:tbl>
    <w:p w14:paraId="703FEFF9" w14:textId="77777777" w:rsidR="00B702F1" w:rsidRPr="00BF7633" w:rsidRDefault="00B702F1" w:rsidP="00B702F1"/>
    <w:p w14:paraId="5FE6052A" w14:textId="77777777" w:rsidR="00B702F1" w:rsidRPr="00DC2EF4" w:rsidRDefault="00B702F1" w:rsidP="00B702F1"/>
    <w:p w14:paraId="166107C8" w14:textId="77777777" w:rsidR="00B702F1" w:rsidRDefault="00B702F1" w:rsidP="00B702F1">
      <w:pPr>
        <w:spacing w:line="240" w:lineRule="atLeast"/>
        <w:rPr>
          <w:rFonts w:eastAsia="Malgun Gothic"/>
        </w:rPr>
      </w:pPr>
    </w:p>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Heading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r w:rsidRPr="004E082B">
        <w:rPr>
          <w:rFonts w:eastAsia="Malgun Gothic"/>
          <w:i/>
        </w:rPr>
        <w:t>pdsch-AggregationFactor</w:t>
      </w:r>
      <w:r w:rsidRPr="004E082B">
        <w:rPr>
          <w:rFonts w:eastAsia="Malgun Gothic"/>
        </w:rPr>
        <w:t xml:space="preserve"> occasions</w:t>
      </w:r>
      <w:r>
        <w:rPr>
          <w:rFonts w:eastAsia="Malgun Gothic"/>
        </w:rPr>
        <w:t>?</w:t>
      </w:r>
    </w:p>
    <w:p w14:paraId="05F89988"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rPr>
        <w:t xml:space="preserve">How to assume </w:t>
      </w:r>
      <w:r w:rsidRPr="004E082B">
        <w:rPr>
          <w:rFonts w:eastAsia="Malgun Gothic"/>
          <w:i/>
        </w:rPr>
        <w:t>pdsch-AggregationFactor</w:t>
      </w:r>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ListParagraph"/>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6.5pt" o:ole="">
            <v:imagedata r:id="rId21" o:title=""/>
          </v:shape>
          <o:OLEObject Type="Embed" ProgID="Equation.3" ShapeID="_x0000_i1025" DrawAspect="Content" ObjectID="_1652259770"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TableGrid"/>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ListParagraph"/>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TableGrid"/>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lastRenderedPageBreak/>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TableGrid"/>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lastRenderedPageBreak/>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FC499D"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FC499D"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TableGrid"/>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Heading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lastRenderedPageBreak/>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 xml:space="preserve">location in the Type-1 HARQ-ACK codebook for HARQ-ACK information corresponding to a single SPS PDSCH release is same as for a corresponding SPS PDSCH reception. A location in the Type-1 HARQ-ACK codebook for HARQ-ACK information corresponding to multiple </w:t>
            </w:r>
            <w:r w:rsidRPr="003A00B6">
              <w:rPr>
                <w:lang w:eastAsia="x-none"/>
              </w:rPr>
              <w:lastRenderedPageBreak/>
              <w:t>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FC499D"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xml:space="preserve">: For Type-2 HARQ-ACK codebook, monitoring occasions for PDCCH on an active DL BWP of a serving </w:t>
      </w:r>
      <w:r w:rsidRPr="008C6F5E">
        <w:rPr>
          <w:b/>
          <w:i/>
          <w:u w:val="single"/>
        </w:rPr>
        <w:lastRenderedPageBreak/>
        <w:t>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TableGrid"/>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t>TS 38.213</w:t>
            </w:r>
          </w:p>
          <w:p w14:paraId="7FDA554E" w14:textId="77777777" w:rsidR="00A44B87" w:rsidRPr="003A00B6" w:rsidRDefault="00A44B87" w:rsidP="00A44B87">
            <w:pPr>
              <w:pStyle w:val="Heading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ListParagraph"/>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lastRenderedPageBreak/>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B702F1">
      <w:pPr>
        <w:pStyle w:val="Heading3"/>
        <w:ind w:left="1000" w:hanging="400"/>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ListParagraph"/>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ListParagraph"/>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ListParagraph"/>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lastRenderedPageBreak/>
              <w:t>v</w:t>
            </w:r>
            <w:r w:rsidRPr="00131B28">
              <w:rPr>
                <w:rFonts w:ascii="Times New Roman" w:eastAsia="Batang"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Gulim" w:hAnsi="Times New Roman" w:cs="Times New Roman"/>
                <w:kern w:val="2"/>
                <w:sz w:val="20"/>
                <w:szCs w:val="20"/>
              </w:rPr>
            </w:pPr>
            <w:r>
              <w:rPr>
                <w:rFonts w:ascii="Times New Roman" w:eastAsia="Gulim"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Gulim"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Gulim"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Gulim" w:eastAsia="Gulim" w:hAnsi="Gulim"/>
                <w:kern w:val="2"/>
                <w:sz w:val="20"/>
                <w:szCs w:val="20"/>
              </w:rPr>
            </w:pPr>
            <w:r>
              <w:rPr>
                <w:rFonts w:ascii="Gulim" w:eastAsia="Gulim" w:hAnsi="Gulim"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2FA72A28" w:rsidR="00503172" w:rsidRDefault="006B373D">
            <w:pPr>
              <w:pStyle w:val="xmsonormal"/>
              <w:spacing w:line="240" w:lineRule="atLeast"/>
              <w:jc w:val="both"/>
              <w:rPr>
                <w:rFonts w:ascii="Times New Roman" w:eastAsia="Gulim" w:hAnsi="Times New Roman" w:cs="Times New Roman"/>
                <w:kern w:val="2"/>
                <w:sz w:val="20"/>
                <w:szCs w:val="20"/>
              </w:rPr>
            </w:pPr>
            <w:r>
              <w:rPr>
                <w:noProof/>
                <w:kern w:val="2"/>
                <w:lang w:eastAsia="zh-CN"/>
              </w:rPr>
              <w:drawing>
                <wp:inline distT="0" distB="0" distL="0" distR="0" wp14:anchorId="7A3903C3" wp14:editId="2BBDE92D">
                  <wp:extent cx="3576955" cy="1119505"/>
                  <wp:effectExtent l="0" t="0" r="4445" b="444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76955" cy="1119505"/>
                          </a:xfrm>
                          <a:prstGeom prst="rect">
                            <a:avLst/>
                          </a:prstGeom>
                          <a:noFill/>
                          <a:ln>
                            <a:noFill/>
                          </a:ln>
                        </pic:spPr>
                      </pic:pic>
                    </a:graphicData>
                  </a:graphic>
                </wp:inline>
              </w:drawing>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lastRenderedPageBreak/>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Gulim" w:hAnsi="Gulim"/>
                <w:sz w:val="20"/>
                <w:szCs w:val="20"/>
                <w:lang w:eastAsia="zh-CN"/>
              </w:rPr>
            </w:pPr>
            <w:r>
              <w:rPr>
                <w:rFonts w:ascii="Times New Roman" w:eastAsia="Gulim"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Gulim" w:hAnsi="Gulim"/>
                <w:sz w:val="20"/>
                <w:szCs w:val="20"/>
                <w:lang w:eastAsia="zh-CN"/>
              </w:rPr>
            </w:pPr>
            <w:r>
              <w:rPr>
                <w:rFonts w:ascii="Times New Roman" w:eastAsia="Gulim"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Gulim"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Gulim" w:hAnsi="Times New Roman" w:cs="Times New Roman"/>
                <w:kern w:val="2"/>
                <w:sz w:val="20"/>
                <w:szCs w:val="20"/>
              </w:rPr>
            </w:pPr>
            <w:r>
              <w:rPr>
                <w:rFonts w:ascii="Gulim" w:eastAsia="Gulim" w:hAnsi="Gulim" w:hint="eastAsia"/>
                <w:kern w:val="2"/>
                <w:sz w:val="20"/>
                <w:szCs w:val="20"/>
              </w:rPr>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Gulim" w:hAnsi="Times New Roman" w:cs="Times New Roman"/>
                <w:kern w:val="2"/>
                <w:sz w:val="20"/>
                <w:szCs w:val="20"/>
              </w:rPr>
            </w:pPr>
            <w:r>
              <w:rPr>
                <w:rFonts w:ascii="Gulim" w:eastAsia="Gulim" w:hAnsi="Gulim"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respect to the comment from Vivo, it is problematic to operate with </w:t>
            </w:r>
            <m:oMath>
              <m:sSubSup>
                <m:sSubSupPr>
                  <m:ctrlPr>
                    <w:rPr>
                      <w:rFonts w:ascii="Cambria Math" w:eastAsia="Gulim" w:hAnsi="Cambria Math" w:cs="Times New Roman"/>
                      <w:kern w:val="2"/>
                    </w:rPr>
                  </m:ctrlPr>
                </m:sSubSupPr>
                <m:e>
                  <m:r>
                    <w:rPr>
                      <w:rFonts w:ascii="Cambria Math" w:eastAsia="Gulim" w:hAnsi="Cambria Math" w:cs="Times New Roman"/>
                      <w:kern w:val="2"/>
                      <w:sz w:val="20"/>
                      <w:szCs w:val="20"/>
                    </w:rPr>
                    <m:t>N</m:t>
                  </m:r>
                </m:e>
                <m:sub>
                  <m:r>
                    <m:rPr>
                      <m:sty m:val="p"/>
                    </m:rPr>
                    <w:rPr>
                      <w:rFonts w:ascii="Cambria Math" w:eastAsia="Gulim" w:hAnsi="Cambria Math" w:cs="Times New Roman"/>
                      <w:kern w:val="2"/>
                      <w:sz w:val="20"/>
                      <w:szCs w:val="20"/>
                    </w:rPr>
                    <m:t>PDSCH</m:t>
                  </m:r>
                </m:sub>
                <m:sup>
                  <m:r>
                    <m:rPr>
                      <m:sty m:val="p"/>
                    </m:rPr>
                    <w:rPr>
                      <w:rFonts w:ascii="Cambria Math" w:eastAsia="Gulim" w:hAnsi="Cambria Math" w:cs="Times New Roman"/>
                      <w:kern w:val="2"/>
                      <w:sz w:val="20"/>
                      <w:szCs w:val="20"/>
                    </w:rPr>
                    <m:t>repeat</m:t>
                  </m:r>
                </m:sup>
              </m:sSubSup>
              <m:r>
                <w:rPr>
                  <w:rFonts w:ascii="Cambria Math" w:eastAsia="Gulim" w:hAnsi="Cambria Math" w:cs="Times New Roman"/>
                  <w:kern w:val="2"/>
                  <w:sz w:val="20"/>
                  <w:szCs w:val="20"/>
                </w:rPr>
                <m:t>=1</m:t>
              </m:r>
            </m:oMath>
            <w:r>
              <w:rPr>
                <w:rFonts w:ascii="Times New Roman" w:eastAsia="Gulim"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B702F1">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Gulim" w:hAnsi="Times New Roman" w:cs="Times New Roman"/>
                <w:sz w:val="20"/>
                <w:szCs w:val="20"/>
              </w:rPr>
            </w:pPr>
            <w:r>
              <w:rPr>
                <w:rFonts w:ascii="Times New Roman" w:eastAsia="Gulim"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Gulim" w:hAnsi="Times New Roman" w:cs="Times New Roman"/>
                <w:sz w:val="20"/>
                <w:szCs w:val="20"/>
                <w:vertAlign w:val="subscript"/>
              </w:rPr>
              <w:t>A,C</w:t>
            </w: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ListParagraph"/>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lastRenderedPageBreak/>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Gulim" w:hAnsi="Gulim"/>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Gulim" w:hAnsi="Gulim"/>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Gulim" w:hAnsi="Times New Roman" w:cs="Times New Roman"/>
                <w:sz w:val="20"/>
                <w:szCs w:val="20"/>
              </w:rPr>
            </w:pPr>
            <w:r w:rsidRPr="0077564A">
              <w:rPr>
                <w:rFonts w:ascii="Times New Roman" w:eastAsia="Gulim"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Gulim"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Gulim"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Gulim" w:hAnsi="Times New Roman" w:cs="Times New Roman"/>
                <w:sz w:val="20"/>
                <w:szCs w:val="20"/>
              </w:rPr>
            </w:pPr>
            <w:r w:rsidRPr="00E374D1">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B702F1">
            <w:pPr>
              <w:pStyle w:val="xmsonormal"/>
              <w:spacing w:line="240" w:lineRule="atLeast"/>
              <w:jc w:val="both"/>
              <w:rPr>
                <w:rFonts w:ascii="Times New Roman" w:eastAsia="Gulim" w:hAnsi="Times New Roman" w:cs="Times New Roman"/>
                <w:sz w:val="20"/>
                <w:szCs w:val="20"/>
              </w:rPr>
            </w:pPr>
            <w:r w:rsidRPr="00904205">
              <w:rPr>
                <w:rFonts w:ascii="Times New Roman" w:eastAsia="Gulim"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B702F1">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Malgun Gothic"/>
        </w:rPr>
      </w:pPr>
    </w:p>
    <w:p w14:paraId="7A832F9E" w14:textId="77777777" w:rsidR="00B702F1" w:rsidRDefault="00B702F1" w:rsidP="00B702F1">
      <w:pPr>
        <w:pStyle w:val="Heading3"/>
        <w:ind w:left="1000" w:hanging="400"/>
      </w:pPr>
      <w:r>
        <w:rPr>
          <w:rFonts w:hint="eastAsia"/>
        </w:rPr>
        <w:t>FL</w:t>
      </w:r>
      <w:r>
        <w:t>’s suggestion on the issue 3.6 at 5/28</w:t>
      </w:r>
    </w:p>
    <w:p w14:paraId="15C6BBA9" w14:textId="77777777" w:rsidR="00B702F1" w:rsidRDefault="00B702F1" w:rsidP="00B702F1"/>
    <w:p w14:paraId="0419EE3B" w14:textId="77777777" w:rsidR="00B702F1" w:rsidRDefault="00B702F1" w:rsidP="00B702F1">
      <w:r>
        <w:rPr>
          <w:rFonts w:hint="eastAsia"/>
        </w:rPr>
        <w:t>Based on the comment on the proposal 1</w:t>
      </w:r>
      <w:r>
        <w:t>, there are three companies having concern and those two also want to have same UE behavior as in Rel-15. That means we are having different understanding. If I understood specification correctly, SLIV is filtered with consideration of the number of repetition, in order to determine PDSCH occasions for codebook. Then UE reports HARQ-ACK bit corresponding to each occasion. There is definitely lack of description. However, as Huawei/HiSilicon mentioned, the system may works if UE</w:t>
      </w:r>
      <w:r w:rsidRPr="00132329">
        <w:t xml:space="preserve"> generate</w:t>
      </w:r>
      <w:r>
        <w:t>s</w:t>
      </w:r>
      <w:r w:rsidRPr="00132329">
        <w:t xml:space="preserve"> an A/N bit </w:t>
      </w:r>
      <w:r>
        <w:t xml:space="preserve">at least for the last repetition. I think it is not necessary to </w:t>
      </w:r>
      <w:r>
        <w:rPr>
          <w:rFonts w:hint="eastAsia"/>
        </w:rPr>
        <w:t xml:space="preserve">discuss what Rel-15 behavior is. </w:t>
      </w:r>
      <w:r>
        <w:t>I modified proposed Conclusion as following.</w:t>
      </w:r>
    </w:p>
    <w:p w14:paraId="71D50ADF" w14:textId="77777777" w:rsidR="00B702F1" w:rsidRPr="00132329" w:rsidRDefault="00B702F1" w:rsidP="00B702F1"/>
    <w:p w14:paraId="150F0B1E" w14:textId="77777777" w:rsidR="00B702F1" w:rsidRDefault="00B702F1" w:rsidP="00B702F1">
      <w:pPr>
        <w:spacing w:line="240" w:lineRule="atLeast"/>
        <w:rPr>
          <w:rFonts w:eastAsia="Malgun Gothic"/>
          <w:b/>
        </w:rPr>
      </w:pPr>
      <w:r>
        <w:rPr>
          <w:rFonts w:eastAsia="Malgun Gothic"/>
          <w:b/>
          <w:highlight w:val="yellow"/>
        </w:rPr>
        <w:t xml:space="preserve">Proposed </w:t>
      </w:r>
      <w:r w:rsidRPr="009C2842">
        <w:rPr>
          <w:rFonts w:eastAsia="Malgun Gothic"/>
          <w:b/>
          <w:highlight w:val="yellow"/>
        </w:rPr>
        <w:t>Conclusion</w:t>
      </w:r>
      <w:r>
        <w:rPr>
          <w:rFonts w:eastAsia="Malgun Gothic"/>
          <w:b/>
        </w:rPr>
        <w:t xml:space="preserve"> 1A</w:t>
      </w:r>
      <w:r w:rsidRPr="009C2842">
        <w:rPr>
          <w:rFonts w:eastAsia="Malgun Gothic"/>
          <w:b/>
        </w:rPr>
        <w:t xml:space="preserve">: For </w:t>
      </w:r>
      <w:r>
        <w:rPr>
          <w:rFonts w:eastAsia="Malgun Gothic"/>
          <w:b/>
        </w:rPr>
        <w:t xml:space="preserve">a </w:t>
      </w:r>
      <w:r w:rsidRPr="009C2842">
        <w:rPr>
          <w:rFonts w:eastAsia="Malgun Gothic"/>
          <w:b/>
        </w:rPr>
        <w:t xml:space="preserve">SPS PDSCH with aggregation factor, </w:t>
      </w:r>
      <w:r w:rsidRPr="00CE752E">
        <w:rPr>
          <w:rFonts w:eastAsia="Malgun Gothic"/>
          <w:b/>
        </w:rPr>
        <w:t xml:space="preserve">UE </w:t>
      </w:r>
      <w:r>
        <w:rPr>
          <w:rFonts w:eastAsia="Malgun Gothic"/>
          <w:b/>
        </w:rPr>
        <w:t>behavior is same as PDSCH with pdsch-</w:t>
      </w:r>
      <w:r w:rsidRPr="00132329">
        <w:rPr>
          <w:rFonts w:eastAsia="Malgun Gothic"/>
          <w:b/>
        </w:rPr>
        <w:t xml:space="preserve"> </w:t>
      </w:r>
      <w:r w:rsidRPr="009C2842">
        <w:rPr>
          <w:rFonts w:eastAsia="Malgun Gothic"/>
          <w:b/>
        </w:rPr>
        <w:t>aggregation factor</w:t>
      </w:r>
      <w:r>
        <w:rPr>
          <w:rFonts w:eastAsia="Malgun Gothic"/>
          <w:b/>
        </w:rPr>
        <w:t xml:space="preserve"> in Rel-15 with given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p>
    <w:p w14:paraId="7D2A4C58" w14:textId="77777777" w:rsidR="00B702F1" w:rsidRDefault="00B702F1" w:rsidP="00B702F1">
      <w:pPr>
        <w:spacing w:line="240" w:lineRule="atLeast"/>
        <w:rPr>
          <w:rFonts w:eastAsia="Malgun Gothic"/>
          <w:b/>
        </w:rPr>
      </w:pPr>
    </w:p>
    <w:p w14:paraId="5ABFD2FD"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545FEEB1" w14:textId="77777777" w:rsidTr="00B702F1">
        <w:trPr>
          <w:trHeight w:val="294"/>
          <w:jc w:val="center"/>
        </w:trPr>
        <w:tc>
          <w:tcPr>
            <w:tcW w:w="678" w:type="pct"/>
            <w:shd w:val="clear" w:color="auto" w:fill="9CC2E5"/>
            <w:tcMar>
              <w:top w:w="0" w:type="dxa"/>
              <w:left w:w="108" w:type="dxa"/>
              <w:bottom w:w="0" w:type="dxa"/>
              <w:right w:w="108" w:type="dxa"/>
            </w:tcMar>
            <w:hideMark/>
          </w:tcPr>
          <w:p w14:paraId="0C0E1A0A" w14:textId="77777777" w:rsidR="00B702F1" w:rsidRPr="004B1732" w:rsidRDefault="00B702F1" w:rsidP="00B702F1">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409BB37" w14:textId="77777777" w:rsidR="00B702F1" w:rsidRPr="004B1732" w:rsidRDefault="00B702F1" w:rsidP="00B702F1">
            <w:pPr>
              <w:widowControl/>
              <w:spacing w:line="240" w:lineRule="atLeast"/>
              <w:rPr>
                <w:rFonts w:eastAsia="Gulim" w:cs="Times New Roman"/>
                <w:szCs w:val="20"/>
              </w:rPr>
            </w:pPr>
            <w:r w:rsidRPr="004B1732">
              <w:rPr>
                <w:rFonts w:eastAsia="Gulim" w:cs="Times New Roman"/>
                <w:szCs w:val="20"/>
              </w:rPr>
              <w:t>Comment if any</w:t>
            </w:r>
          </w:p>
        </w:tc>
      </w:tr>
      <w:tr w:rsidR="00CE2D66" w:rsidRPr="00475E1E" w14:paraId="527A8C7C" w14:textId="77777777" w:rsidTr="00B702F1">
        <w:trPr>
          <w:trHeight w:val="327"/>
          <w:jc w:val="center"/>
        </w:trPr>
        <w:tc>
          <w:tcPr>
            <w:tcW w:w="678" w:type="pct"/>
            <w:tcMar>
              <w:top w:w="0" w:type="dxa"/>
              <w:left w:w="108" w:type="dxa"/>
              <w:bottom w:w="0" w:type="dxa"/>
              <w:right w:w="108" w:type="dxa"/>
            </w:tcMar>
          </w:tcPr>
          <w:p w14:paraId="7F54E19A" w14:textId="3996CE2F"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0F10E4AE" w14:textId="37DB4515" w:rsidR="00CE2D66"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First of all, we are a bit puzzled what this conclusion would help here really. </w:t>
            </w:r>
          </w:p>
          <w:p w14:paraId="067E2D4E" w14:textId="77777777" w:rsidR="00CE2D66" w:rsidRDefault="00CE2D66" w:rsidP="00CE2D66">
            <w:pPr>
              <w:pStyle w:val="xmsonormal"/>
              <w:spacing w:line="240" w:lineRule="atLeast"/>
              <w:jc w:val="both"/>
              <w:rPr>
                <w:rFonts w:ascii="Times New Roman" w:eastAsia="Gulim" w:hAnsi="Times New Roman" w:cs="Times New Roman"/>
                <w:sz w:val="20"/>
                <w:szCs w:val="20"/>
              </w:rPr>
            </w:pPr>
          </w:p>
          <w:p w14:paraId="6970AFBF" w14:textId="60A43CFD" w:rsidR="00CE2D66" w:rsidRDefault="00CE2D66" w:rsidP="00CE2D66">
            <w:pPr>
              <w:pStyle w:val="xmsonormal"/>
              <w:spacing w:line="240" w:lineRule="atLeast"/>
              <w:jc w:val="both"/>
              <w:rPr>
                <w:rFonts w:ascii="Times New Roman" w:hAnsi="Times New Roman" w:cs="Times New Roman"/>
                <w:i/>
                <w:iCs/>
                <w:sz w:val="18"/>
                <w:szCs w:val="18"/>
              </w:rPr>
            </w:pPr>
            <w:r>
              <w:rPr>
                <w:rFonts w:ascii="Times New Roman" w:eastAsia="Gulim" w:hAnsi="Times New Roman" w:cs="Times New Roman"/>
                <w:sz w:val="20"/>
                <w:szCs w:val="20"/>
              </w:rPr>
              <w:t xml:space="preserve">And some clarification is needed. Although we tend to agree with the conclusion, we would like to first clarify the FL’s understanding of the Rel-15 behaviour description preceding the proposal: </w:t>
            </w:r>
            <w:r w:rsidRPr="00E02C9B">
              <w:rPr>
                <w:rFonts w:ascii="Times New Roman" w:hAnsi="Times New Roman" w:cs="Times New Roman"/>
                <w:i/>
                <w:iCs/>
                <w:sz w:val="20"/>
                <w:szCs w:val="20"/>
              </w:rPr>
              <w:t xml:space="preserve">If I understood specification correctly, SLIV is filtered with consideration of the number of repetition, in order to determine PDSCH occasions for codebook. </w:t>
            </w:r>
            <w:r w:rsidRPr="00E02C9B">
              <w:rPr>
                <w:rFonts w:ascii="Times New Roman" w:hAnsi="Times New Roman" w:cs="Times New Roman"/>
                <w:i/>
                <w:iCs/>
                <w:sz w:val="20"/>
                <w:szCs w:val="20"/>
                <w:highlight w:val="yellow"/>
              </w:rPr>
              <w:t>Then UE reports HARQ-ACK bit corresponding to each occasion.</w:t>
            </w:r>
            <w:r w:rsidRPr="00E02C9B">
              <w:rPr>
                <w:rFonts w:ascii="Times New Roman" w:hAnsi="Times New Roman" w:cs="Times New Roman"/>
                <w:i/>
                <w:iCs/>
                <w:sz w:val="20"/>
                <w:szCs w:val="20"/>
              </w:rPr>
              <w:t xml:space="preserve"> </w:t>
            </w:r>
          </w:p>
          <w:p w14:paraId="231327F4" w14:textId="77777777" w:rsidR="00CE2D66" w:rsidRPr="00E02C9B" w:rsidRDefault="00CE2D66" w:rsidP="00CE2D66">
            <w:pPr>
              <w:pStyle w:val="xmsonormal"/>
              <w:spacing w:line="240" w:lineRule="atLeast"/>
              <w:jc w:val="both"/>
              <w:rPr>
                <w:rFonts w:ascii="Times New Roman" w:hAnsi="Times New Roman" w:cs="Times New Roman"/>
                <w:i/>
                <w:iCs/>
                <w:sz w:val="20"/>
                <w:szCs w:val="20"/>
              </w:rPr>
            </w:pPr>
          </w:p>
          <w:p w14:paraId="765FC0F6" w14:textId="08C0F2EF" w:rsidR="00CE2D66" w:rsidRPr="00CE2D66" w:rsidRDefault="00CE2D66" w:rsidP="00CE2D66">
            <w:pPr>
              <w:pStyle w:val="xmsonormal"/>
              <w:spacing w:line="240" w:lineRule="atLeast"/>
              <w:jc w:val="both"/>
              <w:rPr>
                <w:rFonts w:ascii="Times New Roman" w:eastAsia="MS Mincho" w:hAnsi="Times New Roman" w:cs="Times New Roman"/>
                <w:sz w:val="20"/>
                <w:szCs w:val="20"/>
              </w:rPr>
            </w:pPr>
            <w:r w:rsidRPr="00E02C9B">
              <w:rPr>
                <w:rFonts w:ascii="Times New Roman" w:hAnsi="Times New Roman" w:cs="Times New Roman"/>
                <w:sz w:val="20"/>
                <w:szCs w:val="20"/>
              </w:rPr>
              <w:t xml:space="preserve">Particularly, we disagree with the highlighted part. In Rel-15, the UE generates only one HARQ-ACK bit </w:t>
            </w:r>
            <w:r>
              <w:rPr>
                <w:rFonts w:ascii="Times New Roman" w:hAnsi="Times New Roman" w:cs="Times New Roman"/>
                <w:sz w:val="20"/>
                <w:szCs w:val="20"/>
              </w:rPr>
              <w:t xml:space="preserve">in the PUCCH </w:t>
            </w:r>
            <w:r w:rsidRPr="00E02C9B">
              <w:rPr>
                <w:rFonts w:ascii="Times New Roman" w:eastAsia="MS Mincho" w:hAnsi="Times New Roman" w:cs="Times New Roman"/>
                <w:sz w:val="20"/>
                <w:szCs w:val="20"/>
              </w:rPr>
              <w:t>relative to the last repetition occasion.</w:t>
            </w:r>
          </w:p>
        </w:tc>
      </w:tr>
      <w:tr w:rsidR="00B702F1" w:rsidRPr="00475E1E" w14:paraId="73515B1C" w14:textId="77777777" w:rsidTr="00B702F1">
        <w:trPr>
          <w:trHeight w:val="310"/>
          <w:jc w:val="center"/>
        </w:trPr>
        <w:tc>
          <w:tcPr>
            <w:tcW w:w="678" w:type="pct"/>
            <w:tcMar>
              <w:top w:w="0" w:type="dxa"/>
              <w:left w:w="108" w:type="dxa"/>
              <w:bottom w:w="0" w:type="dxa"/>
              <w:right w:w="108" w:type="dxa"/>
            </w:tcMar>
          </w:tcPr>
          <w:p w14:paraId="426C5946" w14:textId="21EE27CB" w:rsidR="00B702F1" w:rsidRPr="00B616B1"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6FA8D183" w14:textId="33AD7A98" w:rsidR="00B702F1" w:rsidRDefault="006B37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6B373D">
              <w:rPr>
                <w:rFonts w:ascii="Times New Roman" w:hAnsi="Times New Roman" w:cs="Times New Roman"/>
                <w:sz w:val="20"/>
                <w:szCs w:val="20"/>
                <w:lang w:eastAsia="zh-CN"/>
              </w:rPr>
              <w:t>UE behavior</w:t>
            </w:r>
            <w:r>
              <w:rPr>
                <w:rFonts w:ascii="Times New Roman" w:hAnsi="Times New Roman" w:cs="Times New Roman"/>
                <w:sz w:val="20"/>
                <w:szCs w:val="20"/>
                <w:lang w:eastAsia="zh-CN"/>
              </w:rPr>
              <w:t>” here is not clear, we are talking about how to generate A/N bit when UE constructs HAR-ACK codebook, it can cover more.</w:t>
            </w:r>
            <w:r w:rsidR="005B719E">
              <w:rPr>
                <w:rFonts w:ascii="Times New Roman" w:hAnsi="Times New Roman" w:cs="Times New Roman"/>
                <w:sz w:val="20"/>
                <w:szCs w:val="20"/>
                <w:lang w:eastAsia="zh-CN"/>
              </w:rPr>
              <w:t xml:space="preserve"> Maybe we can</w:t>
            </w:r>
            <w:r>
              <w:rPr>
                <w:rFonts w:ascii="Times New Roman" w:hAnsi="Times New Roman" w:cs="Times New Roman"/>
                <w:sz w:val="20"/>
                <w:szCs w:val="20"/>
                <w:lang w:eastAsia="zh-CN"/>
              </w:rPr>
              <w:t xml:space="preserve"> modif</w:t>
            </w:r>
            <w:r w:rsidR="00CB0353">
              <w:rPr>
                <w:rFonts w:ascii="Times New Roman" w:hAnsi="Times New Roman" w:cs="Times New Roman"/>
                <w:sz w:val="20"/>
                <w:szCs w:val="20"/>
                <w:lang w:eastAsia="zh-CN"/>
              </w:rPr>
              <w:t>y the conclusion</w:t>
            </w:r>
            <w:r>
              <w:rPr>
                <w:rFonts w:ascii="Times New Roman" w:hAnsi="Times New Roman" w:cs="Times New Roman"/>
                <w:sz w:val="20"/>
                <w:szCs w:val="20"/>
                <w:lang w:eastAsia="zh-CN"/>
              </w:rPr>
              <w:t xml:space="preserve"> as follow</w:t>
            </w:r>
            <w:r w:rsidR="00CB0353">
              <w:rPr>
                <w:rFonts w:ascii="Times New Roman" w:hAnsi="Times New Roman" w:cs="Times New Roman"/>
                <w:sz w:val="20"/>
                <w:szCs w:val="20"/>
                <w:lang w:eastAsia="zh-CN"/>
              </w:rPr>
              <w:t>ing</w:t>
            </w:r>
            <w:r>
              <w:rPr>
                <w:rFonts w:ascii="Times New Roman" w:hAnsi="Times New Roman" w:cs="Times New Roman"/>
                <w:sz w:val="20"/>
                <w:szCs w:val="20"/>
                <w:lang w:eastAsia="zh-CN"/>
              </w:rPr>
              <w:t>:</w:t>
            </w:r>
          </w:p>
          <w:p w14:paraId="51A99F4E" w14:textId="75CD4918" w:rsidR="006B373D" w:rsidRPr="00B616B1" w:rsidRDefault="006B373D" w:rsidP="00B702F1">
            <w:pPr>
              <w:pStyle w:val="xmsonormal"/>
              <w:spacing w:line="240" w:lineRule="atLeast"/>
              <w:jc w:val="both"/>
              <w:rPr>
                <w:rFonts w:ascii="Times New Roman" w:hAnsi="Times New Roman" w:cs="Times New Roman"/>
                <w:sz w:val="20"/>
                <w:szCs w:val="20"/>
                <w:lang w:eastAsia="zh-CN"/>
              </w:rPr>
            </w:pPr>
            <w:r w:rsidRPr="006B373D">
              <w:rPr>
                <w:rFonts w:ascii="Times New Roman" w:hAnsi="Times New Roman" w:cs="Times New Roman"/>
                <w:sz w:val="20"/>
                <w:szCs w:val="20"/>
                <w:lang w:eastAsia="zh-CN"/>
              </w:rPr>
              <w:t xml:space="preserve">For SPS PDSCH with aggregation factor, UE generates A/N bit in the same </w:t>
            </w:r>
            <w:r>
              <w:rPr>
                <w:rFonts w:ascii="Times New Roman" w:hAnsi="Times New Roman" w:cs="Times New Roman"/>
                <w:sz w:val="20"/>
                <w:szCs w:val="20"/>
                <w:lang w:eastAsia="zh-CN"/>
              </w:rPr>
              <w:t xml:space="preserve">way </w:t>
            </w:r>
            <w:r w:rsidRPr="006B373D">
              <w:rPr>
                <w:rFonts w:ascii="Times New Roman" w:hAnsi="Times New Roman" w:cs="Times New Roman"/>
                <w:sz w:val="20"/>
                <w:szCs w:val="20"/>
                <w:lang w:eastAsia="zh-CN"/>
              </w:rPr>
              <w:t>as in Rel-15 with PDSCH with pdsch- aggregation factor</w:t>
            </w:r>
            <w:r>
              <w:rPr>
                <w:rFonts w:ascii="Times New Roman" w:hAnsi="Times New Roman" w:cs="Times New Roman"/>
                <w:sz w:val="20"/>
                <w:szCs w:val="20"/>
                <w:lang w:eastAsia="zh-CN"/>
              </w:rPr>
              <w:t>.</w:t>
            </w:r>
          </w:p>
        </w:tc>
      </w:tr>
      <w:tr w:rsidR="005D31C6" w:rsidRPr="00475E1E" w14:paraId="7B80D098" w14:textId="77777777" w:rsidTr="00B702F1">
        <w:trPr>
          <w:trHeight w:val="310"/>
          <w:jc w:val="center"/>
        </w:trPr>
        <w:tc>
          <w:tcPr>
            <w:tcW w:w="678" w:type="pct"/>
            <w:tcMar>
              <w:top w:w="0" w:type="dxa"/>
              <w:left w:w="108" w:type="dxa"/>
              <w:bottom w:w="0" w:type="dxa"/>
              <w:right w:w="108" w:type="dxa"/>
            </w:tcMar>
          </w:tcPr>
          <w:p w14:paraId="1BB2D8D2" w14:textId="43CC2C01" w:rsidR="005D31C6" w:rsidRDefault="005D31C6" w:rsidP="00B702F1">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734B141" w14:textId="63F1F15E"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the intention of the </w:t>
            </w:r>
            <w:r w:rsidR="00D933CE">
              <w:rPr>
                <w:rFonts w:ascii="Times New Roman" w:hAnsi="Times New Roman" w:cs="Times New Roman"/>
                <w:sz w:val="20"/>
                <w:szCs w:val="20"/>
                <w:lang w:eastAsia="zh-CN"/>
              </w:rPr>
              <w:t>conclusion</w:t>
            </w:r>
            <w:r>
              <w:rPr>
                <w:rFonts w:ascii="Times New Roman" w:hAnsi="Times New Roman" w:cs="Times New Roman"/>
                <w:sz w:val="20"/>
                <w:szCs w:val="20"/>
                <w:lang w:eastAsia="zh-CN"/>
              </w:rPr>
              <w:t xml:space="preserve"> as clarified by the FL in email discussion i.e. </w:t>
            </w:r>
            <w:r w:rsidR="00AD0B8B" w:rsidRPr="00AD0B8B">
              <w:rPr>
                <w:rFonts w:ascii="Times New Roman" w:hAnsi="Times New Roman" w:cs="Times New Roman"/>
                <w:sz w:val="20"/>
                <w:szCs w:val="20"/>
                <w:lang w:eastAsia="zh-CN"/>
              </w:rPr>
              <w:t>each occasion implies aggregated PDSCH occasion</w:t>
            </w:r>
            <w:r w:rsidR="00AD0B8B">
              <w:rPr>
                <w:rFonts w:ascii="Times New Roman" w:hAnsi="Times New Roman" w:cs="Times New Roman"/>
                <w:sz w:val="20"/>
                <w:szCs w:val="20"/>
                <w:lang w:eastAsia="zh-CN"/>
              </w:rPr>
              <w:t>.</w:t>
            </w:r>
          </w:p>
        </w:tc>
      </w:tr>
    </w:tbl>
    <w:p w14:paraId="132130F8" w14:textId="77777777" w:rsidR="00B702F1" w:rsidRDefault="00B702F1" w:rsidP="00B702F1">
      <w:pPr>
        <w:spacing w:line="240" w:lineRule="atLeast"/>
        <w:rPr>
          <w:rFonts w:eastAsia="Malgun Gothic"/>
          <w:b/>
        </w:rPr>
      </w:pPr>
    </w:p>
    <w:p w14:paraId="7B604DDE" w14:textId="77777777" w:rsidR="00B702F1" w:rsidRDefault="00B702F1" w:rsidP="00B702F1">
      <w:pPr>
        <w:spacing w:line="240" w:lineRule="atLeast"/>
        <w:rPr>
          <w:rFonts w:eastAsia="Malgun Gothic"/>
          <w:b/>
        </w:rPr>
      </w:pPr>
    </w:p>
    <w:p w14:paraId="38982B32" w14:textId="77777777" w:rsidR="00B702F1" w:rsidRDefault="00B702F1" w:rsidP="00B702F1">
      <w:r>
        <w:rPr>
          <w:rFonts w:hint="eastAsia"/>
        </w:rPr>
        <w:t xml:space="preserve">Regarding Proposal 2, </w:t>
      </w:r>
      <w:r>
        <w:t xml:space="preserve">increased codebook size seems not valid point. In Rel-15, gNB should configure K aggregation factor for both dynamic PDSCH and SPS if gNB only want to use K aggregation factor for one of them. Now, gNB in Rel-16 can configure different number of aggregation factor for dynamic PDSCH and SPS. But it doesn’t mean we should reduce HARQ-ACK codebook size. For my understanding, we are not reducing HARQ-ACK codebook size from Rel-15. It seems optimization issue. </w:t>
      </w:r>
    </w:p>
    <w:p w14:paraId="40BDE638" w14:textId="77777777" w:rsidR="00B702F1" w:rsidRDefault="00B702F1" w:rsidP="00B702F1">
      <w:r>
        <w:t>H</w:t>
      </w:r>
      <w:r>
        <w:rPr>
          <w:rFonts w:hint="eastAsia"/>
        </w:rPr>
        <w:t>owever,</w:t>
      </w:r>
      <w:r>
        <w:t xml:space="preserve"> </w:t>
      </w:r>
      <w:r w:rsidRPr="002C4C41">
        <w:t>RepNumR16</w:t>
      </w:r>
      <w:r>
        <w:t xml:space="preserve"> is problematic. Vivo’s comment was correct based on latest spec, but it keep changing. </w:t>
      </w:r>
    </w:p>
    <w:p w14:paraId="5035D001" w14:textId="77777777" w:rsidR="00B702F1" w:rsidRDefault="00B702F1" w:rsidP="00B702F1">
      <w:r>
        <w:t xml:space="preserve">As CATT pointed out, it is discrepancy between two WI. Moreover, MIMO session are discussing how to handle between pdsch-aggregation factor and </w:t>
      </w:r>
      <w:r w:rsidRPr="002C4C41">
        <w:t>RepNumR16</w:t>
      </w:r>
      <w:r>
        <w:t xml:space="preserve">. For now, I made it FFS for further coordination. </w:t>
      </w:r>
    </w:p>
    <w:p w14:paraId="3B799227" w14:textId="77777777" w:rsidR="00B702F1" w:rsidRDefault="00B702F1" w:rsidP="00B702F1"/>
    <w:p w14:paraId="41E8A933" w14:textId="77777777" w:rsidR="00B702F1" w:rsidRDefault="00B702F1" w:rsidP="00B702F1">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Pr>
          <w:rFonts w:eastAsia="Malgun Gothic"/>
          <w:b/>
          <w:highlight w:val="yellow"/>
        </w:rPr>
        <w:t>A</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w:t>
      </w:r>
      <w:r>
        <w:rPr>
          <w:rFonts w:eastAsia="Malgun Gothic"/>
          <w:b/>
        </w:rPr>
        <w:t>S-Config and/or PDSCH-Config</w:t>
      </w:r>
      <w:r w:rsidRPr="009C2842">
        <w:rPr>
          <w:rFonts w:eastAsia="Malgun Gothic"/>
          <w:b/>
        </w:rPr>
        <w:t>, if provided</w:t>
      </w:r>
      <w:r>
        <w:rPr>
          <w:rFonts w:eastAsia="Malgun Gothic"/>
          <w:b/>
        </w:rPr>
        <w:t>.</w:t>
      </w:r>
    </w:p>
    <w:p w14:paraId="15AFEADD" w14:textId="77777777" w:rsidR="00B702F1" w:rsidRPr="000B3D21" w:rsidRDefault="00B702F1" w:rsidP="00B702F1">
      <w:pPr>
        <w:pStyle w:val="ListParagraph"/>
        <w:numPr>
          <w:ilvl w:val="0"/>
          <w:numId w:val="37"/>
        </w:numPr>
        <w:spacing w:line="240" w:lineRule="atLeast"/>
        <w:ind w:leftChars="0"/>
        <w:rPr>
          <w:rFonts w:eastAsia="Malgun Gothic"/>
          <w:b/>
        </w:rPr>
      </w:pPr>
      <w:r>
        <w:rPr>
          <w:rFonts w:eastAsia="Malgun Gothic" w:hint="eastAsia"/>
          <w:b/>
        </w:rPr>
        <w:t xml:space="preserve">FFS: </w:t>
      </w:r>
      <w:r>
        <w:rPr>
          <w:rFonts w:eastAsia="Malgun Gothic"/>
          <w:b/>
        </w:rPr>
        <w:t xml:space="preserve">if </w:t>
      </w:r>
      <w:r w:rsidRPr="009C2842">
        <w:rPr>
          <w:rFonts w:eastAsia="Malgun Gothic"/>
          <w:b/>
        </w:rPr>
        <w:t>RepNumR16</w:t>
      </w:r>
      <w:r>
        <w:rPr>
          <w:rFonts w:eastAsia="Malgun Gothic"/>
          <w:b/>
        </w:rPr>
        <w:t xml:space="preserve"> is provided</w:t>
      </w:r>
    </w:p>
    <w:p w14:paraId="18D1D1E4" w14:textId="77777777" w:rsidR="00B702F1" w:rsidRDefault="00B702F1" w:rsidP="00B702F1"/>
    <w:p w14:paraId="446DD4BF"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4C009DAC" w14:textId="77777777" w:rsidTr="00B702F1">
        <w:trPr>
          <w:trHeight w:val="294"/>
          <w:jc w:val="center"/>
        </w:trPr>
        <w:tc>
          <w:tcPr>
            <w:tcW w:w="678" w:type="pct"/>
            <w:shd w:val="clear" w:color="auto" w:fill="9CC2E5"/>
            <w:tcMar>
              <w:top w:w="0" w:type="dxa"/>
              <w:left w:w="108" w:type="dxa"/>
              <w:bottom w:w="0" w:type="dxa"/>
              <w:right w:w="108" w:type="dxa"/>
            </w:tcMar>
            <w:hideMark/>
          </w:tcPr>
          <w:p w14:paraId="448770B6" w14:textId="77777777" w:rsidR="00B702F1" w:rsidRPr="004B1732" w:rsidRDefault="00B702F1" w:rsidP="00B702F1">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1AFBE158" w14:textId="77777777" w:rsidR="00B702F1" w:rsidRPr="004B1732" w:rsidRDefault="00B702F1" w:rsidP="00B702F1">
            <w:pPr>
              <w:widowControl/>
              <w:spacing w:line="240" w:lineRule="atLeast"/>
              <w:rPr>
                <w:rFonts w:eastAsia="Gulim" w:cs="Times New Roman"/>
                <w:szCs w:val="20"/>
              </w:rPr>
            </w:pPr>
            <w:r w:rsidRPr="004B1732">
              <w:rPr>
                <w:rFonts w:eastAsia="Gulim" w:cs="Times New Roman"/>
                <w:szCs w:val="20"/>
              </w:rPr>
              <w:t>Comment if any</w:t>
            </w:r>
          </w:p>
        </w:tc>
      </w:tr>
      <w:tr w:rsidR="00CE2D66" w:rsidRPr="00475E1E" w14:paraId="6B77D652" w14:textId="77777777" w:rsidTr="00B702F1">
        <w:trPr>
          <w:trHeight w:val="327"/>
          <w:jc w:val="center"/>
        </w:trPr>
        <w:tc>
          <w:tcPr>
            <w:tcW w:w="678" w:type="pct"/>
            <w:tcMar>
              <w:top w:w="0" w:type="dxa"/>
              <w:left w:w="108" w:type="dxa"/>
              <w:bottom w:w="0" w:type="dxa"/>
              <w:right w:w="108" w:type="dxa"/>
            </w:tcMar>
          </w:tcPr>
          <w:p w14:paraId="4EADABDF" w14:textId="11AC4595"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77A7626D" w14:textId="18F60F9E"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w:t>
            </w:r>
          </w:p>
        </w:tc>
      </w:tr>
      <w:tr w:rsidR="00B702F1" w:rsidRPr="00475E1E" w14:paraId="71C2D77F" w14:textId="77777777" w:rsidTr="00B702F1">
        <w:trPr>
          <w:trHeight w:val="310"/>
          <w:jc w:val="center"/>
        </w:trPr>
        <w:tc>
          <w:tcPr>
            <w:tcW w:w="678" w:type="pct"/>
            <w:tcMar>
              <w:top w:w="0" w:type="dxa"/>
              <w:left w:w="108" w:type="dxa"/>
              <w:bottom w:w="0" w:type="dxa"/>
              <w:right w:w="108" w:type="dxa"/>
            </w:tcMar>
          </w:tcPr>
          <w:p w14:paraId="6F660930" w14:textId="462DFA67"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387B6AF4" w14:textId="37F3339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Gulim" w:hAnsi="Times New Roman" w:cs="Times New Roman"/>
                <w:sz w:val="20"/>
                <w:szCs w:val="20"/>
              </w:rPr>
              <w:t>Agree</w:t>
            </w:r>
          </w:p>
        </w:tc>
      </w:tr>
    </w:tbl>
    <w:p w14:paraId="5AD22091" w14:textId="77777777" w:rsidR="00B702F1" w:rsidRDefault="00B702F1" w:rsidP="00B702F1"/>
    <w:p w14:paraId="4A383736" w14:textId="77777777" w:rsidR="00B702F1" w:rsidRDefault="00B702F1" w:rsidP="00B702F1"/>
    <w:p w14:paraId="69AAF8F8" w14:textId="5DFD2C3A" w:rsidR="00B702F1" w:rsidRDefault="00B702F1" w:rsidP="00B702F1">
      <w:r>
        <w:rPr>
          <w:rFonts w:hint="eastAsia"/>
        </w:rPr>
        <w:t xml:space="preserve">Regarding </w:t>
      </w:r>
      <w:r>
        <w:t>proposal</w:t>
      </w:r>
      <w:r>
        <w:rPr>
          <w:rFonts w:hint="eastAsia"/>
        </w:rPr>
        <w:t xml:space="preserve"> </w:t>
      </w:r>
      <w:r>
        <w:t xml:space="preserve">3, I see majority view is that current specification is clear. Though I revised proposal into conclusion based on the comment, I would suggest not to have any conclusion if someone has concern. Since we won’t make related CR regardless of conclusion. </w:t>
      </w:r>
    </w:p>
    <w:p w14:paraId="5F1E2094" w14:textId="77777777" w:rsidR="00B702F1" w:rsidRDefault="00B702F1" w:rsidP="00B702F1">
      <w:r>
        <w:t>@Oppo:</w:t>
      </w:r>
    </w:p>
    <w:p w14:paraId="21D4A97B" w14:textId="77777777" w:rsidR="00B702F1" w:rsidRDefault="00B702F1" w:rsidP="00B702F1">
      <w:r>
        <w:rPr>
          <w:rFonts w:hint="eastAsia"/>
        </w:rPr>
        <w:t>The related spe</w:t>
      </w:r>
      <w:r>
        <w:t xml:space="preserve">cification is only for how to determine a slot where UE reports HARQ-ACK. If the slot has PUCCH and PUCCH as a bit position for the PDSCH reception, there is no harmful effect and no </w:t>
      </w:r>
      <w:r w:rsidRPr="008D35B1">
        <w:t>unnecessary retransmission</w:t>
      </w:r>
      <w:r>
        <w:t xml:space="preserve">. Please </w:t>
      </w:r>
      <w:r>
        <w:lastRenderedPageBreak/>
        <w:t xml:space="preserve">let me know if I missed something. </w:t>
      </w:r>
    </w:p>
    <w:p w14:paraId="767693BF" w14:textId="77777777" w:rsidR="00B702F1" w:rsidRDefault="00B702F1" w:rsidP="00B702F1"/>
    <w:p w14:paraId="3E0EEBD7" w14:textId="77777777" w:rsidR="00B702F1" w:rsidRDefault="00B702F1" w:rsidP="00B702F1">
      <w:pPr>
        <w:spacing w:line="240" w:lineRule="atLeast"/>
        <w:rPr>
          <w:rFonts w:eastAsia="Malgun Gothic"/>
          <w:b/>
        </w:rPr>
      </w:pPr>
      <w:r>
        <w:rPr>
          <w:rFonts w:eastAsia="Malgun Gothic"/>
          <w:b/>
          <w:highlight w:val="yellow"/>
        </w:rPr>
        <w:t>Proposed Conclusion for the issue 3.6:</w:t>
      </w:r>
      <w:r>
        <w:rPr>
          <w:rFonts w:eastAsia="Malgun Gothic" w:hint="eastAsia"/>
          <w:b/>
        </w:rPr>
        <w:t xml:space="preserve"> </w:t>
      </w:r>
    </w:p>
    <w:p w14:paraId="5D7A6ED8" w14:textId="77777777" w:rsidR="00B702F1" w:rsidRDefault="00B702F1" w:rsidP="00B702F1">
      <w:pPr>
        <w:spacing w:line="240" w:lineRule="atLeast"/>
        <w:rPr>
          <w:b/>
        </w:rPr>
      </w:pPr>
      <w:r w:rsidRPr="00ED68CE">
        <w:rPr>
          <w:b/>
        </w:rPr>
        <w:t>For a SPS PDSCH reception</w:t>
      </w:r>
      <w:r>
        <w:rPr>
          <w:b/>
        </w:rPr>
        <w:t xml:space="preserve"> with </w:t>
      </w:r>
      <w:r w:rsidRPr="002E5B0F">
        <w:rPr>
          <w:b/>
        </w:rPr>
        <w:t>pdsch-AggregationFactor</w:t>
      </w:r>
      <w:r w:rsidRPr="00ED68CE">
        <w:rPr>
          <w:b/>
        </w:rPr>
        <w:t>,</w:t>
      </w:r>
      <w:r>
        <w:rPr>
          <w:b/>
        </w:rPr>
        <w:t xml:space="preserve"> </w:t>
      </w:r>
      <w:r w:rsidRPr="00ED68CE">
        <w:rPr>
          <w:b/>
        </w:rPr>
        <w:t>the UE transmits the PU</w:t>
      </w:r>
      <w:r>
        <w:rPr>
          <w:b/>
        </w:rPr>
        <w:t>CCH in slot n+k:</w:t>
      </w:r>
    </w:p>
    <w:p w14:paraId="3CFB4935" w14:textId="77777777" w:rsidR="00B702F1" w:rsidRPr="00FD300F" w:rsidRDefault="00B702F1" w:rsidP="00B702F1">
      <w:pPr>
        <w:pStyle w:val="ListParagraph"/>
        <w:numPr>
          <w:ilvl w:val="1"/>
          <w:numId w:val="37"/>
        </w:numPr>
        <w:spacing w:line="240" w:lineRule="atLeast"/>
        <w:ind w:leftChars="0"/>
        <w:rPr>
          <w:b/>
        </w:rPr>
      </w:pPr>
      <w:r w:rsidRPr="00FD300F">
        <w:rPr>
          <w:b/>
        </w:rPr>
        <w:t xml:space="preserve">Slot n is determined by the last configured SPS PDSCH occasion </w:t>
      </w:r>
      <w:r>
        <w:rPr>
          <w:b/>
        </w:rPr>
        <w:t xml:space="preserve">among </w:t>
      </w:r>
      <w:r w:rsidRPr="002E5B0F">
        <w:rPr>
          <w:b/>
        </w:rPr>
        <w:t>pdsch-AggregationFactor consecutive slots</w:t>
      </w:r>
    </w:p>
    <w:p w14:paraId="0F344FF2" w14:textId="77777777" w:rsidR="00B702F1" w:rsidRDefault="00B702F1" w:rsidP="00B702F1">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4EBBAA6" w14:textId="77777777" w:rsidR="00B702F1" w:rsidRPr="00ED68CE" w:rsidRDefault="00B702F1" w:rsidP="00B702F1">
      <w:pPr>
        <w:pStyle w:val="ListParagraph"/>
        <w:numPr>
          <w:ilvl w:val="1"/>
          <w:numId w:val="37"/>
        </w:numPr>
        <w:spacing w:line="240" w:lineRule="atLeast"/>
        <w:ind w:leftChars="0"/>
        <w:rPr>
          <w:b/>
        </w:rPr>
      </w:pPr>
      <w:r>
        <w:rPr>
          <w:b/>
        </w:rPr>
        <w:t>This conclusion has no specification impact</w:t>
      </w:r>
    </w:p>
    <w:p w14:paraId="426453F0" w14:textId="77777777" w:rsidR="00B702F1" w:rsidRDefault="00B702F1" w:rsidP="00B702F1"/>
    <w:p w14:paraId="1DF4EBAA" w14:textId="77777777" w:rsidR="00B702F1" w:rsidRDefault="00B702F1" w:rsidP="00B702F1">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F50DA47" w14:textId="77777777" w:rsidTr="00B702F1">
        <w:trPr>
          <w:trHeight w:val="294"/>
          <w:jc w:val="center"/>
        </w:trPr>
        <w:tc>
          <w:tcPr>
            <w:tcW w:w="678" w:type="pct"/>
            <w:shd w:val="clear" w:color="auto" w:fill="9CC2E5"/>
            <w:tcMar>
              <w:top w:w="0" w:type="dxa"/>
              <w:left w:w="108" w:type="dxa"/>
              <w:bottom w:w="0" w:type="dxa"/>
              <w:right w:w="108" w:type="dxa"/>
            </w:tcMar>
            <w:hideMark/>
          </w:tcPr>
          <w:p w14:paraId="5801AB8D" w14:textId="77777777" w:rsidR="00B702F1" w:rsidRPr="004B1732" w:rsidRDefault="00B702F1" w:rsidP="00B702F1">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shd w:val="clear" w:color="auto" w:fill="9CC2E5"/>
            <w:tcMar>
              <w:top w:w="0" w:type="dxa"/>
              <w:left w:w="108" w:type="dxa"/>
              <w:bottom w:w="0" w:type="dxa"/>
              <w:right w:w="108" w:type="dxa"/>
            </w:tcMar>
            <w:hideMark/>
          </w:tcPr>
          <w:p w14:paraId="531F3569" w14:textId="77777777" w:rsidR="00B702F1" w:rsidRPr="004B1732" w:rsidRDefault="00B702F1" w:rsidP="00B702F1">
            <w:pPr>
              <w:widowControl/>
              <w:spacing w:line="240" w:lineRule="atLeast"/>
              <w:rPr>
                <w:rFonts w:eastAsia="Gulim" w:cs="Times New Roman"/>
                <w:szCs w:val="20"/>
              </w:rPr>
            </w:pPr>
            <w:r w:rsidRPr="004B1732">
              <w:rPr>
                <w:rFonts w:eastAsia="Gulim" w:cs="Times New Roman"/>
                <w:szCs w:val="20"/>
              </w:rPr>
              <w:t>Comment if any</w:t>
            </w:r>
          </w:p>
        </w:tc>
      </w:tr>
      <w:tr w:rsidR="00CE2D66" w:rsidRPr="00475E1E" w14:paraId="3D8DD730" w14:textId="77777777" w:rsidTr="00B702F1">
        <w:trPr>
          <w:trHeight w:val="327"/>
          <w:jc w:val="center"/>
        </w:trPr>
        <w:tc>
          <w:tcPr>
            <w:tcW w:w="678" w:type="pct"/>
            <w:tcMar>
              <w:top w:w="0" w:type="dxa"/>
              <w:left w:w="108" w:type="dxa"/>
              <w:bottom w:w="0" w:type="dxa"/>
              <w:right w:w="108" w:type="dxa"/>
            </w:tcMar>
          </w:tcPr>
          <w:p w14:paraId="0BD2CD88" w14:textId="33C58750"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Nokia, NSB</w:t>
            </w:r>
          </w:p>
        </w:tc>
        <w:tc>
          <w:tcPr>
            <w:tcW w:w="4322" w:type="pct"/>
            <w:tcMar>
              <w:top w:w="0" w:type="dxa"/>
              <w:left w:w="108" w:type="dxa"/>
              <w:bottom w:w="0" w:type="dxa"/>
              <w:right w:w="108" w:type="dxa"/>
            </w:tcMar>
          </w:tcPr>
          <w:p w14:paraId="31239813" w14:textId="45E8F422" w:rsidR="00CE2D66" w:rsidRPr="0010702C" w:rsidRDefault="00CE2D66" w:rsidP="00CE2D66">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on the intention (i.e. technically correct), but it is questionable whether we need a conclusion (but clearly not blocking it either).</w:t>
            </w:r>
          </w:p>
        </w:tc>
      </w:tr>
      <w:tr w:rsidR="00B702F1" w:rsidRPr="00475E1E" w14:paraId="6F237C63" w14:textId="77777777" w:rsidTr="00B702F1">
        <w:trPr>
          <w:trHeight w:val="310"/>
          <w:jc w:val="center"/>
        </w:trPr>
        <w:tc>
          <w:tcPr>
            <w:tcW w:w="678" w:type="pct"/>
            <w:tcMar>
              <w:top w:w="0" w:type="dxa"/>
              <w:left w:w="108" w:type="dxa"/>
              <w:bottom w:w="0" w:type="dxa"/>
              <w:right w:w="108" w:type="dxa"/>
            </w:tcMar>
          </w:tcPr>
          <w:p w14:paraId="05850E74" w14:textId="18A3264D"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5C882C97" w14:textId="349790F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Gulim" w:hAnsi="Times New Roman" w:cs="Times New Roman"/>
                <w:sz w:val="20"/>
                <w:szCs w:val="20"/>
              </w:rPr>
              <w:t xml:space="preserve">Agree. </w:t>
            </w:r>
          </w:p>
        </w:tc>
      </w:tr>
      <w:tr w:rsidR="00CF0413" w:rsidRPr="00475E1E" w14:paraId="66FBA2A4" w14:textId="77777777" w:rsidTr="00B702F1">
        <w:trPr>
          <w:trHeight w:val="310"/>
          <w:jc w:val="center"/>
        </w:trPr>
        <w:tc>
          <w:tcPr>
            <w:tcW w:w="678" w:type="pct"/>
            <w:tcMar>
              <w:top w:w="0" w:type="dxa"/>
              <w:left w:w="108" w:type="dxa"/>
              <w:bottom w:w="0" w:type="dxa"/>
              <w:right w:w="108" w:type="dxa"/>
            </w:tcMar>
          </w:tcPr>
          <w:p w14:paraId="5E45B6A8" w14:textId="2E60A11F" w:rsidR="00CF0413" w:rsidRDefault="00CF0413" w:rsidP="00B702F1">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37D3F8C" w14:textId="619B16CF" w:rsidR="00CF0413" w:rsidRDefault="00CF0413" w:rsidP="00B702F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w:t>
            </w:r>
          </w:p>
        </w:tc>
      </w:tr>
    </w:tbl>
    <w:p w14:paraId="3F67D282" w14:textId="77777777" w:rsidR="00B702F1" w:rsidRPr="005A7BB9" w:rsidRDefault="00B702F1" w:rsidP="00B702F1"/>
    <w:p w14:paraId="0D03987A" w14:textId="77777777" w:rsidR="00B702F1" w:rsidRPr="005A7BB9" w:rsidRDefault="00B702F1" w:rsidP="00B702F1"/>
    <w:p w14:paraId="5F828BA7" w14:textId="77777777" w:rsidR="00974E83" w:rsidRDefault="00974E83" w:rsidP="00076B2D">
      <w:pPr>
        <w:spacing w:line="240" w:lineRule="atLeast"/>
        <w:rPr>
          <w:rFonts w:eastAsia="Malgun Gothic"/>
        </w:rPr>
      </w:pPr>
    </w:p>
    <w:p w14:paraId="4F952E62" w14:textId="77777777" w:rsidR="00B702F1" w:rsidRDefault="00B702F1" w:rsidP="00076B2D">
      <w:pPr>
        <w:spacing w:line="240" w:lineRule="atLeast"/>
        <w:rPr>
          <w:rFonts w:eastAsia="Malgun Gothic"/>
        </w:rPr>
      </w:pPr>
    </w:p>
    <w:p w14:paraId="2921388D" w14:textId="77777777" w:rsidR="00B702F1" w:rsidRDefault="00B702F1" w:rsidP="00076B2D">
      <w:pPr>
        <w:spacing w:line="240" w:lineRule="atLeast"/>
        <w:rPr>
          <w:rFonts w:eastAsia="Malgun Gothic"/>
        </w:rPr>
      </w:pPr>
    </w:p>
    <w:p w14:paraId="2E3461AE" w14:textId="77777777" w:rsidR="003E3A4F" w:rsidRDefault="003E3A4F" w:rsidP="003E3A4F">
      <w:pPr>
        <w:pStyle w:val="Heading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Heading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80966" w14:textId="77777777" w:rsidR="00725D75" w:rsidRDefault="00725D75" w:rsidP="00EB01D8">
      <w:pPr>
        <w:spacing w:line="240" w:lineRule="auto"/>
      </w:pPr>
      <w:r>
        <w:separator/>
      </w:r>
    </w:p>
  </w:endnote>
  <w:endnote w:type="continuationSeparator" w:id="0">
    <w:p w14:paraId="55E8A7BA" w14:textId="77777777" w:rsidR="00725D75" w:rsidRDefault="00725D75"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9C311" w14:textId="77777777" w:rsidR="00725D75" w:rsidRDefault="00725D75" w:rsidP="00EB01D8">
      <w:pPr>
        <w:spacing w:line="240" w:lineRule="auto"/>
      </w:pPr>
      <w:r>
        <w:separator/>
      </w:r>
    </w:p>
  </w:footnote>
  <w:footnote w:type="continuationSeparator" w:id="0">
    <w:p w14:paraId="0D366AA2" w14:textId="77777777" w:rsidR="00725D75" w:rsidRDefault="00725D75"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9"/>
  </w:num>
  <w:num w:numId="5">
    <w:abstractNumId w:val="20"/>
  </w:num>
  <w:num w:numId="6">
    <w:abstractNumId w:val="2"/>
  </w:num>
  <w:num w:numId="7">
    <w:abstractNumId w:val="28"/>
  </w:num>
  <w:num w:numId="8">
    <w:abstractNumId w:val="1"/>
  </w:num>
  <w:num w:numId="9">
    <w:abstractNumId w:val="35"/>
  </w:num>
  <w:num w:numId="10">
    <w:abstractNumId w:val="13"/>
  </w:num>
  <w:num w:numId="11">
    <w:abstractNumId w:val="23"/>
  </w:num>
  <w:num w:numId="12">
    <w:abstractNumId w:val="4"/>
  </w:num>
  <w:num w:numId="13">
    <w:abstractNumId w:val="14"/>
  </w:num>
  <w:num w:numId="14">
    <w:abstractNumId w:val="10"/>
  </w:num>
  <w:num w:numId="15">
    <w:abstractNumId w:val="19"/>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2"/>
  </w:num>
  <w:num w:numId="23">
    <w:abstractNumId w:val="7"/>
  </w:num>
  <w:num w:numId="24">
    <w:abstractNumId w:val="26"/>
  </w:num>
  <w:num w:numId="25">
    <w:abstractNumId w:val="24"/>
  </w:num>
  <w:num w:numId="26">
    <w:abstractNumId w:val="8"/>
  </w:num>
  <w:num w:numId="27">
    <w:abstractNumId w:val="36"/>
  </w:num>
  <w:num w:numId="28">
    <w:abstractNumId w:val="27"/>
  </w:num>
  <w:num w:numId="29">
    <w:abstractNumId w:val="17"/>
  </w:num>
  <w:num w:numId="30">
    <w:abstractNumId w:val="31"/>
  </w:num>
  <w:num w:numId="31">
    <w:abstractNumId w:val="12"/>
  </w:num>
  <w:num w:numId="32">
    <w:abstractNumId w:val="8"/>
  </w:num>
  <w:num w:numId="33">
    <w:abstractNumId w:val="21"/>
  </w:num>
  <w:num w:numId="34">
    <w:abstractNumId w:val="16"/>
  </w:num>
  <w:num w:numId="35">
    <w:abstractNumId w:val="25"/>
  </w:num>
  <w:num w:numId="36">
    <w:abstractNumId w:val="22"/>
  </w:num>
  <w:num w:numId="37">
    <w:abstractNumId w:val="29"/>
  </w:num>
  <w:num w:numId="3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98"/>
    <w:rsid w:val="000000D8"/>
    <w:rsid w:val="00002C71"/>
    <w:rsid w:val="00007827"/>
    <w:rsid w:val="00012482"/>
    <w:rsid w:val="00037DC0"/>
    <w:rsid w:val="00037F92"/>
    <w:rsid w:val="00050509"/>
    <w:rsid w:val="0005206C"/>
    <w:rsid w:val="00064329"/>
    <w:rsid w:val="00073F74"/>
    <w:rsid w:val="000757C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D7A10"/>
    <w:rsid w:val="000E2AF6"/>
    <w:rsid w:val="000E4F2E"/>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71BF8"/>
    <w:rsid w:val="00177A27"/>
    <w:rsid w:val="00180680"/>
    <w:rsid w:val="00187378"/>
    <w:rsid w:val="0019700C"/>
    <w:rsid w:val="0019748C"/>
    <w:rsid w:val="001B1368"/>
    <w:rsid w:val="001B5FD7"/>
    <w:rsid w:val="001C08F1"/>
    <w:rsid w:val="001C6D9E"/>
    <w:rsid w:val="001C78DE"/>
    <w:rsid w:val="001D4E03"/>
    <w:rsid w:val="001D5A4E"/>
    <w:rsid w:val="001F0D1A"/>
    <w:rsid w:val="002106C2"/>
    <w:rsid w:val="0021191B"/>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53D"/>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5483"/>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B719E"/>
    <w:rsid w:val="005C1351"/>
    <w:rsid w:val="005D31C6"/>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6AF2"/>
    <w:rsid w:val="006A707A"/>
    <w:rsid w:val="006A7B06"/>
    <w:rsid w:val="006B373D"/>
    <w:rsid w:val="006B659A"/>
    <w:rsid w:val="006B7342"/>
    <w:rsid w:val="006C74B2"/>
    <w:rsid w:val="006D0970"/>
    <w:rsid w:val="006D7D6C"/>
    <w:rsid w:val="006E1B70"/>
    <w:rsid w:val="006E71C2"/>
    <w:rsid w:val="006E7644"/>
    <w:rsid w:val="006F0440"/>
    <w:rsid w:val="007012E1"/>
    <w:rsid w:val="0071259B"/>
    <w:rsid w:val="007156A4"/>
    <w:rsid w:val="00725D75"/>
    <w:rsid w:val="00733804"/>
    <w:rsid w:val="00741899"/>
    <w:rsid w:val="007456FF"/>
    <w:rsid w:val="0075178B"/>
    <w:rsid w:val="00754EA7"/>
    <w:rsid w:val="00766B64"/>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205"/>
    <w:rsid w:val="009047CF"/>
    <w:rsid w:val="00913449"/>
    <w:rsid w:val="00916A47"/>
    <w:rsid w:val="00923C46"/>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D0B8B"/>
    <w:rsid w:val="00AE3A8C"/>
    <w:rsid w:val="00AF433D"/>
    <w:rsid w:val="00B023DB"/>
    <w:rsid w:val="00B0258E"/>
    <w:rsid w:val="00B13046"/>
    <w:rsid w:val="00B15D39"/>
    <w:rsid w:val="00B25ADC"/>
    <w:rsid w:val="00B47046"/>
    <w:rsid w:val="00B616B1"/>
    <w:rsid w:val="00B62E95"/>
    <w:rsid w:val="00B702F1"/>
    <w:rsid w:val="00B73A49"/>
    <w:rsid w:val="00B748D2"/>
    <w:rsid w:val="00B75880"/>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0353"/>
    <w:rsid w:val="00CB4668"/>
    <w:rsid w:val="00CC08F1"/>
    <w:rsid w:val="00CC29F8"/>
    <w:rsid w:val="00CC2B87"/>
    <w:rsid w:val="00CC44F7"/>
    <w:rsid w:val="00CC6ABD"/>
    <w:rsid w:val="00CE2D66"/>
    <w:rsid w:val="00CE3C4E"/>
    <w:rsid w:val="00CE752E"/>
    <w:rsid w:val="00CF0413"/>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33CE"/>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45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499D"/>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8CE"/>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A44B87"/>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B702F1"/>
    <w:pPr>
      <w:keepNext/>
      <w:ind w:leftChars="300" w:left="300" w:hangingChars="200" w:hanging="2000"/>
      <w:outlineLvl w:val="2"/>
    </w:pPr>
    <w:rPr>
      <w:rFonts w:asciiTheme="majorHAnsi" w:eastAsiaTheme="majorEastAsia" w:hAnsiTheme="majorHAnsi" w:cstheme="majorBidi"/>
      <w:b/>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B702F1"/>
    <w:rPr>
      <w:rFonts w:asciiTheme="majorHAnsi" w:eastAsiaTheme="majorEastAsia" w:hAnsiTheme="majorHAnsi" w:cstheme="majorBidi"/>
      <w:b/>
    </w:rPr>
  </w:style>
  <w:style w:type="character" w:customStyle="1" w:styleId="Heading2Char">
    <w:name w:val="Heading 2 Char"/>
    <w:basedOn w:val="DefaultParagraphFont"/>
    <w:link w:val="Heading2"/>
    <w:uiPriority w:val="9"/>
    <w:rsid w:val="00A44B87"/>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Strong">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BalloonText">
    <w:name w:val="Balloon Text"/>
    <w:basedOn w:val="Normal"/>
    <w:link w:val="BalloonTextChar"/>
    <w:uiPriority w:val="99"/>
    <w:semiHidden/>
    <w:unhideWhenUsed/>
    <w:rsid w:val="000C7623"/>
    <w:pPr>
      <w:spacing w:line="240" w:lineRule="auto"/>
    </w:pPr>
    <w:rPr>
      <w:sz w:val="18"/>
      <w:szCs w:val="18"/>
    </w:rPr>
  </w:style>
  <w:style w:type="character" w:customStyle="1" w:styleId="BalloonTextChar">
    <w:name w:val="Balloon Text Char"/>
    <w:basedOn w:val="DefaultParagraphFont"/>
    <w:link w:val="BalloonText"/>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image" Target="media/image51.png"/><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982-12C9-4910-AB46-25E4FD7BF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7347</Words>
  <Characters>41883</Characters>
  <Application>Microsoft Office Word</Application>
  <DocSecurity>0</DocSecurity>
  <Lines>349</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Ayesha Ijaz</cp:lastModifiedBy>
  <cp:revision>3</cp:revision>
  <dcterms:created xsi:type="dcterms:W3CDTF">2020-05-29T11:16:00Z</dcterms:created>
  <dcterms:modified xsi:type="dcterms:W3CDTF">2020-05-29T11:16:00Z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