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bookmarkStart w:id="0" w:name="_GoBack"/>
      <w:bookmarkEnd w:id="0"/>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8859F0">
        <w:rPr>
          <w:rFonts w:ascii="Arial" w:eastAsia="맑은 고딕" w:hAnsi="Arial" w:cs="Times New Roman"/>
          <w:spacing w:val="-4"/>
          <w:kern w:val="0"/>
          <w:sz w:val="24"/>
          <w:szCs w:val="20"/>
        </w:rPr>
        <w:t>-e-NR-L1enh-URLLC-IIoTenh-0</w:t>
      </w:r>
      <w:r w:rsidR="00232717">
        <w:rPr>
          <w:rFonts w:ascii="Arial" w:eastAsia="맑은 고딕" w:hAnsi="Arial" w:cs="Times New Roman"/>
          <w:spacing w:val="-4"/>
          <w:kern w:val="0"/>
          <w:sz w:val="24"/>
          <w:szCs w:val="20"/>
        </w:rPr>
        <w:t>2</w:t>
      </w:r>
      <w:r w:rsidR="008859F0">
        <w:rPr>
          <w:rFonts w:ascii="Arial" w:eastAsia="맑은 고딕"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1" w:name="Source"/>
      <w:bookmarkStart w:id="2" w:name="Title"/>
      <w:bookmarkStart w:id="3" w:name="DocumentFor"/>
      <w:bookmarkEnd w:id="1"/>
      <w:bookmarkEnd w:id="2"/>
      <w:bookmarkEnd w:id="3"/>
      <w:r w:rsidRPr="00C10F98">
        <w:rPr>
          <w:rFonts w:ascii="Arial" w:eastAsia="바탕" w:hAnsi="Arial" w:cs="Times New Roman" w:hint="eastAsia"/>
          <w:kern w:val="0"/>
          <w:sz w:val="24"/>
          <w:szCs w:val="20"/>
        </w:rPr>
        <w:t xml:space="preserve"> and decision</w:t>
      </w:r>
    </w:p>
    <w:p w:rsidR="00C10F98" w:rsidRPr="00C10F98" w:rsidRDefault="00C10F98" w:rsidP="0081420C">
      <w:pPr>
        <w:pStyle w:val="1"/>
      </w:pPr>
      <w:r w:rsidRPr="00C10F98">
        <w:rPr>
          <w:rFonts w:hint="eastAsia"/>
        </w:rPr>
        <w:t>Introduction</w:t>
      </w:r>
    </w:p>
    <w:p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rsidR="00974E83" w:rsidRPr="001850B6" w:rsidRDefault="00974E83" w:rsidP="003B5E3D">
      <w:pPr>
        <w:widowControl/>
        <w:autoSpaceDE/>
        <w:autoSpaceDN/>
        <w:spacing w:line="240" w:lineRule="atLeast"/>
        <w:rPr>
          <w:rFonts w:eastAsia="바탕"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1"/>
      </w:pPr>
      <w:r>
        <w:t xml:space="preserve">Email discussions </w:t>
      </w:r>
    </w:p>
    <w:p w:rsidR="001850B6" w:rsidRDefault="001850B6" w:rsidP="001850B6">
      <w:pPr>
        <w:pStyle w:val="2"/>
        <w:rPr>
          <w:rFonts w:eastAsia="맑은 고딕"/>
        </w:rPr>
      </w:pPr>
      <w:r>
        <w:t>Issue 3.4: SPS PDSCH release and SPS PDSCH receptions</w:t>
      </w:r>
    </w:p>
    <w:p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rsidR="001850B6" w:rsidRDefault="001850B6" w:rsidP="001850B6">
      <w:pPr>
        <w:spacing w:line="240" w:lineRule="atLeast"/>
      </w:pPr>
      <w:r>
        <w:t>In this scenario, we will face the following cases:</w:t>
      </w:r>
    </w:p>
    <w:p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rsidR="001850B6" w:rsidRDefault="001850B6" w:rsidP="001850B6">
      <w:pPr>
        <w:widowControl/>
        <w:numPr>
          <w:ilvl w:val="2"/>
          <w:numId w:val="34"/>
        </w:numPr>
        <w:autoSpaceDE/>
        <w:spacing w:line="240" w:lineRule="atLeast"/>
        <w:ind w:left="2610" w:right="450"/>
        <w:jc w:val="left"/>
      </w:pPr>
      <w:r>
        <w:t>Expected consequence: only 1 bit for SPS release</w:t>
      </w:r>
    </w:p>
    <w:p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rsidR="001850B6" w:rsidRDefault="001850B6" w:rsidP="001850B6">
      <w:pPr>
        <w:widowControl/>
        <w:numPr>
          <w:ilvl w:val="2"/>
          <w:numId w:val="34"/>
        </w:numPr>
        <w:autoSpaceDE/>
        <w:spacing w:line="240" w:lineRule="atLeast"/>
        <w:ind w:left="2610"/>
        <w:jc w:val="left"/>
      </w:pPr>
      <w:r>
        <w:t>Expected consequence: Separate HARQ-ACK bits</w:t>
      </w:r>
    </w:p>
    <w:p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rsidR="001850B6" w:rsidRDefault="001850B6" w:rsidP="001850B6">
      <w:pPr>
        <w:widowControl/>
        <w:numPr>
          <w:ilvl w:val="2"/>
          <w:numId w:val="34"/>
        </w:numPr>
        <w:autoSpaceDE/>
        <w:spacing w:line="240" w:lineRule="atLeast"/>
        <w:ind w:left="2610" w:right="150"/>
        <w:jc w:val="left"/>
      </w:pPr>
      <w:r>
        <w:t>Expected consequence: only 1 bit for SPS release</w:t>
      </w:r>
    </w:p>
    <w:p w:rsidR="001850B6" w:rsidRDefault="00470CE8" w:rsidP="001850B6">
      <w:pPr>
        <w:spacing w:line="240" w:lineRule="atLeast"/>
      </w:pPr>
      <w:r>
        <w:rPr>
          <w:rFonts w:hint="eastAsia"/>
        </w:rPr>
        <w:t>There were two Questions from the last meeting</w:t>
      </w:r>
    </w:p>
    <w:p w:rsidR="00470CE8" w:rsidRDefault="00470CE8" w:rsidP="00470CE8">
      <w:pPr>
        <w:spacing w:line="240" w:lineRule="atLeast"/>
        <w:rPr>
          <w:rFonts w:eastAsia="맑은 고딕"/>
          <w:b/>
          <w:lang w:val="en-GB"/>
        </w:rPr>
      </w:pPr>
      <w:r>
        <w:rPr>
          <w:rFonts w:eastAsia="맑은 고딕"/>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rsidR="00470CE8" w:rsidRPr="00470CE8" w:rsidRDefault="00470CE8" w:rsidP="00470CE8">
      <w:pPr>
        <w:spacing w:line="240" w:lineRule="atLeast"/>
        <w:rPr>
          <w:rFonts w:eastAsia="맑은 고딕"/>
          <w:b/>
          <w:lang w:val="en-GB"/>
        </w:rPr>
      </w:pPr>
    </w:p>
    <w:p w:rsidR="00470CE8" w:rsidRDefault="00470CE8" w:rsidP="00470CE8">
      <w:pPr>
        <w:spacing w:line="240" w:lineRule="atLeast"/>
        <w:rPr>
          <w:rFonts w:eastAsia="맑은 고딕"/>
          <w:b/>
          <w:lang w:val="en-GB"/>
        </w:rPr>
      </w:pPr>
      <w:r>
        <w:rPr>
          <w:rFonts w:eastAsia="맑은 고딕"/>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맑은 고딕"/>
          <w:b/>
          <w:lang w:val="en-GB"/>
        </w:rPr>
        <w:t xml:space="preserve">? If so, please provide your reason, and specific solution. </w:t>
      </w:r>
    </w:p>
    <w:p w:rsidR="00470CE8" w:rsidRDefault="00470CE8" w:rsidP="001850B6">
      <w:pPr>
        <w:spacing w:line="240" w:lineRule="atLeast"/>
      </w:pPr>
    </w:p>
    <w:p w:rsidR="001850B6" w:rsidRDefault="001850B6" w:rsidP="001850B6">
      <w:pPr>
        <w:spacing w:line="240" w:lineRule="atLeast"/>
        <w:rPr>
          <w:rFonts w:eastAsia="맑은 고딕"/>
          <w:lang w:val="en-GB"/>
        </w:rPr>
      </w:pPr>
    </w:p>
    <w:p w:rsidR="001850B6" w:rsidRDefault="001850B6" w:rsidP="001850B6">
      <w:pPr>
        <w:spacing w:line="240" w:lineRule="atLeast"/>
        <w:rPr>
          <w:rFonts w:eastAsia="맑은 고딕"/>
          <w:lang w:val="en-GB"/>
        </w:rPr>
      </w:pPr>
      <w:r>
        <w:rPr>
          <w:rFonts w:eastAsia="맑은 고딕"/>
          <w:lang w:val="en-GB"/>
        </w:rPr>
        <w:t xml:space="preserve">For the above issues, most companies show their view and preference on Q1. </w:t>
      </w:r>
    </w:p>
    <w:p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rsidR="001850B6" w:rsidRDefault="001850B6" w:rsidP="001850B6">
      <w:pPr>
        <w:widowControl/>
        <w:numPr>
          <w:ilvl w:val="2"/>
          <w:numId w:val="34"/>
        </w:numPr>
        <w:autoSpaceDE/>
        <w:spacing w:line="240" w:lineRule="atLeast"/>
        <w:ind w:right="150"/>
        <w:jc w:val="left"/>
      </w:pPr>
      <w:r>
        <w:lastRenderedPageBreak/>
        <w:t>separate HARQ-ACK bits</w:t>
      </w:r>
    </w:p>
    <w:p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rsidR="001850B6" w:rsidRDefault="001850B6" w:rsidP="001850B6">
      <w:pPr>
        <w:widowControl/>
        <w:numPr>
          <w:ilvl w:val="2"/>
          <w:numId w:val="34"/>
        </w:numPr>
        <w:autoSpaceDE/>
        <w:spacing w:line="240" w:lineRule="atLeast"/>
        <w:ind w:right="300"/>
        <w:jc w:val="left"/>
      </w:pPr>
      <w:r>
        <w:t>separate HARQ-ACK bits</w:t>
      </w:r>
    </w:p>
    <w:p w:rsidR="001850B6" w:rsidRDefault="001850B6" w:rsidP="001850B6">
      <w:pPr>
        <w:widowControl/>
        <w:numPr>
          <w:ilvl w:val="2"/>
          <w:numId w:val="34"/>
        </w:numPr>
        <w:autoSpaceDE/>
        <w:spacing w:line="240" w:lineRule="atLeast"/>
        <w:ind w:right="300"/>
        <w:jc w:val="left"/>
      </w:pPr>
      <w:r w:rsidRPr="000F6909">
        <w:t>only 1 bit for SPS release</w:t>
      </w:r>
    </w:p>
    <w:p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rsidR="001850B6" w:rsidRDefault="001850B6" w:rsidP="001850B6">
      <w:pPr>
        <w:widowControl/>
        <w:numPr>
          <w:ilvl w:val="3"/>
          <w:numId w:val="34"/>
        </w:numPr>
        <w:autoSpaceDE/>
        <w:spacing w:line="240" w:lineRule="atLeast"/>
        <w:ind w:right="300"/>
        <w:jc w:val="left"/>
      </w:pPr>
      <w:r>
        <w:rPr>
          <w:b/>
        </w:rPr>
        <w:t>ZTE</w:t>
      </w:r>
    </w:p>
    <w:p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rsidR="001850B6" w:rsidRDefault="001850B6" w:rsidP="001850B6">
      <w:pPr>
        <w:widowControl/>
        <w:numPr>
          <w:ilvl w:val="2"/>
          <w:numId w:val="34"/>
        </w:numPr>
        <w:autoSpaceDE/>
        <w:spacing w:line="240" w:lineRule="atLeast"/>
        <w:ind w:right="300"/>
        <w:jc w:val="left"/>
      </w:pPr>
      <w:r>
        <w:t>separate HARQ-ACK bits</w:t>
      </w:r>
    </w:p>
    <w:p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rsidR="001850B6" w:rsidRDefault="001850B6" w:rsidP="001850B6">
      <w:pPr>
        <w:widowControl/>
        <w:numPr>
          <w:ilvl w:val="2"/>
          <w:numId w:val="34"/>
        </w:numPr>
        <w:autoSpaceDE/>
        <w:spacing w:line="240" w:lineRule="atLeast"/>
        <w:ind w:right="300"/>
        <w:jc w:val="left"/>
      </w:pPr>
      <w:r w:rsidRPr="000F6909">
        <w:t>only 1 bit for SPS release</w:t>
      </w:r>
    </w:p>
    <w:p w:rsidR="001850B6" w:rsidRPr="00504EE4" w:rsidRDefault="001850B6" w:rsidP="001850B6">
      <w:pPr>
        <w:widowControl/>
        <w:numPr>
          <w:ilvl w:val="3"/>
          <w:numId w:val="34"/>
        </w:numPr>
        <w:autoSpaceDE/>
        <w:spacing w:line="240" w:lineRule="atLeast"/>
        <w:ind w:right="300"/>
        <w:jc w:val="left"/>
        <w:rPr>
          <w:b/>
        </w:rPr>
      </w:pPr>
      <w:r w:rsidRPr="00504EE4">
        <w:rPr>
          <w:b/>
        </w:rPr>
        <w:t>Ericsson</w:t>
      </w:r>
    </w:p>
    <w:p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rsidR="001850B6" w:rsidRDefault="001850B6" w:rsidP="001850B6">
      <w:pPr>
        <w:widowControl/>
        <w:numPr>
          <w:ilvl w:val="2"/>
          <w:numId w:val="34"/>
        </w:numPr>
        <w:autoSpaceDE/>
        <w:spacing w:line="240" w:lineRule="atLeast"/>
        <w:ind w:right="300"/>
        <w:jc w:val="left"/>
      </w:pPr>
      <w:r>
        <w:t>separate HARQ-ACK bits</w:t>
      </w:r>
    </w:p>
    <w:p w:rsidR="001850B6" w:rsidRDefault="001850B6" w:rsidP="001850B6">
      <w:pPr>
        <w:widowControl/>
        <w:numPr>
          <w:ilvl w:val="2"/>
          <w:numId w:val="34"/>
        </w:numPr>
        <w:autoSpaceDE/>
        <w:spacing w:line="240" w:lineRule="atLeast"/>
        <w:ind w:right="300"/>
        <w:jc w:val="left"/>
      </w:pPr>
      <w:r w:rsidRPr="000F6909">
        <w:t>only 1 bit for SPS release</w:t>
      </w:r>
    </w:p>
    <w:p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rsidR="001850B6" w:rsidRDefault="001850B6" w:rsidP="001850B6">
      <w:pPr>
        <w:widowControl/>
        <w:autoSpaceDE/>
        <w:spacing w:line="240" w:lineRule="atLeast"/>
        <w:jc w:val="left"/>
      </w:pPr>
    </w:p>
    <w:p w:rsidR="001850B6" w:rsidRDefault="001850B6" w:rsidP="001850B6">
      <w:pPr>
        <w:spacing w:line="240" w:lineRule="atLeast"/>
        <w:rPr>
          <w:rFonts w:eastAsia="맑은 고딕"/>
        </w:rPr>
      </w:pPr>
    </w:p>
    <w:p w:rsidR="001850B6" w:rsidRDefault="001850B6" w:rsidP="001850B6">
      <w:pPr>
        <w:spacing w:line="240" w:lineRule="atLeast"/>
        <w:rPr>
          <w:rFonts w:eastAsia="맑은 고딕"/>
        </w:rPr>
      </w:pPr>
      <w:r>
        <w:rPr>
          <w:rFonts w:eastAsia="맑은 고딕" w:hint="eastAsia"/>
        </w:rPr>
        <w:t>For Q2, following are proposed by [1]</w:t>
      </w:r>
      <w:r>
        <w:rPr>
          <w:rFonts w:eastAsia="맑은 고딕"/>
        </w:rPr>
        <w:t>[2][5][7]</w:t>
      </w:r>
    </w:p>
    <w:p w:rsidR="001850B6" w:rsidRPr="000F6909" w:rsidRDefault="001850B6" w:rsidP="001850B6">
      <w:pPr>
        <w:pStyle w:val="a3"/>
        <w:numPr>
          <w:ilvl w:val="0"/>
          <w:numId w:val="35"/>
        </w:numPr>
        <w:spacing w:line="240" w:lineRule="atLeast"/>
        <w:ind w:leftChars="0"/>
        <w:rPr>
          <w:rFonts w:eastAsia="맑은 고딕"/>
        </w:rPr>
      </w:pPr>
      <w:r w:rsidRPr="00022B2A">
        <w:rPr>
          <w:rFonts w:eastAsia="맑은 고딕" w:hint="eastAsia"/>
        </w:rPr>
        <w:t>ZTE</w:t>
      </w:r>
      <w:r>
        <w:rPr>
          <w:rFonts w:eastAsia="맑은 고딕"/>
        </w:rPr>
        <w:t>[1]</w:t>
      </w:r>
      <w:r w:rsidRPr="00022B2A">
        <w:rPr>
          <w:rFonts w:eastAsia="맑은 고딕"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rsidR="001850B6" w:rsidRDefault="001850B6" w:rsidP="001850B6">
      <w:pPr>
        <w:pStyle w:val="a3"/>
        <w:numPr>
          <w:ilvl w:val="0"/>
          <w:numId w:val="35"/>
        </w:numPr>
        <w:spacing w:line="240" w:lineRule="atLeast"/>
        <w:ind w:leftChars="0"/>
        <w:rPr>
          <w:rFonts w:eastAsia="맑은 고딕"/>
        </w:rPr>
      </w:pPr>
      <w:r>
        <w:rPr>
          <w:rFonts w:eastAsia="맑은 고딕"/>
        </w:rPr>
        <w:t xml:space="preserve">Vivo[2]: </w:t>
      </w:r>
      <w:r w:rsidRPr="000F6909">
        <w:rPr>
          <w:rFonts w:eastAsia="맑은 고딕"/>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rsidR="001850B6" w:rsidRDefault="001850B6" w:rsidP="001850B6">
      <w:pPr>
        <w:pStyle w:val="a3"/>
        <w:numPr>
          <w:ilvl w:val="0"/>
          <w:numId w:val="35"/>
        </w:numPr>
        <w:spacing w:line="240" w:lineRule="atLeast"/>
        <w:ind w:leftChars="0"/>
        <w:rPr>
          <w:rFonts w:eastAsia="맑은 고딕"/>
        </w:rPr>
      </w:pPr>
      <w:r>
        <w:rPr>
          <w:rFonts w:eastAsia="맑은 고딕"/>
        </w:rPr>
        <w:t xml:space="preserve">CATT[5]: </w:t>
      </w:r>
    </w:p>
    <w:p w:rsidR="001850B6" w:rsidRPr="00745D44" w:rsidRDefault="001850B6" w:rsidP="001850B6">
      <w:pPr>
        <w:numPr>
          <w:ilvl w:val="1"/>
          <w:numId w:val="35"/>
        </w:numPr>
        <w:spacing w:line="240" w:lineRule="atLeast"/>
        <w:rPr>
          <w:rFonts w:eastAsia="맑은 고딕"/>
          <w:b/>
          <w:i/>
          <w:iCs/>
        </w:rPr>
      </w:pPr>
      <w:r w:rsidRPr="00745D44">
        <w:rPr>
          <w:rFonts w:eastAsia="맑은 고딕"/>
          <w:b/>
          <w:i/>
          <w:iCs/>
        </w:rPr>
        <w:t>F</w:t>
      </w:r>
      <w:r w:rsidRPr="00745D44">
        <w:rPr>
          <w:rFonts w:eastAsia="맑은 고딕" w:hint="eastAsia"/>
          <w:b/>
          <w:i/>
          <w:iCs/>
        </w:rPr>
        <w:t>or a UE</w:t>
      </w:r>
      <w:r w:rsidRPr="00745D44">
        <w:rPr>
          <w:rFonts w:eastAsia="맑은 고딕"/>
          <w:b/>
        </w:rPr>
        <w:t xml:space="preserve"> </w:t>
      </w:r>
      <w:r w:rsidRPr="00745D44">
        <w:rPr>
          <w:rFonts w:eastAsia="맑은 고딕"/>
          <w:b/>
          <w:i/>
          <w:iCs/>
        </w:rPr>
        <w:t>not indicating a capability to receive more than one unicast PDSCH per slot,</w:t>
      </w:r>
      <w:r w:rsidRPr="00745D44">
        <w:rPr>
          <w:rFonts w:eastAsia="맑은 고딕" w:hint="eastAsia"/>
          <w:b/>
          <w:i/>
          <w:iCs/>
        </w:rPr>
        <w:t xml:space="preserve"> </w:t>
      </w:r>
    </w:p>
    <w:p w:rsidR="001850B6" w:rsidRPr="00745D44" w:rsidRDefault="001850B6" w:rsidP="001850B6">
      <w:pPr>
        <w:numPr>
          <w:ilvl w:val="2"/>
          <w:numId w:val="35"/>
        </w:numPr>
        <w:spacing w:line="240" w:lineRule="atLeast"/>
        <w:rPr>
          <w:rFonts w:eastAsia="맑은 고딕"/>
          <w:b/>
          <w:i/>
          <w:iCs/>
        </w:rPr>
      </w:pPr>
      <w:r w:rsidRPr="00745D44">
        <w:rPr>
          <w:rFonts w:eastAsia="맑은 고딕"/>
          <w:b/>
          <w:i/>
          <w:iCs/>
        </w:rPr>
        <w:t>only HARQ-ACK corresponding to the SPS PDSCH release is transmitted and the HARQ-ACK corresponding to the SPS PDSCH is omitted.</w:t>
      </w:r>
    </w:p>
    <w:p w:rsidR="001850B6" w:rsidRPr="00745D44" w:rsidRDefault="001850B6" w:rsidP="001850B6">
      <w:pPr>
        <w:numPr>
          <w:ilvl w:val="1"/>
          <w:numId w:val="35"/>
        </w:numPr>
        <w:spacing w:line="240" w:lineRule="atLeast"/>
        <w:rPr>
          <w:rFonts w:eastAsia="맑은 고딕"/>
          <w:b/>
          <w:i/>
          <w:iCs/>
        </w:rPr>
      </w:pPr>
      <w:r w:rsidRPr="00745D44">
        <w:rPr>
          <w:rFonts w:eastAsia="맑은 고딕" w:hint="eastAsia"/>
          <w:b/>
          <w:i/>
          <w:iCs/>
        </w:rPr>
        <w:t xml:space="preserve">For a UE </w:t>
      </w:r>
      <w:r w:rsidRPr="00745D44">
        <w:rPr>
          <w:rFonts w:eastAsia="맑은 고딕"/>
          <w:b/>
          <w:i/>
          <w:iCs/>
        </w:rPr>
        <w:t>indicating a capability to receive more than one unicast PDSCH per slot,</w:t>
      </w:r>
    </w:p>
    <w:p w:rsidR="001850B6" w:rsidRDefault="001850B6" w:rsidP="001850B6">
      <w:pPr>
        <w:numPr>
          <w:ilvl w:val="2"/>
          <w:numId w:val="35"/>
        </w:numPr>
        <w:spacing w:line="240" w:lineRule="atLeast"/>
        <w:rPr>
          <w:rFonts w:eastAsia="맑은 고딕"/>
          <w:b/>
          <w:i/>
          <w:iCs/>
        </w:rPr>
      </w:pPr>
      <w:r w:rsidRPr="00745D44">
        <w:rPr>
          <w:rFonts w:eastAsia="맑은 고딕"/>
          <w:b/>
          <w:i/>
          <w:iCs/>
        </w:rPr>
        <w:t>I</w:t>
      </w:r>
      <w:r w:rsidRPr="00745D44">
        <w:rPr>
          <w:rFonts w:eastAsia="맑은 고딕" w:hint="eastAsia"/>
          <w:b/>
          <w:i/>
          <w:iCs/>
        </w:rPr>
        <w:t xml:space="preserve">f the HARQ-ACK bit location for the SPS PDSCH release collides with that for an SPS PDSCH, </w:t>
      </w:r>
      <w:r w:rsidRPr="00745D44">
        <w:rPr>
          <w:rFonts w:eastAsia="맑은 고딕"/>
          <w:b/>
          <w:i/>
          <w:iCs/>
        </w:rPr>
        <w:t>only HARQ-ACK corresponding to the SPS PDSCH release is transmitted and the HARQ-ACK corresponding to the SPS PDSCH is omitted.</w:t>
      </w:r>
    </w:p>
    <w:p w:rsidR="001850B6" w:rsidRDefault="001850B6" w:rsidP="001850B6">
      <w:pPr>
        <w:numPr>
          <w:ilvl w:val="0"/>
          <w:numId w:val="35"/>
        </w:numPr>
        <w:spacing w:line="240" w:lineRule="atLeast"/>
        <w:rPr>
          <w:rFonts w:eastAsia="맑은 고딕"/>
          <w:iCs/>
        </w:rPr>
      </w:pPr>
      <w:r w:rsidRPr="00D8001D">
        <w:rPr>
          <w:rFonts w:eastAsia="맑은 고딕" w:hint="eastAsia"/>
          <w:iCs/>
          <w:highlight w:val="yellow"/>
        </w:rPr>
        <w:t>Intel</w:t>
      </w:r>
      <w:r>
        <w:rPr>
          <w:rFonts w:eastAsia="맑은 고딕"/>
          <w:iCs/>
        </w:rPr>
        <w:t xml:space="preserve">[7]: UE behavior can be generalized </w:t>
      </w:r>
      <w:r>
        <w:t>for both types of UEs. The context of Q1 (and Q2) is when release and PDSCH occasion are for/include the same configuration. Thus, the same case (Case 1-2 only) applies for both cases.</w:t>
      </w:r>
    </w:p>
    <w:p w:rsidR="001850B6" w:rsidRDefault="001850B6" w:rsidP="001850B6">
      <w:pPr>
        <w:numPr>
          <w:ilvl w:val="0"/>
          <w:numId w:val="35"/>
        </w:numPr>
        <w:spacing w:line="240" w:lineRule="atLeast"/>
        <w:rPr>
          <w:rFonts w:eastAsia="맑은 고딕"/>
          <w:iCs/>
        </w:rPr>
      </w:pPr>
      <w:r>
        <w:rPr>
          <w:rFonts w:eastAsia="맑은 고딕"/>
          <w:iCs/>
        </w:rPr>
        <w:t xml:space="preserve">LG[10]: </w:t>
      </w:r>
    </w:p>
    <w:p w:rsidR="001850B6" w:rsidRPr="002E0CB0" w:rsidRDefault="001850B6" w:rsidP="001850B6">
      <w:pPr>
        <w:numPr>
          <w:ilvl w:val="1"/>
          <w:numId w:val="35"/>
        </w:numPr>
        <w:spacing w:line="240" w:lineRule="atLeast"/>
        <w:rPr>
          <w:rFonts w:eastAsia="맑은 고딕"/>
          <w:iCs/>
        </w:rPr>
      </w:pPr>
      <w:r w:rsidRPr="002E0CB0">
        <w:rPr>
          <w:rFonts w:eastAsia="맑은 고딕"/>
          <w:iCs/>
        </w:rPr>
        <w:t>For a UE not indicating a capability to receive more than one unicast PDSCH per slot</w:t>
      </w:r>
    </w:p>
    <w:p w:rsidR="001850B6" w:rsidRPr="002E0CB0" w:rsidRDefault="001850B6" w:rsidP="001850B6">
      <w:pPr>
        <w:numPr>
          <w:ilvl w:val="2"/>
          <w:numId w:val="35"/>
        </w:numPr>
        <w:spacing w:line="240" w:lineRule="atLeast"/>
        <w:rPr>
          <w:rFonts w:eastAsia="맑은 고딕"/>
          <w:iCs/>
        </w:rPr>
      </w:pPr>
      <w:r w:rsidRPr="002E0CB0">
        <w:rPr>
          <w:rFonts w:eastAsia="맑은 고딕"/>
          <w:iCs/>
        </w:rPr>
        <w:t xml:space="preserve">Case 2-1 (and 2-2) is not allowed </w:t>
      </w:r>
    </w:p>
    <w:p w:rsidR="001850B6" w:rsidRPr="002E0CB0" w:rsidRDefault="001850B6" w:rsidP="001850B6">
      <w:pPr>
        <w:numPr>
          <w:ilvl w:val="1"/>
          <w:numId w:val="35"/>
        </w:numPr>
        <w:spacing w:line="240" w:lineRule="atLeast"/>
        <w:rPr>
          <w:rFonts w:eastAsia="맑은 고딕"/>
          <w:iCs/>
        </w:rPr>
      </w:pPr>
      <w:r w:rsidRPr="002E0CB0">
        <w:rPr>
          <w:rFonts w:eastAsia="맑은 고딕"/>
          <w:iCs/>
        </w:rPr>
        <w:t>For a UE indicating a capability to receive more than one unicast PDSCH per slot</w:t>
      </w:r>
    </w:p>
    <w:p w:rsidR="001850B6" w:rsidRPr="002E0CB0" w:rsidRDefault="001850B6" w:rsidP="001850B6">
      <w:pPr>
        <w:numPr>
          <w:ilvl w:val="2"/>
          <w:numId w:val="35"/>
        </w:numPr>
        <w:spacing w:line="240" w:lineRule="atLeast"/>
        <w:rPr>
          <w:rFonts w:eastAsia="맑은 고딕"/>
          <w:iCs/>
        </w:rPr>
      </w:pPr>
      <w:r w:rsidRPr="002E0CB0">
        <w:rPr>
          <w:rFonts w:eastAsia="맑은 고딕"/>
          <w:iCs/>
        </w:rPr>
        <w:t>Case 2-1 is allowed (no spec impact)</w:t>
      </w:r>
    </w:p>
    <w:p w:rsidR="001850B6" w:rsidRDefault="001850B6" w:rsidP="001850B6"/>
    <w:p w:rsidR="001850B6" w:rsidRDefault="001850B6" w:rsidP="001850B6">
      <w:pPr>
        <w:pStyle w:val="2"/>
      </w:pPr>
      <w:r>
        <w:rPr>
          <w:rFonts w:hint="eastAsia"/>
        </w:rPr>
        <w:t>FL</w:t>
      </w:r>
      <w:r>
        <w:t>’s suggestion on the issue 3.4</w:t>
      </w:r>
    </w:p>
    <w:p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rsidR="005C6E03" w:rsidRDefault="005C6E03" w:rsidP="00B347FE">
      <w:pPr>
        <w:pStyle w:val="a3"/>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rsidR="00606843" w:rsidRDefault="00606843" w:rsidP="00076B2D">
      <w:pPr>
        <w:spacing w:line="240" w:lineRule="atLeast"/>
        <w:rPr>
          <w:rFonts w:eastAsia="맑은 고딕"/>
        </w:rPr>
      </w:pPr>
    </w:p>
    <w:p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a"/>
              <w:spacing w:after="120"/>
              <w:ind w:left="840" w:hanging="420"/>
              <w:jc w:val="both"/>
              <w:rPr>
                <w:rFonts w:ascii="MS Mincho" w:eastAsia="MS Mincho"/>
                <w:sz w:val="20"/>
                <w:szCs w:val="20"/>
              </w:rPr>
            </w:pPr>
          </w:p>
        </w:tc>
      </w:tr>
    </w:tbl>
    <w:p w:rsidR="00606843" w:rsidRPr="00B67FC9" w:rsidRDefault="00606843" w:rsidP="00606843">
      <w:pPr>
        <w:widowControl/>
        <w:autoSpaceDE/>
        <w:autoSpaceDN/>
        <w:spacing w:line="240" w:lineRule="auto"/>
        <w:jc w:val="left"/>
        <w:rPr>
          <w:rFonts w:eastAsia="굴림" w:cs="Times New Roman"/>
          <w:color w:val="000000"/>
          <w:kern w:val="0"/>
          <w:szCs w:val="20"/>
        </w:rPr>
      </w:pPr>
    </w:p>
    <w:p w:rsidR="00575254" w:rsidRDefault="00232717" w:rsidP="00076B2D">
      <w:pPr>
        <w:spacing w:line="240" w:lineRule="atLeast"/>
        <w:rPr>
          <w:rFonts w:eastAsia="맑은 고딕"/>
        </w:rPr>
      </w:pPr>
      <w:r>
        <w:rPr>
          <w:rFonts w:eastAsia="맑은 고딕"/>
        </w:rPr>
        <w:t>According to follow</w:t>
      </w:r>
      <w:r w:rsidR="00606843">
        <w:rPr>
          <w:rFonts w:eastAsia="맑은 고딕"/>
        </w:rPr>
        <w:t>ing</w:t>
      </w:r>
      <w:r>
        <w:rPr>
          <w:rFonts w:eastAsia="맑은 고딕"/>
        </w:rPr>
        <w:t xml:space="preserve"> specification, PU</w:t>
      </w:r>
      <w:r w:rsidR="00C35FA6">
        <w:rPr>
          <w:rFonts w:eastAsia="맑은 고딕"/>
        </w:rPr>
        <w:t>C</w:t>
      </w:r>
      <w:r>
        <w:rPr>
          <w:rFonts w:eastAsia="맑은 고딕"/>
        </w:rPr>
        <w:t>CH for SPS PDSCH re</w:t>
      </w:r>
      <w:r w:rsidR="00606843">
        <w:rPr>
          <w:rFonts w:eastAsia="맑은 고딕"/>
        </w:rPr>
        <w:t>lease is determined by</w:t>
      </w:r>
      <w:r w:rsidR="00606843" w:rsidRPr="00606843">
        <w:rPr>
          <w:rFonts w:eastAsia="맑은 고딕"/>
        </w:rPr>
        <w:t xml:space="preserve"> a value of a PDSCH-to-HARQ_feedback timing indicator</w:t>
      </w:r>
      <w:r w:rsidR="00606843">
        <w:rPr>
          <w:rFonts w:eastAsia="맑은 고딕"/>
        </w:rPr>
        <w:t xml:space="preserve">. Thus, there was no restriction of same PUCCH between release and SPS PDSCH at least for </w:t>
      </w:r>
      <w:r w:rsidR="00606843" w:rsidRPr="00606843">
        <w:rPr>
          <w:rFonts w:eastAsia="맑은 고딕"/>
        </w:rPr>
        <w:t>a UE having processing capability of more than one unicast PDSCH reception per slot</w:t>
      </w:r>
      <w:r w:rsidR="00606843">
        <w:rPr>
          <w:rFonts w:eastAsia="맑은 고딕"/>
        </w:rPr>
        <w:t>.</w:t>
      </w:r>
    </w:p>
    <w:p w:rsidR="00232717" w:rsidRDefault="00232717" w:rsidP="00076B2D">
      <w:pPr>
        <w:spacing w:line="240" w:lineRule="atLeast"/>
        <w:rPr>
          <w:rFonts w:eastAsia="맑은 고딕"/>
        </w:rPr>
      </w:pPr>
    </w:p>
    <w:tbl>
      <w:tblPr>
        <w:tblStyle w:val="a4"/>
        <w:tblW w:w="0" w:type="auto"/>
        <w:tblLook w:val="04A0" w:firstRow="1" w:lastRow="0" w:firstColumn="1" w:lastColumn="0" w:noHBand="0" w:noVBand="1"/>
      </w:tblPr>
      <w:tblGrid>
        <w:gridCol w:w="9628"/>
      </w:tblGrid>
      <w:tr w:rsidR="00232717" w:rsidTr="00232717">
        <w:tc>
          <w:tcPr>
            <w:tcW w:w="9628" w:type="dxa"/>
          </w:tcPr>
          <w:p w:rsidR="00232717" w:rsidRDefault="00232717" w:rsidP="00232717">
            <w:pPr>
              <w:pStyle w:val="Default"/>
              <w:rPr>
                <w:sz w:val="20"/>
                <w:szCs w:val="20"/>
              </w:rPr>
            </w:pPr>
            <w:r>
              <w:rPr>
                <w:sz w:val="28"/>
                <w:szCs w:val="28"/>
              </w:rPr>
              <w:t>9.1.2 Type-1 HARQ-ACK codebook determination</w:t>
            </w:r>
          </w:p>
          <w:p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rsidR="00943AA5" w:rsidRPr="00943AA5" w:rsidRDefault="00943AA5" w:rsidP="00232717">
            <w:pPr>
              <w:spacing w:line="240" w:lineRule="atLeast"/>
              <w:rPr>
                <w:szCs w:val="20"/>
              </w:rPr>
            </w:pPr>
          </w:p>
          <w:p w:rsidR="00232717" w:rsidRPr="00943AA5" w:rsidRDefault="00232717" w:rsidP="00606843">
            <w:pPr>
              <w:rPr>
                <w:rFonts w:eastAsia="맑은 고딕"/>
              </w:rPr>
            </w:pPr>
          </w:p>
        </w:tc>
      </w:tr>
    </w:tbl>
    <w:p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a"/>
              <w:spacing w:after="120"/>
              <w:ind w:left="840" w:hanging="420"/>
              <w:jc w:val="both"/>
              <w:rPr>
                <w:rFonts w:ascii="MS Mincho" w:eastAsia="MS Mincho"/>
                <w:sz w:val="20"/>
                <w:szCs w:val="20"/>
              </w:rPr>
            </w:pPr>
          </w:p>
        </w:tc>
      </w:tr>
    </w:tbl>
    <w:p w:rsidR="00606843" w:rsidRPr="00B67FC9" w:rsidRDefault="00606843" w:rsidP="00606843">
      <w:pPr>
        <w:widowControl/>
        <w:autoSpaceDE/>
        <w:autoSpaceDN/>
        <w:spacing w:line="240" w:lineRule="auto"/>
        <w:jc w:val="left"/>
        <w:rPr>
          <w:rFonts w:eastAsia="굴림" w:cs="Times New Roman"/>
          <w:color w:val="000000"/>
          <w:kern w:val="0"/>
          <w:szCs w:val="20"/>
        </w:rPr>
      </w:pPr>
    </w:p>
    <w:p w:rsidR="00232717" w:rsidRPr="00606843" w:rsidRDefault="00232717" w:rsidP="00076B2D">
      <w:pPr>
        <w:spacing w:line="240" w:lineRule="atLeast"/>
        <w:rPr>
          <w:rFonts w:eastAsia="맑은 고딕"/>
        </w:rPr>
      </w:pPr>
    </w:p>
    <w:p w:rsidR="00606843" w:rsidRPr="001850B6" w:rsidRDefault="00606843" w:rsidP="00606843">
      <w:r>
        <w:t xml:space="preserve">As a next, I also would like to ask some principle to solve the problem in order to step forward. </w:t>
      </w:r>
    </w:p>
    <w:p w:rsidR="00606843" w:rsidRDefault="00606843" w:rsidP="00606843">
      <w:pPr>
        <w:spacing w:line="240" w:lineRule="atLeast"/>
        <w:rPr>
          <w:rFonts w:eastAsia="맑은 고딕"/>
        </w:rPr>
      </w:pPr>
      <w:r>
        <w:rPr>
          <w:rFonts w:eastAsia="맑은 고딕" w:hint="eastAsia"/>
        </w:rPr>
        <w:t xml:space="preserve">For </w:t>
      </w:r>
      <w:r>
        <w:rPr>
          <w:rFonts w:eastAsia="맑은 고딕"/>
        </w:rPr>
        <w:t>the</w:t>
      </w:r>
      <w:r>
        <w:rPr>
          <w:rFonts w:eastAsia="맑은 고딕" w:hint="eastAsia"/>
        </w:rPr>
        <w:t xml:space="preserve"> </w:t>
      </w:r>
      <w:r w:rsidRPr="002A43C9">
        <w:rPr>
          <w:rFonts w:eastAsia="맑은 고딕"/>
        </w:rPr>
        <w:t>processing capability of a single unicast PDSCH reception per slot</w:t>
      </w:r>
      <w:r>
        <w:rPr>
          <w:rFonts w:eastAsia="맑은 고딕"/>
        </w:rPr>
        <w:t>, there are two meaning. One is that UE is only capable to decode one PDSCH</w:t>
      </w:r>
      <w:r w:rsidR="00491A5D">
        <w:rPr>
          <w:rFonts w:eastAsia="맑은 고딕"/>
        </w:rPr>
        <w:t xml:space="preserve"> per single slot</w:t>
      </w:r>
      <w:r>
        <w:rPr>
          <w:rFonts w:eastAsia="맑은 고딕"/>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맑은 고딕"/>
        </w:rPr>
        <w:t>additional</w:t>
      </w:r>
      <w:r>
        <w:rPr>
          <w:rFonts w:eastAsia="맑은 고딕"/>
        </w:rPr>
        <w:t xml:space="preserve"> Question is, </w:t>
      </w:r>
    </w:p>
    <w:p w:rsidR="00606843" w:rsidRDefault="00606843" w:rsidP="00606843">
      <w:pPr>
        <w:spacing w:line="240" w:lineRule="atLeast"/>
        <w:rPr>
          <w:rFonts w:eastAsia="맑은 고딕"/>
        </w:rPr>
      </w:pPr>
    </w:p>
    <w:p w:rsidR="00606843" w:rsidRDefault="00491A5D" w:rsidP="00606843">
      <w:pPr>
        <w:spacing w:line="240" w:lineRule="atLeast"/>
        <w:rPr>
          <w:b/>
        </w:rPr>
      </w:pPr>
      <w:r>
        <w:rPr>
          <w:rFonts w:eastAsia="맑은 고딕" w:hint="eastAsia"/>
          <w:b/>
        </w:rPr>
        <w:lastRenderedPageBreak/>
        <w:t>Q3</w:t>
      </w:r>
      <w:r w:rsidR="00606843" w:rsidRPr="002A43C9">
        <w:rPr>
          <w:rFonts w:eastAsia="맑은 고딕" w:hint="eastAsia"/>
          <w:b/>
        </w:rPr>
        <w:t xml:space="preserve">: </w:t>
      </w:r>
      <w:r w:rsidR="00606843">
        <w:rPr>
          <w:rFonts w:eastAsia="맑은 고딕"/>
          <w:b/>
        </w:rPr>
        <w:t xml:space="preserve">For </w:t>
      </w:r>
      <w:r w:rsidR="00606843">
        <w:rPr>
          <w:rFonts w:eastAsia="맑은 고딕"/>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rsidR="00491A5D" w:rsidRPr="00E50F52" w:rsidRDefault="00491A5D" w:rsidP="00491A5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Question.</w:t>
      </w:r>
    </w:p>
    <w:p w:rsidR="00491A5D" w:rsidRDefault="00491A5D" w:rsidP="00491A5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491A5D" w:rsidRPr="004B1732" w:rsidRDefault="00491A5D"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491A5D" w:rsidRPr="004B1732" w:rsidRDefault="00491A5D" w:rsidP="00826D58">
            <w:pPr>
              <w:widowControl/>
              <w:spacing w:line="240" w:lineRule="atLeast"/>
              <w:rPr>
                <w:rFonts w:eastAsia="굴림" w:cs="Times New Roman"/>
                <w:szCs w:val="20"/>
              </w:rPr>
            </w:pPr>
            <w:r w:rsidRPr="004B1732">
              <w:rPr>
                <w:rFonts w:eastAsia="굴림" w:cs="Times New Roman"/>
                <w:szCs w:val="20"/>
              </w:rPr>
              <w:t>Comment if any</w:t>
            </w:r>
          </w:p>
        </w:tc>
      </w:tr>
      <w:tr w:rsidR="00491A5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r>
      <w:tr w:rsidR="00491A5D"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r>
      <w:tr w:rsidR="00491A5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r>
      <w:tr w:rsidR="00491A5D"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a"/>
              <w:spacing w:after="120"/>
              <w:ind w:left="840" w:hanging="420"/>
              <w:jc w:val="both"/>
              <w:rPr>
                <w:rFonts w:ascii="MS Mincho" w:eastAsia="MS Mincho"/>
                <w:sz w:val="20"/>
                <w:szCs w:val="20"/>
              </w:rPr>
            </w:pPr>
          </w:p>
        </w:tc>
      </w:tr>
    </w:tbl>
    <w:p w:rsidR="00491A5D" w:rsidRDefault="00491A5D" w:rsidP="00491A5D">
      <w:pPr>
        <w:spacing w:line="240" w:lineRule="atLeast"/>
        <w:rPr>
          <w:rFonts w:eastAsia="맑은 고딕"/>
        </w:rPr>
      </w:pPr>
    </w:p>
    <w:p w:rsidR="00491A5D" w:rsidRDefault="00491A5D" w:rsidP="00076B2D">
      <w:pPr>
        <w:spacing w:line="240" w:lineRule="atLeast"/>
        <w:rPr>
          <w:rFonts w:eastAsia="맑은 고딕"/>
        </w:rPr>
      </w:pPr>
    </w:p>
    <w:p w:rsidR="008B5B9D" w:rsidRDefault="0069298F" w:rsidP="00076B2D">
      <w:pPr>
        <w:spacing w:line="240" w:lineRule="atLeast"/>
        <w:rPr>
          <w:rFonts w:eastAsia="맑은 고딕"/>
        </w:rPr>
      </w:pPr>
      <w:r>
        <w:rPr>
          <w:rFonts w:eastAsia="맑은 고딕"/>
        </w:rPr>
        <w:t>Depending</w:t>
      </w:r>
      <w:r>
        <w:rPr>
          <w:rFonts w:eastAsia="맑은 고딕" w:hint="eastAsia"/>
        </w:rPr>
        <w:t xml:space="preserve"> on the </w:t>
      </w:r>
      <w:r w:rsidR="00D33CBD">
        <w:rPr>
          <w:rFonts w:eastAsia="맑은 고딕"/>
        </w:rPr>
        <w:t xml:space="preserve">upcoming </w:t>
      </w:r>
      <w:r>
        <w:rPr>
          <w:rFonts w:eastAsia="맑은 고딕" w:hint="eastAsia"/>
        </w:rPr>
        <w:t xml:space="preserve">discussion, UE may </w:t>
      </w:r>
      <w:r>
        <w:rPr>
          <w:rFonts w:eastAsia="맑은 고딕"/>
        </w:rPr>
        <w:t xml:space="preserve">receive </w:t>
      </w:r>
      <w:r w:rsidRPr="0069298F">
        <w:rPr>
          <w:rFonts w:eastAsia="맑은 고딕"/>
        </w:rPr>
        <w:t xml:space="preserve">SPS PDSCH </w:t>
      </w:r>
      <w:r w:rsidR="008B5B9D">
        <w:rPr>
          <w:rFonts w:eastAsia="맑은 고딕"/>
        </w:rPr>
        <w:t xml:space="preserve">release of which HARQ-ACK would map to same or different PUCCH with the corresponding SPS PDSCH reception. Thus, it would be helpful to discuss for each cases in advance. </w:t>
      </w:r>
    </w:p>
    <w:p w:rsidR="007871D6" w:rsidRDefault="007871D6" w:rsidP="00076B2D">
      <w:pPr>
        <w:spacing w:line="240" w:lineRule="atLeast"/>
        <w:rPr>
          <w:rFonts w:eastAsia="맑은 고딕"/>
        </w:rPr>
      </w:pPr>
    </w:p>
    <w:p w:rsidR="008B5B9D" w:rsidRDefault="008B5B9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sidRPr="007058B0">
        <w:rPr>
          <w:rFonts w:eastAsia="맑은 고딕"/>
          <w:b/>
        </w:rPr>
        <w:t>same PUCCH</w:t>
      </w:r>
      <w:r>
        <w:rPr>
          <w:rFonts w:eastAsia="맑은 고딕"/>
        </w:rPr>
        <w:t xml:space="preserve">, i.e., SPS PDSCH release is indicated with same value of K1 with SPS configuration, they would be mapped to same HARQ-ACK bit position in the PUCCH based on current specification. </w:t>
      </w:r>
      <w:r w:rsidR="007058B0">
        <w:rPr>
          <w:rFonts w:eastAsia="맑은 고딕"/>
        </w:rPr>
        <w:t xml:space="preserve">In this case, we should consider DCI missing case. </w:t>
      </w:r>
    </w:p>
    <w:p w:rsidR="007058B0" w:rsidRDefault="007058B0" w:rsidP="00076B2D">
      <w:pPr>
        <w:spacing w:line="240" w:lineRule="atLeast"/>
        <w:rPr>
          <w:rFonts w:eastAsia="맑은 고딕"/>
        </w:rPr>
      </w:pPr>
    </w:p>
    <w:p w:rsidR="007058B0" w:rsidRDefault="007058B0" w:rsidP="007058B0">
      <w:pPr>
        <w:spacing w:line="240" w:lineRule="atLeast"/>
        <w:jc w:val="center"/>
        <w:rPr>
          <w:rFonts w:eastAsia="맑은 고딕"/>
        </w:rPr>
      </w:pPr>
      <w:r>
        <w:rPr>
          <w:rFonts w:eastAsia="맑은 고딕"/>
          <w:noProof/>
        </w:rPr>
        <w:drawing>
          <wp:inline distT="0" distB="0" distL="0" distR="0" wp14:anchorId="26589670">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rsidR="00EF4DCF" w:rsidRPr="00EF4DCF" w:rsidRDefault="00EF4DCF" w:rsidP="007058B0">
      <w:pPr>
        <w:spacing w:line="240" w:lineRule="atLeast"/>
        <w:jc w:val="center"/>
        <w:rPr>
          <w:rFonts w:eastAsia="맑은 고딕"/>
          <w:b/>
        </w:rPr>
      </w:pPr>
      <w:r w:rsidRPr="00EF4DCF">
        <w:rPr>
          <w:rFonts w:eastAsia="맑은 고딕" w:hint="eastAsia"/>
          <w:b/>
        </w:rPr>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rsidR="008B5B9D" w:rsidRPr="00EF4DCF" w:rsidRDefault="00EF4DCF" w:rsidP="00076B2D">
      <w:pPr>
        <w:spacing w:line="240" w:lineRule="atLeast"/>
        <w:rPr>
          <w:rFonts w:eastAsia="맑은 고딕"/>
        </w:rPr>
      </w:pPr>
      <w:r>
        <w:rPr>
          <w:rFonts w:eastAsia="맑은 고딕" w:hint="eastAsia"/>
        </w:rPr>
        <w:t>In the situation above, there could be ambiguity</w:t>
      </w:r>
      <w:r>
        <w:rPr>
          <w:rFonts w:eastAsia="맑은 고딕"/>
        </w:rPr>
        <w:t xml:space="preserve"> on HARQ-ACK bit between SPS PDSCH release and SPS reception due to DCI missing case. Based on the contribution, most of companies proposed “UE generates </w:t>
      </w:r>
      <w:r w:rsidRPr="00EF4DCF">
        <w:rPr>
          <w:rFonts w:eastAsia="맑은 고딕"/>
        </w:rPr>
        <w:t>only 1 bit for SPS release</w:t>
      </w:r>
      <w:r>
        <w:rPr>
          <w:rFonts w:eastAsia="맑은 고딕"/>
        </w:rPr>
        <w:t>”</w:t>
      </w:r>
      <w:r w:rsidR="00D33CBD">
        <w:rPr>
          <w:rFonts w:eastAsia="맑은 고딕"/>
        </w:rPr>
        <w:t xml:space="preserve"> when same PUCCH is used. In this case, gNB is able to ensure no successful transmission on the SPS PDSCH by gNB implementation so that UE always report NACK for the </w:t>
      </w:r>
      <w:r w:rsidR="00491A5D">
        <w:rPr>
          <w:rFonts w:eastAsia="맑은 고딕"/>
        </w:rPr>
        <w:t>SPS reception</w:t>
      </w:r>
      <w:r w:rsidR="00D33CBD">
        <w:rPr>
          <w:rFonts w:eastAsia="맑은 고딕"/>
        </w:rPr>
        <w:t xml:space="preserve"> bit </w:t>
      </w:r>
      <w:r w:rsidR="00491A5D">
        <w:rPr>
          <w:rFonts w:eastAsia="맑은 고딕"/>
        </w:rPr>
        <w:t xml:space="preserve">even </w:t>
      </w:r>
      <w:r w:rsidR="00D33CBD">
        <w:rPr>
          <w:rFonts w:eastAsia="맑은 고딕"/>
        </w:rPr>
        <w:t xml:space="preserve">if UE fails to detect SPS release DCI. </w:t>
      </w:r>
    </w:p>
    <w:p w:rsidR="00324FFD" w:rsidRDefault="00324FFD" w:rsidP="00076B2D">
      <w:pPr>
        <w:spacing w:line="240" w:lineRule="atLeast"/>
        <w:rPr>
          <w:rFonts w:eastAsia="맑은 고딕"/>
        </w:rPr>
      </w:pPr>
    </w:p>
    <w:p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rsidR="00D33CBD" w:rsidRPr="00E50F52" w:rsidRDefault="00D33CBD" w:rsidP="00D33CB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D33CBD" w:rsidRDefault="00D33CBD" w:rsidP="00D33CB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D33CBD" w:rsidRPr="004B1732" w:rsidRDefault="00D33CBD"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D33CBD" w:rsidRPr="004B1732" w:rsidRDefault="00D33CBD" w:rsidP="00826D58">
            <w:pPr>
              <w:widowControl/>
              <w:spacing w:line="240" w:lineRule="atLeast"/>
              <w:rPr>
                <w:rFonts w:eastAsia="굴림" w:cs="Times New Roman"/>
                <w:szCs w:val="20"/>
              </w:rPr>
            </w:pPr>
            <w:r w:rsidRPr="004B1732">
              <w:rPr>
                <w:rFonts w:eastAsia="굴림" w:cs="Times New Roman"/>
                <w:szCs w:val="20"/>
              </w:rPr>
              <w:t>Comment if any</w:t>
            </w:r>
          </w:p>
        </w:tc>
      </w:tr>
      <w:tr w:rsidR="00D33CB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r>
      <w:tr w:rsidR="00D33CBD"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r>
      <w:tr w:rsidR="00D33CB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r>
      <w:tr w:rsidR="00D33CBD"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a"/>
              <w:spacing w:after="120"/>
              <w:ind w:left="840" w:hanging="420"/>
              <w:jc w:val="both"/>
              <w:rPr>
                <w:rFonts w:ascii="MS Mincho" w:eastAsia="MS Mincho"/>
                <w:sz w:val="20"/>
                <w:szCs w:val="20"/>
              </w:rPr>
            </w:pPr>
          </w:p>
        </w:tc>
      </w:tr>
    </w:tbl>
    <w:p w:rsidR="00D33CBD" w:rsidRDefault="00D33CBD" w:rsidP="00076B2D">
      <w:pPr>
        <w:spacing w:line="240" w:lineRule="atLeast"/>
        <w:rPr>
          <w:rFonts w:eastAsia="맑은 고딕"/>
        </w:rPr>
      </w:pPr>
    </w:p>
    <w:p w:rsidR="007871D6" w:rsidRDefault="00D33CB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Pr>
          <w:rFonts w:eastAsia="맑은 고딕"/>
          <w:b/>
        </w:rPr>
        <w:t xml:space="preserve">different </w:t>
      </w:r>
      <w:r w:rsidRPr="007058B0">
        <w:rPr>
          <w:rFonts w:eastAsia="맑은 고딕"/>
          <w:b/>
        </w:rPr>
        <w:t>PUCCH</w:t>
      </w:r>
      <w:r>
        <w:rPr>
          <w:rFonts w:eastAsia="맑은 고딕"/>
        </w:rPr>
        <w:t xml:space="preserve">, i.e., SPS PDSCH release is indicated with different value of K1 with SPS configuration, there seems no </w:t>
      </w:r>
      <w:r w:rsidR="005819A3">
        <w:rPr>
          <w:rFonts w:eastAsia="맑은 고딕"/>
        </w:rPr>
        <w:t xml:space="preserve">ambiguity at the </w:t>
      </w:r>
      <w:r>
        <w:rPr>
          <w:rFonts w:eastAsia="맑은 고딕"/>
        </w:rPr>
        <w:t xml:space="preserve">gNB perspective. </w:t>
      </w:r>
      <w:r w:rsidR="005819A3">
        <w:rPr>
          <w:rFonts w:eastAsia="맑은 고딕"/>
        </w:rPr>
        <w:t xml:space="preserve">Based </w:t>
      </w:r>
      <w:r w:rsidR="005819A3">
        <w:rPr>
          <w:rFonts w:eastAsia="맑은 고딕"/>
        </w:rPr>
        <w:lastRenderedPageBreak/>
        <w:t>on contributions, the majority of companies thinks that UE can generates separated PUCCH in this case.</w:t>
      </w:r>
    </w:p>
    <w:p w:rsidR="00D33CBD" w:rsidRDefault="00D33CBD" w:rsidP="00D33CBD">
      <w:pPr>
        <w:spacing w:line="240" w:lineRule="atLeast"/>
        <w:jc w:val="center"/>
        <w:rPr>
          <w:rFonts w:eastAsia="맑은 고딕"/>
        </w:rPr>
      </w:pPr>
      <w:r>
        <w:rPr>
          <w:rFonts w:eastAsia="맑은 고딕"/>
          <w:noProof/>
        </w:rPr>
        <w:drawing>
          <wp:inline distT="0" distB="0" distL="0" distR="0" wp14:anchorId="488C77E3">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rsidR="00D33CBD" w:rsidRPr="00EF4DCF" w:rsidRDefault="00D33CBD" w:rsidP="00D33CBD">
      <w:pPr>
        <w:spacing w:line="240" w:lineRule="atLeast"/>
        <w:jc w:val="center"/>
        <w:rPr>
          <w:rFonts w:eastAsia="맑은 고딕"/>
          <w:b/>
        </w:rPr>
      </w:pPr>
      <w:r w:rsidRPr="00EF4DCF">
        <w:rPr>
          <w:rFonts w:eastAsia="맑은 고딕" w:hint="eastAsia"/>
          <w:b/>
        </w:rPr>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rsidR="00D33CBD" w:rsidRPr="00D33CBD" w:rsidRDefault="00D33CBD" w:rsidP="00D33CBD">
      <w:pPr>
        <w:spacing w:line="240" w:lineRule="atLeast"/>
        <w:jc w:val="center"/>
        <w:rPr>
          <w:rFonts w:eastAsia="맑은 고딕"/>
        </w:rPr>
      </w:pPr>
    </w:p>
    <w:p w:rsidR="007871D6" w:rsidRDefault="005819A3" w:rsidP="00076B2D">
      <w:pPr>
        <w:spacing w:line="240" w:lineRule="atLeast"/>
        <w:rPr>
          <w:rFonts w:eastAsia="맑은 고딕"/>
        </w:rPr>
      </w:pPr>
      <w:r>
        <w:rPr>
          <w:rFonts w:eastAsia="맑은 고딕" w:hint="eastAsia"/>
        </w:rPr>
        <w:t xml:space="preserve">For the decoding of SPS reception, there are a lot of view per different conditions. </w:t>
      </w:r>
      <w:r>
        <w:rPr>
          <w:rFonts w:eastAsia="맑은 고딕"/>
        </w:rPr>
        <w:t>First of all, I would like to suggest to consider baseline above</w:t>
      </w:r>
      <w:r w:rsidR="00760E6F">
        <w:rPr>
          <w:rFonts w:eastAsia="맑은 고딕"/>
        </w:rPr>
        <w:t xml:space="preserve"> first</w:t>
      </w:r>
      <w:r>
        <w:rPr>
          <w:rFonts w:eastAsia="맑은 고딕"/>
        </w:rPr>
        <w:t xml:space="preserve">. </w:t>
      </w:r>
    </w:p>
    <w:p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rsidR="005819A3" w:rsidRDefault="005819A3" w:rsidP="005819A3">
      <w:pPr>
        <w:pStyle w:val="a3"/>
        <w:numPr>
          <w:ilvl w:val="0"/>
          <w:numId w:val="41"/>
        </w:numPr>
        <w:ind w:leftChars="0"/>
        <w:rPr>
          <w:b/>
        </w:rPr>
      </w:pPr>
      <w:r w:rsidRPr="005819A3">
        <w:rPr>
          <w:b/>
        </w:rPr>
        <w:t>At least for a UE having processing capability of more than one unicast PDSCH reception per slot</w:t>
      </w:r>
      <w:r>
        <w:rPr>
          <w:b/>
        </w:rPr>
        <w:t xml:space="preserve">, </w:t>
      </w:r>
    </w:p>
    <w:p w:rsidR="005819A3" w:rsidRDefault="005819A3" w:rsidP="0061617E">
      <w:pPr>
        <w:pStyle w:val="a3"/>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rsidR="005819A3" w:rsidRDefault="005819A3" w:rsidP="0061617E">
      <w:pPr>
        <w:pStyle w:val="a3"/>
        <w:numPr>
          <w:ilvl w:val="1"/>
          <w:numId w:val="41"/>
        </w:numPr>
        <w:ind w:leftChars="0"/>
        <w:rPr>
          <w:b/>
        </w:rPr>
      </w:pPr>
      <w:r>
        <w:rPr>
          <w:b/>
        </w:rPr>
        <w:t xml:space="preserve">If </w:t>
      </w:r>
      <w:r w:rsidRPr="005819A3">
        <w:rPr>
          <w:b/>
        </w:rPr>
        <w:t>HARQ-ACK for the SPS release and the SPS reception would map to the different PUCCH</w:t>
      </w:r>
      <w:r>
        <w:rPr>
          <w:b/>
        </w:rPr>
        <w:t>s,</w:t>
      </w:r>
    </w:p>
    <w:p w:rsidR="005819A3" w:rsidRDefault="005819A3" w:rsidP="0061617E">
      <w:pPr>
        <w:pStyle w:val="a3"/>
        <w:numPr>
          <w:ilvl w:val="1"/>
          <w:numId w:val="41"/>
        </w:numPr>
        <w:ind w:leftChars="0"/>
        <w:rPr>
          <w:b/>
        </w:rPr>
      </w:pPr>
      <w:r>
        <w:rPr>
          <w:b/>
        </w:rPr>
        <w:t xml:space="preserve">Down-select </w:t>
      </w:r>
      <w:r w:rsidR="0061617E">
        <w:rPr>
          <w:b/>
        </w:rPr>
        <w:t xml:space="preserve">among following </w:t>
      </w:r>
      <w:r>
        <w:rPr>
          <w:b/>
        </w:rPr>
        <w:t>options</w:t>
      </w:r>
      <w:r w:rsidR="0061617E">
        <w:rPr>
          <w:b/>
        </w:rPr>
        <w:t>:</w:t>
      </w:r>
    </w:p>
    <w:p w:rsidR="005819A3" w:rsidRDefault="005819A3" w:rsidP="0061617E">
      <w:pPr>
        <w:pStyle w:val="a3"/>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rsidR="00974371" w:rsidRPr="00974371" w:rsidRDefault="00760E6F" w:rsidP="00974371">
      <w:pPr>
        <w:pStyle w:val="a3"/>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rsidR="005819A3" w:rsidRPr="005819A3" w:rsidRDefault="005819A3" w:rsidP="00076B2D">
      <w:pPr>
        <w:spacing w:line="240" w:lineRule="atLeast"/>
        <w:rPr>
          <w:rFonts w:eastAsia="맑은 고딕"/>
        </w:rPr>
      </w:pPr>
    </w:p>
    <w:p w:rsidR="0061617E" w:rsidRPr="00E50F52" w:rsidRDefault="0061617E" w:rsidP="0061617E">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61617E" w:rsidRDefault="0061617E" w:rsidP="0061617E">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5"/>
        <w:gridCol w:w="1125"/>
        <w:gridCol w:w="7508"/>
      </w:tblGrid>
      <w:tr w:rsidR="0061617E" w:rsidRPr="004B1732" w:rsidTr="00491A5D">
        <w:trPr>
          <w:trHeight w:val="294"/>
          <w:jc w:val="center"/>
        </w:trPr>
        <w:tc>
          <w:tcPr>
            <w:tcW w:w="517" w:type="pct"/>
            <w:shd w:val="clear" w:color="auto" w:fill="9CC2E5"/>
            <w:tcMar>
              <w:top w:w="0" w:type="dxa"/>
              <w:left w:w="108" w:type="dxa"/>
              <w:bottom w:w="0" w:type="dxa"/>
              <w:right w:w="108" w:type="dxa"/>
            </w:tcMar>
            <w:vAlign w:val="center"/>
            <w:hideMark/>
          </w:tcPr>
          <w:p w:rsidR="0061617E" w:rsidRPr="004B1732" w:rsidRDefault="0061617E" w:rsidP="0061617E">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84" w:type="pct"/>
            <w:shd w:val="clear" w:color="auto" w:fill="9CC2E5"/>
            <w:vAlign w:val="center"/>
          </w:tcPr>
          <w:p w:rsidR="0061617E" w:rsidRPr="004B1732" w:rsidRDefault="0061617E" w:rsidP="0061617E">
            <w:pPr>
              <w:widowControl/>
              <w:spacing w:line="240" w:lineRule="atLeast"/>
              <w:jc w:val="center"/>
              <w:rPr>
                <w:rFonts w:eastAsia="굴림" w:cs="Times New Roman"/>
                <w:szCs w:val="20"/>
              </w:rPr>
            </w:pPr>
            <w:r>
              <w:rPr>
                <w:rFonts w:eastAsia="굴림"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rsidR="0061617E" w:rsidRPr="004B1732" w:rsidRDefault="0061617E" w:rsidP="0061617E">
            <w:pPr>
              <w:widowControl/>
              <w:spacing w:line="240" w:lineRule="atLeast"/>
              <w:jc w:val="center"/>
              <w:rPr>
                <w:rFonts w:eastAsia="굴림" w:cs="Times New Roman"/>
                <w:szCs w:val="20"/>
              </w:rPr>
            </w:pPr>
            <w:r w:rsidRPr="004B1732">
              <w:rPr>
                <w:rFonts w:eastAsia="굴림" w:cs="Times New Roman"/>
                <w:szCs w:val="20"/>
              </w:rPr>
              <w:t>Comment if any</w:t>
            </w:r>
          </w:p>
        </w:tc>
      </w:tr>
      <w:tr w:rsidR="0061617E" w:rsidRPr="00475E1E" w:rsidTr="00491A5D">
        <w:trPr>
          <w:trHeight w:val="327"/>
          <w:jc w:val="center"/>
        </w:trPr>
        <w:tc>
          <w:tcPr>
            <w:tcW w:w="517"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c>
          <w:tcPr>
            <w:tcW w:w="584" w:type="pct"/>
          </w:tcPr>
          <w:p w:rsidR="0061617E" w:rsidRPr="00475E1E" w:rsidRDefault="0061617E" w:rsidP="00826D58">
            <w:pPr>
              <w:pStyle w:val="xmsonormal"/>
              <w:spacing w:line="240" w:lineRule="atLeast"/>
              <w:jc w:val="both"/>
              <w:rPr>
                <w:rFonts w:ascii="굴림" w:eastAsia="굴림" w:hAnsi="굴림"/>
                <w:sz w:val="20"/>
                <w:szCs w:val="20"/>
              </w:rPr>
            </w:pPr>
          </w:p>
        </w:tc>
        <w:tc>
          <w:tcPr>
            <w:tcW w:w="3899"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r>
      <w:tr w:rsidR="0061617E" w:rsidRPr="00475E1E" w:rsidTr="00491A5D">
        <w:trPr>
          <w:trHeight w:val="310"/>
          <w:jc w:val="center"/>
        </w:trPr>
        <w:tc>
          <w:tcPr>
            <w:tcW w:w="517"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c>
          <w:tcPr>
            <w:tcW w:w="584" w:type="pct"/>
          </w:tcPr>
          <w:p w:rsidR="0061617E" w:rsidRPr="00475E1E" w:rsidRDefault="0061617E" w:rsidP="00826D58">
            <w:pPr>
              <w:pStyle w:val="xmsonormal"/>
              <w:spacing w:line="240" w:lineRule="atLeast"/>
              <w:jc w:val="both"/>
              <w:rPr>
                <w:rFonts w:ascii="굴림" w:eastAsia="굴림" w:hAnsi="굴림"/>
                <w:sz w:val="20"/>
                <w:szCs w:val="20"/>
              </w:rPr>
            </w:pPr>
          </w:p>
        </w:tc>
        <w:tc>
          <w:tcPr>
            <w:tcW w:w="3899"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r>
      <w:tr w:rsidR="0061617E" w:rsidRPr="00475E1E" w:rsidTr="00491A5D">
        <w:trPr>
          <w:trHeight w:val="327"/>
          <w:jc w:val="center"/>
        </w:trPr>
        <w:tc>
          <w:tcPr>
            <w:tcW w:w="517"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c>
          <w:tcPr>
            <w:tcW w:w="584" w:type="pct"/>
          </w:tcPr>
          <w:p w:rsidR="0061617E" w:rsidRPr="00475E1E" w:rsidRDefault="0061617E" w:rsidP="00826D58">
            <w:pPr>
              <w:pStyle w:val="xmsonormal"/>
              <w:spacing w:line="240" w:lineRule="atLeast"/>
              <w:jc w:val="both"/>
              <w:rPr>
                <w:rFonts w:ascii="굴림" w:eastAsia="굴림" w:hAnsi="굴림"/>
                <w:sz w:val="20"/>
                <w:szCs w:val="20"/>
              </w:rPr>
            </w:pPr>
          </w:p>
        </w:tc>
        <w:tc>
          <w:tcPr>
            <w:tcW w:w="3899"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r>
      <w:tr w:rsidR="0061617E" w:rsidRPr="00475E1E" w:rsidTr="00491A5D">
        <w:trPr>
          <w:trHeight w:val="474"/>
          <w:jc w:val="center"/>
        </w:trPr>
        <w:tc>
          <w:tcPr>
            <w:tcW w:w="517"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c>
          <w:tcPr>
            <w:tcW w:w="584" w:type="pct"/>
          </w:tcPr>
          <w:p w:rsidR="0061617E" w:rsidRPr="00475E1E" w:rsidRDefault="0061617E" w:rsidP="00826D58">
            <w:pPr>
              <w:pStyle w:val="xa"/>
              <w:spacing w:after="120"/>
              <w:ind w:left="840" w:hanging="420"/>
              <w:jc w:val="both"/>
              <w:rPr>
                <w:rFonts w:ascii="MS Mincho" w:eastAsia="MS Mincho"/>
                <w:sz w:val="20"/>
                <w:szCs w:val="20"/>
              </w:rPr>
            </w:pPr>
          </w:p>
        </w:tc>
        <w:tc>
          <w:tcPr>
            <w:tcW w:w="3899" w:type="pct"/>
            <w:tcMar>
              <w:top w:w="0" w:type="dxa"/>
              <w:left w:w="108" w:type="dxa"/>
              <w:bottom w:w="0" w:type="dxa"/>
              <w:right w:w="108" w:type="dxa"/>
            </w:tcMar>
          </w:tcPr>
          <w:p w:rsidR="0061617E" w:rsidRPr="00475E1E" w:rsidRDefault="0061617E" w:rsidP="00826D58">
            <w:pPr>
              <w:pStyle w:val="xa"/>
              <w:spacing w:after="120"/>
              <w:ind w:left="840" w:hanging="420"/>
              <w:jc w:val="both"/>
              <w:rPr>
                <w:rFonts w:ascii="MS Mincho" w:eastAsia="MS Mincho"/>
                <w:sz w:val="20"/>
                <w:szCs w:val="20"/>
              </w:rPr>
            </w:pPr>
          </w:p>
        </w:tc>
      </w:tr>
    </w:tbl>
    <w:p w:rsidR="007871D6" w:rsidRDefault="007871D6" w:rsidP="00076B2D">
      <w:pPr>
        <w:spacing w:line="240" w:lineRule="atLeast"/>
        <w:rPr>
          <w:rFonts w:eastAsia="맑은 고딕"/>
        </w:rPr>
      </w:pPr>
    </w:p>
    <w:p w:rsidR="00974E83" w:rsidRDefault="00974E83" w:rsidP="00076B2D">
      <w:pPr>
        <w:spacing w:line="240" w:lineRule="atLeast"/>
        <w:rPr>
          <w:rFonts w:eastAsia="맑은 고딕"/>
        </w:rPr>
      </w:pPr>
    </w:p>
    <w:p w:rsidR="003E3A4F" w:rsidRDefault="003E3A4F" w:rsidP="003E3A4F">
      <w:pPr>
        <w:pStyle w:val="1"/>
      </w:pPr>
      <w:r>
        <w:t xml:space="preserve">Open issues to be discussed </w:t>
      </w:r>
    </w:p>
    <w:p w:rsidR="003E3A4F" w:rsidRDefault="003E3A4F" w:rsidP="003E3A4F">
      <w:pPr>
        <w:spacing w:line="240" w:lineRule="atLeast"/>
        <w:rPr>
          <w:rFonts w:eastAsia="맑은 고딕"/>
          <w:lang w:val="en-GB"/>
        </w:rPr>
      </w:pPr>
    </w:p>
    <w:p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rsidR="003E3A4F" w:rsidRDefault="003E3A4F" w:rsidP="00076B2D">
      <w:pPr>
        <w:spacing w:line="240" w:lineRule="atLeast"/>
        <w:rPr>
          <w:rFonts w:eastAsia="맑은 고딕"/>
        </w:rPr>
      </w:pPr>
    </w:p>
    <w:p w:rsidR="003E3A4F" w:rsidRDefault="003E3A4F">
      <w:pPr>
        <w:widowControl/>
        <w:autoSpaceDE/>
        <w:autoSpaceDN/>
        <w:spacing w:after="160" w:line="259" w:lineRule="auto"/>
        <w:rPr>
          <w:rFonts w:eastAsia="맑은 고딕"/>
        </w:rPr>
      </w:pPr>
      <w:r>
        <w:rPr>
          <w:rFonts w:eastAsia="맑은 고딕"/>
        </w:rPr>
        <w:br w:type="page"/>
      </w:r>
    </w:p>
    <w:p w:rsidR="003B5E3D" w:rsidRPr="00974E83" w:rsidRDefault="00673ACF" w:rsidP="007B139B">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DD001F">
        <w:rPr>
          <w:rFonts w:eastAsia="맑은 고딕"/>
          <w:spacing w:val="-4"/>
          <w:kern w:val="0"/>
          <w:szCs w:val="20"/>
        </w:rPr>
        <w:t>2</w:t>
      </w:r>
      <w:r w:rsidR="00974E83">
        <w:rPr>
          <w:rFonts w:eastAsia="맑은 고딕" w:hint="eastAsia"/>
          <w:spacing w:val="-4"/>
          <w:kern w:val="0"/>
          <w:szCs w:val="20"/>
        </w:rPr>
        <w:t>]</w:t>
      </w:r>
    </w:p>
    <w:p w:rsidR="00673ACF" w:rsidRDefault="00673ACF">
      <w:pPr>
        <w:widowControl/>
        <w:autoSpaceDE/>
        <w:autoSpaceDN/>
        <w:spacing w:after="160" w:line="259" w:lineRule="auto"/>
        <w:rPr>
          <w:rFonts w:eastAsia="맑은 고딕"/>
        </w:rPr>
      </w:pPr>
      <w:r>
        <w:rPr>
          <w:rFonts w:eastAsia="맑은 고딕"/>
        </w:rPr>
        <w:br w:type="page"/>
      </w:r>
    </w:p>
    <w:p w:rsidR="00673ACF" w:rsidRDefault="00673ACF" w:rsidP="00076B2D">
      <w:pPr>
        <w:spacing w:line="240" w:lineRule="atLeast"/>
        <w:rPr>
          <w:rFonts w:eastAsia="맑은 고딕"/>
        </w:rPr>
      </w:pPr>
    </w:p>
    <w:p w:rsidR="00974E83" w:rsidRPr="00974E83" w:rsidRDefault="00050509" w:rsidP="00974E83">
      <w:pPr>
        <w:pStyle w:val="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E63" w:rsidRDefault="00AA0E63" w:rsidP="00EB01D8">
      <w:pPr>
        <w:spacing w:line="240" w:lineRule="auto"/>
      </w:pPr>
      <w:r>
        <w:separator/>
      </w:r>
    </w:p>
  </w:endnote>
  <w:endnote w:type="continuationSeparator" w:id="0">
    <w:p w:rsidR="00AA0E63" w:rsidRDefault="00AA0E63"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E63" w:rsidRDefault="00AA0E63" w:rsidP="00EB01D8">
      <w:pPr>
        <w:spacing w:line="240" w:lineRule="auto"/>
      </w:pPr>
      <w:r>
        <w:separator/>
      </w:r>
    </w:p>
  </w:footnote>
  <w:footnote w:type="continuationSeparator" w:id="0">
    <w:p w:rsidR="00AA0E63" w:rsidRDefault="00AA0E63"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0E7E4D9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맑은 고딕" w:eastAsia="맑은 고딕" w:hAnsi="맑은 고딕"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0"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4"/>
  </w:num>
  <w:num w:numId="6">
    <w:abstractNumId w:val="3"/>
  </w:num>
  <w:num w:numId="7">
    <w:abstractNumId w:val="31"/>
  </w:num>
  <w:num w:numId="8">
    <w:abstractNumId w:val="2"/>
  </w:num>
  <w:num w:numId="9">
    <w:abstractNumId w:val="38"/>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5"/>
  </w:num>
  <w:num w:numId="23">
    <w:abstractNumId w:val="10"/>
  </w:num>
  <w:num w:numId="24">
    <w:abstractNumId w:val="28"/>
  </w:num>
  <w:num w:numId="25">
    <w:abstractNumId w:val="27"/>
  </w:num>
  <w:num w:numId="26">
    <w:abstractNumId w:val="11"/>
  </w:num>
  <w:num w:numId="27">
    <w:abstractNumId w:val="39"/>
  </w:num>
  <w:num w:numId="28">
    <w:abstractNumId w:val="30"/>
  </w:num>
  <w:num w:numId="29">
    <w:abstractNumId w:val="21"/>
  </w:num>
  <w:num w:numId="30">
    <w:abstractNumId w:val="34"/>
  </w:num>
  <w:num w:numId="31">
    <w:abstractNumId w:val="17"/>
  </w:num>
  <w:num w:numId="32">
    <w:abstractNumId w:val="11"/>
  </w:num>
  <w:num w:numId="33">
    <w:abstractNumId w:val="25"/>
  </w:num>
  <w:num w:numId="34">
    <w:abstractNumId w:val="29"/>
  </w:num>
  <w:num w:numId="35">
    <w:abstractNumId w:val="5"/>
  </w:num>
  <w:num w:numId="36">
    <w:abstractNumId w:val="22"/>
  </w:num>
  <w:num w:numId="37">
    <w:abstractNumId w:val="15"/>
  </w:num>
  <w:num w:numId="38">
    <w:abstractNumId w:val="0"/>
  </w:num>
  <w:num w:numId="39">
    <w:abstractNumId w:val="7"/>
  </w:num>
  <w:num w:numId="40">
    <w:abstractNumId w:val="32"/>
  </w:num>
  <w:num w:numId="4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A375D"/>
    <w:rsid w:val="000A4AA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50B6"/>
    <w:rsid w:val="00187378"/>
    <w:rsid w:val="0019700C"/>
    <w:rsid w:val="0019748C"/>
    <w:rsid w:val="001B1368"/>
    <w:rsid w:val="001B5FD7"/>
    <w:rsid w:val="001C08F1"/>
    <w:rsid w:val="001C6D9E"/>
    <w:rsid w:val="001D4E03"/>
    <w:rsid w:val="001F0802"/>
    <w:rsid w:val="001F0D1A"/>
    <w:rsid w:val="002106C2"/>
    <w:rsid w:val="00213B40"/>
    <w:rsid w:val="00216BB4"/>
    <w:rsid w:val="00221A6E"/>
    <w:rsid w:val="00224639"/>
    <w:rsid w:val="00232717"/>
    <w:rsid w:val="002542B4"/>
    <w:rsid w:val="00261178"/>
    <w:rsid w:val="00261EAF"/>
    <w:rsid w:val="00293313"/>
    <w:rsid w:val="002A43C9"/>
    <w:rsid w:val="002A4969"/>
    <w:rsid w:val="002A5046"/>
    <w:rsid w:val="002B21CC"/>
    <w:rsid w:val="002B3437"/>
    <w:rsid w:val="002C4D82"/>
    <w:rsid w:val="002C7E4C"/>
    <w:rsid w:val="002D0111"/>
    <w:rsid w:val="002D3659"/>
    <w:rsid w:val="002E1F87"/>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0CE8"/>
    <w:rsid w:val="00472793"/>
    <w:rsid w:val="00475E1E"/>
    <w:rsid w:val="00480E0D"/>
    <w:rsid w:val="00480E8C"/>
    <w:rsid w:val="004816D2"/>
    <w:rsid w:val="00491A5D"/>
    <w:rsid w:val="0049571B"/>
    <w:rsid w:val="004B1732"/>
    <w:rsid w:val="004B7883"/>
    <w:rsid w:val="004C660B"/>
    <w:rsid w:val="004C728F"/>
    <w:rsid w:val="004D088E"/>
    <w:rsid w:val="004D25F7"/>
    <w:rsid w:val="004F1135"/>
    <w:rsid w:val="00514477"/>
    <w:rsid w:val="005220F7"/>
    <w:rsid w:val="0052466E"/>
    <w:rsid w:val="00532139"/>
    <w:rsid w:val="00554A20"/>
    <w:rsid w:val="0055660A"/>
    <w:rsid w:val="00561F6E"/>
    <w:rsid w:val="005679B7"/>
    <w:rsid w:val="00575254"/>
    <w:rsid w:val="0058159C"/>
    <w:rsid w:val="005819A3"/>
    <w:rsid w:val="005921BB"/>
    <w:rsid w:val="005922E5"/>
    <w:rsid w:val="00596A67"/>
    <w:rsid w:val="005B0307"/>
    <w:rsid w:val="005B06E0"/>
    <w:rsid w:val="005B09D5"/>
    <w:rsid w:val="005B266F"/>
    <w:rsid w:val="005B4BFF"/>
    <w:rsid w:val="005C1351"/>
    <w:rsid w:val="005C6E03"/>
    <w:rsid w:val="005D648D"/>
    <w:rsid w:val="005E35BB"/>
    <w:rsid w:val="005F486C"/>
    <w:rsid w:val="00604953"/>
    <w:rsid w:val="00606843"/>
    <w:rsid w:val="00613E9A"/>
    <w:rsid w:val="0061617E"/>
    <w:rsid w:val="00630B5B"/>
    <w:rsid w:val="00636AC5"/>
    <w:rsid w:val="006373E5"/>
    <w:rsid w:val="0064233D"/>
    <w:rsid w:val="006430C5"/>
    <w:rsid w:val="00644554"/>
    <w:rsid w:val="006460CB"/>
    <w:rsid w:val="00673ACF"/>
    <w:rsid w:val="0068433A"/>
    <w:rsid w:val="00691A12"/>
    <w:rsid w:val="0069298F"/>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058B0"/>
    <w:rsid w:val="0071259B"/>
    <w:rsid w:val="007156A4"/>
    <w:rsid w:val="00733804"/>
    <w:rsid w:val="00741899"/>
    <w:rsid w:val="0075178B"/>
    <w:rsid w:val="00754EA7"/>
    <w:rsid w:val="00760E6F"/>
    <w:rsid w:val="007678AA"/>
    <w:rsid w:val="00773012"/>
    <w:rsid w:val="00776A45"/>
    <w:rsid w:val="00777170"/>
    <w:rsid w:val="00782951"/>
    <w:rsid w:val="00782FEE"/>
    <w:rsid w:val="007871D6"/>
    <w:rsid w:val="007905B0"/>
    <w:rsid w:val="007A04FD"/>
    <w:rsid w:val="007A321A"/>
    <w:rsid w:val="007B7AF1"/>
    <w:rsid w:val="007D1431"/>
    <w:rsid w:val="007D3D32"/>
    <w:rsid w:val="007E6BD0"/>
    <w:rsid w:val="0080642F"/>
    <w:rsid w:val="0081420C"/>
    <w:rsid w:val="00825946"/>
    <w:rsid w:val="008262E1"/>
    <w:rsid w:val="00840268"/>
    <w:rsid w:val="008436CF"/>
    <w:rsid w:val="0084759A"/>
    <w:rsid w:val="00847FCD"/>
    <w:rsid w:val="00865BB6"/>
    <w:rsid w:val="00874076"/>
    <w:rsid w:val="00875399"/>
    <w:rsid w:val="008800F5"/>
    <w:rsid w:val="00880440"/>
    <w:rsid w:val="00880D18"/>
    <w:rsid w:val="008859F0"/>
    <w:rsid w:val="00891270"/>
    <w:rsid w:val="008B5B9D"/>
    <w:rsid w:val="008E1A7F"/>
    <w:rsid w:val="008F0311"/>
    <w:rsid w:val="009014B0"/>
    <w:rsid w:val="009047CF"/>
    <w:rsid w:val="00916A47"/>
    <w:rsid w:val="00934A5E"/>
    <w:rsid w:val="00941E36"/>
    <w:rsid w:val="00941EA0"/>
    <w:rsid w:val="00943AA5"/>
    <w:rsid w:val="0094412D"/>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46B5A"/>
    <w:rsid w:val="00A52321"/>
    <w:rsid w:val="00A613EC"/>
    <w:rsid w:val="00A7169C"/>
    <w:rsid w:val="00A746A9"/>
    <w:rsid w:val="00A75CED"/>
    <w:rsid w:val="00A76A60"/>
    <w:rsid w:val="00A924A8"/>
    <w:rsid w:val="00AA0E63"/>
    <w:rsid w:val="00AE3A8C"/>
    <w:rsid w:val="00AF433D"/>
    <w:rsid w:val="00B023DB"/>
    <w:rsid w:val="00B0258E"/>
    <w:rsid w:val="00B13046"/>
    <w:rsid w:val="00B15D39"/>
    <w:rsid w:val="00B25ADC"/>
    <w:rsid w:val="00B347FE"/>
    <w:rsid w:val="00B47046"/>
    <w:rsid w:val="00B62E95"/>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F159B"/>
    <w:rsid w:val="00CF5183"/>
    <w:rsid w:val="00D06DD1"/>
    <w:rsid w:val="00D108B1"/>
    <w:rsid w:val="00D119A6"/>
    <w:rsid w:val="00D1347E"/>
    <w:rsid w:val="00D33CBD"/>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A3173"/>
    <w:rsid w:val="00DA6AC1"/>
    <w:rsid w:val="00DB42F0"/>
    <w:rsid w:val="00DD001F"/>
    <w:rsid w:val="00DD0900"/>
    <w:rsid w:val="00DE2F09"/>
    <w:rsid w:val="00DE36C2"/>
    <w:rsid w:val="00DE6A2B"/>
    <w:rsid w:val="00DF4403"/>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4C3C"/>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5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rsid w:val="001850B6"/>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列出段落 Char,Lista1 Char,列出段落1 Char,中等深浅网格 1 - 着色 21 Char,列表段落 Char,¥¡¡¡¡ì¬º¥¹¥È¶ÎÂä Char,ÁÐ³ö¶ÎÂä Char,列表段落1 Char,—ño’i—Ž Char,¥ê¥¹¥È¶ÎÂä Char,1st level - Bullet List Paragraph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1626</TotalTime>
  <Pages>7</Pages>
  <Words>2107</Words>
  <Characters>12015</Characters>
  <Application>Microsoft Office Word</Application>
  <DocSecurity>0</DocSecurity>
  <Lines>100</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321</cp:revision>
  <dcterms:created xsi:type="dcterms:W3CDTF">2020-02-17T11:49:00Z</dcterms:created>
  <dcterms:modified xsi:type="dcterms:W3CDTF">2020-05-25T14:22:00Z</dcterms:modified>
</cp:coreProperties>
</file>