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1256F658" w14:textId="77777777"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70615578" w14:textId="77777777"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14:paraId="2B25BFEE" w14:textId="77777777" w:rsidR="00B539DE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propoed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r w:rsidRPr="00F537EB">
              <w:t>SlotFormatCombinationsPerCell ::=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servingCellId         ServCellIndex,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r w:rsidRPr="00D007A1">
              <w:rPr>
                <w:color w:val="00B0F0"/>
              </w:rPr>
              <w:t>subcarrierSpacing     SubcarrierSpacing,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SubcarrierSpacing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slotFormatCombinations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 xml:space="preserve">SEQUENCE (SIZE (1..maxNrofSlotFormatCombinationsPerSet)) OF SlotFormatCombination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positionInDCI </w:t>
            </w:r>
            <w:r>
              <w:t xml:space="preserve"> </w:t>
            </w:r>
            <w:r w:rsidRPr="00F537EB">
              <w:t xml:space="preserve">INTEGER(0..maxSFI-DCI-PayloadSize-1)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{enabled}   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</w:t>
            </w:r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r w:rsidRPr="00994168">
              <w:rPr>
                <w:i/>
              </w:rPr>
              <w:t>subcarrierSpacing</w:t>
            </w:r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a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zh-CN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zh-CN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propoed reference SCS configuration for DCI 2_5 is similar to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r w:rsidRPr="00F537EB">
              <w:t>SlotFormatCombinationsPerCell</w:t>
            </w:r>
            <w:r>
              <w:t xml:space="preserve">. We think that introducing </w:t>
            </w:r>
            <w:r w:rsidRPr="000403CA">
              <w:t>subcarrierSpacing</w:t>
            </w:r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>As another alternative, DCI format 2_5 is a group-common PDCCH, one can always group the IAB nodes with same SCS together at cost of the control signaling overhead at the gNB.</w:t>
            </w:r>
          </w:p>
        </w:tc>
      </w:tr>
      <w:tr w:rsidR="00E75EA1" w:rsidRPr="008040F5" w14:paraId="4A5344E6" w14:textId="77777777" w:rsidTr="00530DB5">
        <w:tc>
          <w:tcPr>
            <w:tcW w:w="1255" w:type="dxa"/>
          </w:tcPr>
          <w:p w14:paraId="119EFA72" w14:textId="08F4DEB3" w:rsidR="00E75EA1" w:rsidRPr="00D5278A" w:rsidRDefault="00E75EA1" w:rsidP="00154BBA">
            <w:pPr>
              <w:rPr>
                <w:rFonts w:ascii="Calibri" w:eastAsia="Calibri" w:hAnsi="Calibri" w:hint="eastAsia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Qualcomm</w:t>
            </w:r>
          </w:p>
        </w:tc>
        <w:tc>
          <w:tcPr>
            <w:tcW w:w="3150" w:type="dxa"/>
          </w:tcPr>
          <w:p w14:paraId="5D45939E" w14:textId="77777777" w:rsidR="00E75EA1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 to the first question.</w:t>
            </w:r>
          </w:p>
          <w:p w14:paraId="1AFA91FA" w14:textId="6126B8D3" w:rsidR="00DF23F6" w:rsidRPr="00D5278A" w:rsidRDefault="00DF23F6" w:rsidP="00154BBA">
            <w:pPr>
              <w:rPr>
                <w:rFonts w:ascii="Calibri" w:eastAsia="Calibri" w:hAnsi="Calibri" w:hint="eastAsia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 to the second question in the context of Rel-16</w:t>
            </w:r>
          </w:p>
        </w:tc>
        <w:tc>
          <w:tcPr>
            <w:tcW w:w="5665" w:type="dxa"/>
          </w:tcPr>
          <w:p w14:paraId="4B0A1BFB" w14:textId="0FF49185" w:rsidR="00E75EA1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We acknowledge there is a potential issue. However it is questionable, particularly when sending an AI with sub-slot resolution, whether grouping IAB-nodes with different IAD-DU SCS has any value. So the issue can be avoided by grouping IAB-nodes with the same IAB-DU SCS</w:t>
            </w:r>
            <w:r w:rsidR="00924BF1">
              <w:rPr>
                <w:lang w:eastAsia="zh-CN"/>
              </w:rPr>
              <w:t>, as Huawei suggested</w:t>
            </w:r>
            <w:bookmarkStart w:id="2" w:name="_GoBack"/>
            <w:bookmarkEnd w:id="2"/>
            <w:r>
              <w:rPr>
                <w:lang w:eastAsia="zh-CN"/>
              </w:rPr>
              <w:t>.</w:t>
            </w:r>
          </w:p>
          <w:p w14:paraId="19BEDDE4" w14:textId="4C9F8E4C" w:rsidR="00DF23F6" w:rsidRDefault="00DF23F6" w:rsidP="00003B22">
            <w:pPr>
              <w:pStyle w:val="B1"/>
              <w:ind w:left="0" w:firstLine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We think this is acceptable in Rel-16. At this point we do not want to introduce any signaling change except to address a critical issue. This particular one does not seem to </w:t>
            </w:r>
            <w:r w:rsidR="00924BF1">
              <w:rPr>
                <w:lang w:eastAsia="zh-CN"/>
              </w:rPr>
              <w:t>raise to that level.</w:t>
            </w:r>
          </w:p>
        </w:tc>
      </w:tr>
    </w:tbl>
    <w:p w14:paraId="7BBF41B7" w14:textId="30D920A0" w:rsidR="009C5B9D" w:rsidRDefault="00D007A1" w:rsidP="009C5B9D">
      <w:pPr>
        <w:rPr>
          <w:rFonts w:eastAsia="Calibri"/>
        </w:rPr>
      </w:pPr>
      <w:r>
        <w:rPr>
          <w:rFonts w:eastAsia="Calibri"/>
        </w:rPr>
        <w:lastRenderedPageBreak/>
        <w:t xml:space="preserve"> </w:t>
      </w: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zh-CN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an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positionInDCI-AI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MTs. </w:t>
            </w:r>
          </w:p>
          <w:p w14:paraId="1517B2AF" w14:textId="77777777" w:rsidR="00C4723E" w:rsidRDefault="00C4723E" w:rsidP="00C4723E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When CSS is used for DCI format 2_5, the configuration is supposed to be common for multiple MTs; when USS is used for DCI format 2_5, the configuration is supposed to be MT-specific. So there will be no case that part of DCI format 2_5 payload is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lastRenderedPageBreak/>
              <w:t>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dci-PayloadSize-AI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  <w:tr w:rsidR="00E75EA1" w:rsidRPr="008040F5" w14:paraId="1DE0EE19" w14:textId="77777777" w:rsidTr="00154BBA">
        <w:tc>
          <w:tcPr>
            <w:tcW w:w="1255" w:type="dxa"/>
          </w:tcPr>
          <w:p w14:paraId="7A51B329" w14:textId="6FE0E220" w:rsidR="00E75EA1" w:rsidRDefault="00E75EA1" w:rsidP="00154BBA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150" w:type="dxa"/>
          </w:tcPr>
          <w:p w14:paraId="2B531C70" w14:textId="0DDB0E40" w:rsidR="00E75EA1" w:rsidRDefault="00E75EA1" w:rsidP="00154BBA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2E76C7EF" w14:textId="09FD6AD6" w:rsidR="00E75EA1" w:rsidRDefault="00E75EA1" w:rsidP="00154BBA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Agree with ZTE.</w:t>
            </w:r>
          </w:p>
        </w:tc>
      </w:tr>
    </w:tbl>
    <w:p w14:paraId="24F8EA8F" w14:textId="77777777" w:rsidR="00035D9D" w:rsidRDefault="00035D9D" w:rsidP="009C5B9D"/>
    <w:p w14:paraId="7C4B42BE" w14:textId="77777777" w:rsidR="002F634C" w:rsidRPr="00156B89" w:rsidRDefault="002F634C" w:rsidP="002F634C">
      <w:pPr>
        <w:pStyle w:val="Heading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7248" w14:textId="77777777" w:rsidR="00DC3B87" w:rsidRDefault="00DC3B87" w:rsidP="00424124">
      <w:r>
        <w:separator/>
      </w:r>
    </w:p>
  </w:endnote>
  <w:endnote w:type="continuationSeparator" w:id="0">
    <w:p w14:paraId="2074A527" w14:textId="77777777" w:rsidR="00DC3B87" w:rsidRDefault="00DC3B87" w:rsidP="00424124">
      <w:r>
        <w:continuationSeparator/>
      </w:r>
    </w:p>
  </w:endnote>
  <w:endnote w:type="continuationNotice" w:id="1">
    <w:p w14:paraId="6729A942" w14:textId="77777777" w:rsidR="00DC3B87" w:rsidRDefault="00DC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54E36" w14:textId="77777777" w:rsidR="00DC3B87" w:rsidRDefault="00DC3B87" w:rsidP="00424124">
      <w:r>
        <w:separator/>
      </w:r>
    </w:p>
  </w:footnote>
  <w:footnote w:type="continuationSeparator" w:id="0">
    <w:p w14:paraId="1B13A6F0" w14:textId="77777777" w:rsidR="00DC3B87" w:rsidRDefault="00DC3B87" w:rsidP="00424124">
      <w:r>
        <w:continuationSeparator/>
      </w:r>
    </w:p>
  </w:footnote>
  <w:footnote w:type="continuationNotice" w:id="1">
    <w:p w14:paraId="53AC5C30" w14:textId="77777777" w:rsidR="00DC3B87" w:rsidRDefault="00DC3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BF1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3B87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23F6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5D48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75EA1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60B0-8C4A-4AF3-AD67-7A9FD952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Luca Blessent</cp:lastModifiedBy>
  <cp:revision>4</cp:revision>
  <cp:lastPrinted>2016-02-23T10:51:00Z</cp:lastPrinted>
  <dcterms:created xsi:type="dcterms:W3CDTF">2020-05-27T02:41:00Z</dcterms:created>
  <dcterms:modified xsi:type="dcterms:W3CDTF">2020-05-27T02:57:00Z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2020-05-26 16:15:19Z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