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4BA5AEE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3DCF3B3D" w14:textId="5A8D4C06"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NoSpacing"/>
        <w:jc w:val="left"/>
        <w:rPr>
          <w:sz w:val="16"/>
          <w:szCs w:val="16"/>
        </w:rPr>
      </w:pPr>
    </w:p>
    <w:p w14:paraId="3874884F" w14:textId="77777777" w:rsidR="00707D20" w:rsidRPr="00172743" w:rsidRDefault="00424124" w:rsidP="00326FF6">
      <w:pPr>
        <w:pStyle w:val="Heading1"/>
      </w:pPr>
      <w:r w:rsidRPr="00172743">
        <w:t>Introduction</w:t>
      </w:r>
    </w:p>
    <w:p w14:paraId="699E01D5" w14:textId="4E2B73F3" w:rsidR="0051424F" w:rsidRDefault="003327F3" w:rsidP="003327F3">
      <w:pPr>
        <w:pStyle w:val="BodyText"/>
      </w:pPr>
      <w:r>
        <w:t xml:space="preserve">This contribution provides a summary </w:t>
      </w:r>
      <w:r w:rsidR="00AD3639" w:rsidRPr="00AD3639">
        <w:t>of [101-e-NR-IAB-02]: Response to RAN3 LS on Cell-specific signals/channels configurations in IAB</w:t>
      </w:r>
      <w:r w:rsidR="00AD3639">
        <w:t>.</w:t>
      </w:r>
    </w:p>
    <w:p w14:paraId="6DB93EFD" w14:textId="77777777" w:rsidR="00DE0E10" w:rsidRPr="00F4616A" w:rsidRDefault="00DE0E10" w:rsidP="00DE0E10">
      <w:pPr>
        <w:rPr>
          <w:rFonts w:ascii="Calibri" w:eastAsia="Malgun Gothic" w:hAnsi="Calibri" w:cs="Batang"/>
          <w:lang w:val="en-GB" w:eastAsia="ko-KR"/>
        </w:rPr>
      </w:pPr>
    </w:p>
    <w:p w14:paraId="7CEBE843" w14:textId="6407A639" w:rsidR="00C34602" w:rsidRPr="00AD3639" w:rsidRDefault="00AD041D" w:rsidP="00AD3639">
      <w:pPr>
        <w:pStyle w:val="Heading1"/>
      </w:pPr>
      <w:r w:rsidRPr="00AD3639">
        <w:rPr>
          <w:lang w:val="en-GB"/>
        </w:rPr>
        <w:t>Response to RAN3 LS on Cell-specific signals/channels configurations in IAB</w:t>
      </w:r>
    </w:p>
    <w:p w14:paraId="013A4117"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D05C037" w14:textId="77777777" w:rsidR="00AD3639" w:rsidRDefault="00AD3639" w:rsidP="00AD041D">
      <w:pPr>
        <w:rPr>
          <w:rFonts w:asciiTheme="minorHAnsi" w:hAnsiTheme="minorHAnsi" w:cstheme="minorHAnsi"/>
          <w:b/>
          <w:lang w:val="en-GB"/>
        </w:rPr>
      </w:pPr>
    </w:p>
    <w:p w14:paraId="32DFAE74" w14:textId="1480D205"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4A345A3A" w14:textId="77777777" w:rsidR="00AD041D" w:rsidRPr="00AD041D" w:rsidRDefault="00AD041D" w:rsidP="00AD041D">
      <w:pPr>
        <w:rPr>
          <w:rFonts w:ascii="Calibri" w:eastAsia="Calibri" w:hAnsi="Calibri"/>
          <w:sz w:val="22"/>
          <w:szCs w:val="22"/>
        </w:rPr>
      </w:pPr>
    </w:p>
    <w:p w14:paraId="5576505A"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36F576CB" w14:textId="77777777"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1DB2B62" w14:textId="77777777"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373BD1F3" w14:textId="77777777" w:rsidR="00AD3639" w:rsidRDefault="00AD3639" w:rsidP="000F5064">
      <w:pPr>
        <w:pStyle w:val="Proposal"/>
        <w:numPr>
          <w:ilvl w:val="0"/>
          <w:numId w:val="0"/>
        </w:numPr>
        <w:rPr>
          <w:rFonts w:ascii="Calibri" w:eastAsia="Calibri" w:hAnsi="Calibri"/>
          <w:sz w:val="22"/>
          <w:szCs w:val="22"/>
          <w:lang w:val="en-US" w:eastAsia="en-US"/>
        </w:rPr>
      </w:pPr>
    </w:p>
    <w:p w14:paraId="501BF5B7" w14:textId="6C0281D6"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5BAE4047"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46E4C99F"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217ACD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714E399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6103A03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6325E8FE"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40684D03"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7C5F45C7"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6E04CD64" w14:textId="77777777"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494856F6"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773CE8EA" w14:textId="77777777"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6C05922" w14:textId="77777777" w:rsidR="006F5E6A" w:rsidRDefault="006F5E6A" w:rsidP="00F53A0D">
      <w:pPr>
        <w:rPr>
          <w:rFonts w:ascii="Calibri" w:eastAsia="Calibri" w:hAnsi="Calibri"/>
          <w:sz w:val="22"/>
          <w:szCs w:val="22"/>
        </w:rPr>
      </w:pPr>
    </w:p>
    <w:p w14:paraId="20CF1ADA" w14:textId="4904E644"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w:t>
      </w:r>
    </w:p>
    <w:p w14:paraId="4445D3BE" w14:textId="77777777" w:rsidR="00A275D3" w:rsidRPr="00AD3639" w:rsidRDefault="00A275D3">
      <w:pPr>
        <w:rPr>
          <w:rFonts w:ascii="Calibri" w:eastAsia="Calibri" w:hAnsi="Calibri"/>
          <w:sz w:val="22"/>
          <w:szCs w:val="22"/>
        </w:rPr>
      </w:pPr>
    </w:p>
    <w:p w14:paraId="3F6E68A3" w14:textId="28D54BB1"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314F5570" w14:textId="77777777" w:rsidR="00B66CB7" w:rsidRDefault="00B66CB7">
      <w:pPr>
        <w:rPr>
          <w:rFonts w:asciiTheme="minorHAnsi" w:hAnsiTheme="minorHAnsi" w:cstheme="minorHAnsi"/>
          <w:b/>
          <w:sz w:val="28"/>
          <w:szCs w:val="28"/>
          <w:lang w:val="en-GB"/>
        </w:rPr>
      </w:pPr>
    </w:p>
    <w:p w14:paraId="4B8D8746"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F8B5D40"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70852B67"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DEEF60"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66921183" w14:textId="77777777"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CB6AE0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73FEBEF"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4A4B070A" w14:textId="77777777"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B59F4F5"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5172B2E" w14:textId="19C59BB2"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4CF2BFB3" w14:textId="17B10D2C"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7E530DF9" w14:textId="134DB5B1"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64E044D2"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5A678C2" w14:textId="651EEA48"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6D071B2" w14:textId="77777777" w:rsidR="007C5846" w:rsidRDefault="007C5846" w:rsidP="002C2DF4">
      <w:pPr>
        <w:rPr>
          <w:rFonts w:ascii="Calibri" w:eastAsia="Calibri" w:hAnsi="Calibri"/>
          <w:sz w:val="22"/>
          <w:szCs w:val="22"/>
        </w:rPr>
      </w:pPr>
    </w:p>
    <w:p w14:paraId="6EF24AAA"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2CDB23D2" w14:textId="4A4B4644"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03E4E1CE" w14:textId="77777777" w:rsidR="007C5846" w:rsidRDefault="007C5846" w:rsidP="002C2DF4">
      <w:pPr>
        <w:rPr>
          <w:rFonts w:ascii="Calibri" w:eastAsia="Calibri" w:hAnsi="Calibri"/>
          <w:sz w:val="22"/>
          <w:szCs w:val="22"/>
        </w:rPr>
      </w:pPr>
    </w:p>
    <w:p w14:paraId="5F606A4E" w14:textId="29DD03FE" w:rsidR="002C2DF4" w:rsidRDefault="007C5846" w:rsidP="007C5846">
      <w:pPr>
        <w:pStyle w:val="ListParagraph"/>
        <w:numPr>
          <w:ilvl w:val="0"/>
          <w:numId w:val="50"/>
        </w:numPr>
        <w:rPr>
          <w:rFonts w:ascii="Calibri" w:eastAsia="Calibri" w:hAnsi="Calibri"/>
          <w:sz w:val="22"/>
          <w:szCs w:val="22"/>
        </w:rPr>
      </w:pPr>
      <w:r>
        <w:rPr>
          <w:rFonts w:ascii="Calibri" w:eastAsia="Calibri" w:hAnsi="Calibri"/>
          <w:sz w:val="22"/>
          <w:szCs w:val="22"/>
        </w:rPr>
        <w:t>The following RAN1 agreement needs to be reverted as follows:</w:t>
      </w:r>
    </w:p>
    <w:p w14:paraId="1DF3FADF" w14:textId="77777777" w:rsidR="007C5846" w:rsidRPr="007C5846" w:rsidRDefault="007C5846" w:rsidP="007C5846">
      <w:pPr>
        <w:pStyle w:val="ListParagraph"/>
        <w:rPr>
          <w:rFonts w:ascii="Calibri" w:eastAsia="Calibri" w:hAnsi="Calibri"/>
          <w:b/>
          <w:bCs/>
          <w:sz w:val="22"/>
          <w:szCs w:val="22"/>
        </w:rPr>
      </w:pPr>
      <w:r w:rsidRPr="007C5846">
        <w:rPr>
          <w:rFonts w:ascii="Calibri" w:eastAsia="Calibri" w:hAnsi="Calibri"/>
          <w:b/>
          <w:bCs/>
          <w:sz w:val="22"/>
          <w:szCs w:val="22"/>
          <w:highlight w:val="green"/>
        </w:rPr>
        <w:t>RAN1 #99 Agreements:</w:t>
      </w:r>
    </w:p>
    <w:p w14:paraId="33EC023F"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001EFE70"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4013B01B"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4E57D619"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configured RACH occasions for receiving at the DU</w:t>
      </w:r>
    </w:p>
    <w:p w14:paraId="1ABD6097" w14:textId="77777777" w:rsidR="007C5846" w:rsidRPr="007C5846" w:rsidRDefault="007C5846" w:rsidP="007C5846">
      <w:pPr>
        <w:pStyle w:val="ListParagraph"/>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6E2F3CB8"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5282C3" w14:textId="77777777" w:rsidR="007C5846" w:rsidRPr="007C5846" w:rsidRDefault="007C5846" w:rsidP="007C5846">
      <w:pPr>
        <w:rPr>
          <w:rFonts w:ascii="Calibri" w:eastAsia="Calibri" w:hAnsi="Calibri"/>
          <w:sz w:val="22"/>
          <w:szCs w:val="22"/>
        </w:rPr>
      </w:pPr>
    </w:p>
    <w:p w14:paraId="10DB10F9" w14:textId="4C7CB940" w:rsidR="002C2DF4" w:rsidRDefault="001F2BB0" w:rsidP="001F2BB0">
      <w:pPr>
        <w:pStyle w:val="ListParagraph"/>
        <w:numPr>
          <w:ilvl w:val="0"/>
          <w:numId w:val="50"/>
        </w:numPr>
        <w:rPr>
          <w:rFonts w:ascii="Calibri" w:eastAsia="Calibri" w:hAnsi="Calibri"/>
          <w:sz w:val="22"/>
          <w:szCs w:val="22"/>
        </w:rPr>
      </w:pPr>
      <w:r>
        <w:rPr>
          <w:rFonts w:ascii="Calibri" w:eastAsia="Calibri" w:hAnsi="Calibri"/>
          <w:sz w:val="22"/>
          <w:szCs w:val="22"/>
        </w:rPr>
        <w:t>The following text in 38.213 should be updated:</w:t>
      </w:r>
    </w:p>
    <w:p w14:paraId="67DBA1E4" w14:textId="7BEE380B" w:rsidR="001F2BB0" w:rsidRDefault="001F2BB0" w:rsidP="001F2BB0">
      <w:pPr>
        <w:ind w:left="360"/>
        <w:rPr>
          <w:rFonts w:ascii="Calibri" w:eastAsia="Calibri" w:hAnsi="Calibri"/>
          <w:sz w:val="22"/>
          <w:szCs w:val="22"/>
        </w:rPr>
      </w:pPr>
    </w:p>
    <w:p w14:paraId="0E649F32" w14:textId="6D931DAF"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CE8E9F7" w14:textId="77777777" w:rsidR="001F2BB0" w:rsidRPr="001F2BB0" w:rsidRDefault="001F2BB0" w:rsidP="001F2BB0">
      <w:pPr>
        <w:ind w:left="360"/>
        <w:rPr>
          <w:rFonts w:ascii="Calibri" w:eastAsia="Calibri" w:hAnsi="Calibri"/>
          <w:sz w:val="22"/>
          <w:szCs w:val="22"/>
        </w:rPr>
      </w:pPr>
    </w:p>
    <w:p w14:paraId="0ABD2693" w14:textId="57802C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157D99AA"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889"/>
        <w:gridCol w:w="5485"/>
      </w:tblGrid>
      <w:tr w:rsidR="00BF0B63" w:rsidRPr="008040F5" w14:paraId="1F40080C" w14:textId="77777777" w:rsidTr="002C2DF4">
        <w:tc>
          <w:tcPr>
            <w:tcW w:w="1696" w:type="dxa"/>
          </w:tcPr>
          <w:p w14:paraId="0E7CD47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65EECA0A" w14:textId="7B1E6D15"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14C9DD6B"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692D590C" w14:textId="77777777" w:rsidTr="002C2DF4">
        <w:tc>
          <w:tcPr>
            <w:tcW w:w="1696" w:type="dxa"/>
          </w:tcPr>
          <w:p w14:paraId="0305D10F" w14:textId="3717B321"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1131D597" w14:textId="181A663E"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xml:space="preserve">, with some modifications / </w:t>
            </w:r>
            <w:proofErr w:type="spellStart"/>
            <w:r w:rsidR="000113B3">
              <w:rPr>
                <w:rFonts w:ascii="Calibri" w:eastAsia="Calibri" w:hAnsi="Calibri"/>
                <w:sz w:val="22"/>
                <w:szCs w:val="22"/>
              </w:rPr>
              <w:t>simplications</w:t>
            </w:r>
            <w:proofErr w:type="spellEnd"/>
          </w:p>
        </w:tc>
        <w:tc>
          <w:tcPr>
            <w:tcW w:w="5485" w:type="dxa"/>
          </w:tcPr>
          <w:p w14:paraId="2CECF92F" w14:textId="20DFB2F1"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xml:space="preserve">”, as, from a RAN1 perspective, we have not imposed constraints on the </w:t>
            </w:r>
            <w:proofErr w:type="spellStart"/>
            <w:r>
              <w:rPr>
                <w:rFonts w:ascii="Calibri" w:eastAsia="Calibri" w:hAnsi="Calibri"/>
                <w:sz w:val="22"/>
                <w:szCs w:val="22"/>
              </w:rPr>
              <w:t>the</w:t>
            </w:r>
            <w:proofErr w:type="spellEnd"/>
            <w:r>
              <w:rPr>
                <w:rFonts w:ascii="Calibri" w:eastAsia="Calibri" w:hAnsi="Calibri"/>
                <w:sz w:val="22"/>
                <w:szCs w:val="22"/>
              </w:rPr>
              <w:t xml:space="preserve"> DU resource configuration, relying on a suitable network implementation. The general design philosophy adopted thus far was that conflicts are allowed and left to the IAB-node to resolve, if indeed allowed by the network. RAN1.</w:t>
            </w:r>
          </w:p>
          <w:p w14:paraId="637FD633" w14:textId="643AACC3"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 xml:space="preserve">conflicts by specification, then we ought to </w:t>
            </w:r>
            <w:proofErr w:type="spellStart"/>
            <w:r w:rsidR="001A33EF">
              <w:rPr>
                <w:rFonts w:ascii="Calibri" w:eastAsia="Calibri" w:hAnsi="Calibri"/>
                <w:sz w:val="22"/>
                <w:szCs w:val="22"/>
              </w:rPr>
              <w:t>specificy</w:t>
            </w:r>
            <w:proofErr w:type="spellEnd"/>
            <w:r w:rsidR="001A33EF">
              <w:rPr>
                <w:rFonts w:ascii="Calibri" w:eastAsia="Calibri" w:hAnsi="Calibri"/>
                <w:sz w:val="22"/>
                <w:szCs w:val="22"/>
              </w:rPr>
              <w:t xml:space="preserve"> that if such information about the child DU special (i.e. NA exempt) signals/channels is not provided to the parent, then the network should adjust the resource configuration accordingly so that there is no conflict at the child node.</w:t>
            </w:r>
          </w:p>
          <w:p w14:paraId="2891DD52" w14:textId="77777777" w:rsidR="003665BA" w:rsidRDefault="003665BA" w:rsidP="008D1466">
            <w:pPr>
              <w:rPr>
                <w:rFonts w:ascii="Calibri" w:eastAsia="Calibri" w:hAnsi="Calibri"/>
                <w:sz w:val="22"/>
                <w:szCs w:val="22"/>
              </w:rPr>
            </w:pPr>
          </w:p>
          <w:p w14:paraId="24BB6F33" w14:textId="47D11C09"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3C2D51FF" w14:textId="7306D13D" w:rsidR="000113B3" w:rsidRDefault="000113B3" w:rsidP="008D1466">
            <w:pPr>
              <w:rPr>
                <w:rFonts w:ascii="Calibri" w:eastAsia="Calibri" w:hAnsi="Calibri"/>
                <w:sz w:val="22"/>
                <w:szCs w:val="22"/>
              </w:rPr>
            </w:pPr>
          </w:p>
          <w:p w14:paraId="3FDBAA9F" w14:textId="562CE5A3"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bookmarkStart w:id="2" w:name="_GoBack"/>
            <w:bookmarkEnd w:id="2"/>
          </w:p>
        </w:tc>
      </w:tr>
    </w:tbl>
    <w:p w14:paraId="1029A21B"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283C9A1C" w14:textId="2E2C57A7" w:rsidR="00BF0B63" w:rsidRDefault="00BF0B63">
      <w:pPr>
        <w:rPr>
          <w:rFonts w:ascii="Arial" w:hAnsi="Arial"/>
          <w:b/>
          <w:i/>
          <w:sz w:val="28"/>
          <w:szCs w:val="20"/>
          <w:lang w:val="en-GB"/>
        </w:rPr>
      </w:pPr>
      <w:r>
        <w:rPr>
          <w:lang w:val="en-GB"/>
        </w:rPr>
        <w:br w:type="page"/>
      </w:r>
    </w:p>
    <w:p w14:paraId="5CEF76DD" w14:textId="77777777" w:rsidR="002F634C" w:rsidRPr="00156B89" w:rsidRDefault="002F634C" w:rsidP="002F634C">
      <w:pPr>
        <w:pStyle w:val="Heading1"/>
      </w:pPr>
      <w:r>
        <w:lastRenderedPageBreak/>
        <w:t>Summary</w:t>
      </w:r>
    </w:p>
    <w:p w14:paraId="3AEC852C" w14:textId="0596247D"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361C9" w14:textId="77777777" w:rsidR="002A4900" w:rsidRDefault="002A4900" w:rsidP="00424124">
      <w:r>
        <w:separator/>
      </w:r>
    </w:p>
  </w:endnote>
  <w:endnote w:type="continuationSeparator" w:id="0">
    <w:p w14:paraId="15F9D6B2" w14:textId="77777777" w:rsidR="002A4900" w:rsidRDefault="002A4900" w:rsidP="00424124">
      <w:r>
        <w:continuationSeparator/>
      </w:r>
    </w:p>
  </w:endnote>
  <w:endnote w:type="continuationNotice" w:id="1">
    <w:p w14:paraId="325653C1" w14:textId="77777777" w:rsidR="002A4900" w:rsidRDefault="002A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742F" w14:textId="77777777" w:rsidR="002A4900" w:rsidRDefault="002A4900" w:rsidP="00424124">
      <w:r>
        <w:separator/>
      </w:r>
    </w:p>
  </w:footnote>
  <w:footnote w:type="continuationSeparator" w:id="0">
    <w:p w14:paraId="5F1358B4" w14:textId="77777777" w:rsidR="002A4900" w:rsidRDefault="002A4900" w:rsidP="00424124">
      <w:r>
        <w:continuationSeparator/>
      </w:r>
    </w:p>
  </w:footnote>
  <w:footnote w:type="continuationNotice" w:id="1">
    <w:p w14:paraId="785AC45A" w14:textId="77777777" w:rsidR="002A4900" w:rsidRDefault="002A4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7"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67C2E"/>
    <w:multiLevelType w:val="hybridMultilevel"/>
    <w:tmpl w:val="18A4C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31"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6"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2"/>
  </w:num>
  <w:num w:numId="4">
    <w:abstractNumId w:val="18"/>
  </w:num>
  <w:num w:numId="5">
    <w:abstractNumId w:val="27"/>
  </w:num>
  <w:num w:numId="6">
    <w:abstractNumId w:val="40"/>
  </w:num>
  <w:num w:numId="7">
    <w:abstractNumId w:val="1"/>
  </w:num>
  <w:num w:numId="8">
    <w:abstractNumId w:val="43"/>
  </w:num>
  <w:num w:numId="9">
    <w:abstractNumId w:val="3"/>
  </w:num>
  <w:num w:numId="10">
    <w:abstractNumId w:val="2"/>
  </w:num>
  <w:num w:numId="11">
    <w:abstractNumId w:val="26"/>
  </w:num>
  <w:num w:numId="12">
    <w:abstractNumId w:val="45"/>
  </w:num>
  <w:num w:numId="13">
    <w:abstractNumId w:val="44"/>
  </w:num>
  <w:num w:numId="14">
    <w:abstractNumId w:val="38"/>
  </w:num>
  <w:num w:numId="15">
    <w:abstractNumId w:val="8"/>
  </w:num>
  <w:num w:numId="16">
    <w:abstractNumId w:val="48"/>
  </w:num>
  <w:num w:numId="17">
    <w:abstractNumId w:val="12"/>
  </w:num>
  <w:num w:numId="18">
    <w:abstractNumId w:val="39"/>
  </w:num>
  <w:num w:numId="19">
    <w:abstractNumId w:val="0"/>
  </w:num>
  <w:num w:numId="20">
    <w:abstractNumId w:val="7"/>
  </w:num>
  <w:num w:numId="21">
    <w:abstractNumId w:val="19"/>
  </w:num>
  <w:num w:numId="22">
    <w:abstractNumId w:val="47"/>
  </w:num>
  <w:num w:numId="23">
    <w:abstractNumId w:val="22"/>
  </w:num>
  <w:num w:numId="24">
    <w:abstractNumId w:val="10"/>
  </w:num>
  <w:num w:numId="25">
    <w:abstractNumId w:val="14"/>
  </w:num>
  <w:num w:numId="26">
    <w:abstractNumId w:val="4"/>
  </w:num>
  <w:num w:numId="27">
    <w:abstractNumId w:val="31"/>
  </w:num>
  <w:num w:numId="28">
    <w:abstractNumId w:val="42"/>
  </w:num>
  <w:num w:numId="29">
    <w:abstractNumId w:val="21"/>
  </w:num>
  <w:num w:numId="30">
    <w:abstractNumId w:val="37"/>
  </w:num>
  <w:num w:numId="31">
    <w:abstractNumId w:val="35"/>
  </w:num>
  <w:num w:numId="32">
    <w:abstractNumId w:val="15"/>
  </w:num>
  <w:num w:numId="33">
    <w:abstractNumId w:val="33"/>
  </w:num>
  <w:num w:numId="34">
    <w:abstractNumId w:val="22"/>
  </w:num>
  <w:num w:numId="35">
    <w:abstractNumId w:val="30"/>
  </w:num>
  <w:num w:numId="36">
    <w:abstractNumId w:val="6"/>
  </w:num>
  <w:num w:numId="37">
    <w:abstractNumId w:val="25"/>
  </w:num>
  <w:num w:numId="38">
    <w:abstractNumId w:val="23"/>
  </w:num>
  <w:num w:numId="39">
    <w:abstractNumId w:val="34"/>
  </w:num>
  <w:num w:numId="40">
    <w:abstractNumId w:val="17"/>
  </w:num>
  <w:num w:numId="41">
    <w:abstractNumId w:val="5"/>
  </w:num>
  <w:num w:numId="42">
    <w:abstractNumId w:val="46"/>
  </w:num>
  <w:num w:numId="43">
    <w:abstractNumId w:val="29"/>
  </w:num>
  <w:num w:numId="44">
    <w:abstractNumId w:val="28"/>
  </w:num>
  <w:num w:numId="45">
    <w:abstractNumId w:val="16"/>
  </w:num>
  <w:num w:numId="46">
    <w:abstractNumId w:val="41"/>
  </w:num>
  <w:num w:numId="47">
    <w:abstractNumId w:val="11"/>
  </w:num>
  <w:num w:numId="48">
    <w:abstractNumId w:val="36"/>
  </w:num>
  <w:num w:numId="49">
    <w:abstractNumId w:val="24"/>
  </w:num>
  <w:num w:numId="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76D5-7B10-4B08-8894-46BD1F12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1197</Words>
  <Characters>6826</Characters>
  <Application>Microsoft Office Word</Application>
  <DocSecurity>0</DocSecurity>
  <Lines>56</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5</cp:revision>
  <cp:lastPrinted>2016-02-23T10:51:00Z</cp:lastPrinted>
  <dcterms:created xsi:type="dcterms:W3CDTF">2020-05-25T17:31:00Z</dcterms:created>
  <dcterms:modified xsi:type="dcterms:W3CDTF">2020-05-25T18:19:00Z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