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bookmarkStart w:id="0" w:name="_GoBack"/>
      <w:bookmarkEnd w:id="0"/>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1" w:name="Source"/>
      <w:bookmarkEnd w:id="1"/>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2" w:name="DocumentFor"/>
      <w:bookmarkEnd w:id="2"/>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NoSpacing"/>
        <w:jc w:val="left"/>
        <w:rPr>
          <w:sz w:val="16"/>
          <w:szCs w:val="16"/>
        </w:rPr>
      </w:pPr>
    </w:p>
    <w:p w14:paraId="21595F3B" w14:textId="77777777" w:rsidR="00707D20" w:rsidRPr="00172743" w:rsidRDefault="00424124" w:rsidP="00326FF6">
      <w:pPr>
        <w:pStyle w:val="Heading1"/>
      </w:pPr>
      <w:r w:rsidRPr="00172743">
        <w:t>Introduction</w:t>
      </w:r>
    </w:p>
    <w:p w14:paraId="7CA70CB5" w14:textId="77777777"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Heading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Header"/>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8F19A4">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8F19A4">
      <w:pPr>
        <w:numPr>
          <w:ilvl w:val="0"/>
          <w:numId w:val="20"/>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Header"/>
        <w:rPr>
          <w:rFonts w:cs="Arial"/>
        </w:rPr>
      </w:pPr>
    </w:p>
    <w:p w14:paraId="33BD101E" w14:textId="77777777" w:rsidR="007C47E8" w:rsidRDefault="007C47E8" w:rsidP="007C47E8">
      <w:pPr>
        <w:pStyle w:val="Header"/>
        <w:rPr>
          <w:rFonts w:cs="Arial"/>
        </w:rPr>
      </w:pPr>
    </w:p>
    <w:p w14:paraId="77201DD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proofErr w:type="gramStart"/>
      <w:r>
        <w:rPr>
          <w:rFonts w:ascii="Calibri" w:eastAsia="Calibri" w:hAnsi="Calibri"/>
          <w:b/>
          <w:bCs/>
          <w:sz w:val="22"/>
          <w:szCs w:val="22"/>
        </w:rPr>
        <w:t>Additionally</w:t>
      </w:r>
      <w:proofErr w:type="gramEnd"/>
      <w:r>
        <w:rPr>
          <w:rFonts w:ascii="Calibri" w:eastAsia="Calibri" w:hAnsi="Calibri"/>
          <w:b/>
          <w:bCs/>
          <w:sz w:val="22"/>
          <w:szCs w:val="22"/>
        </w:rPr>
        <w:t xml:space="preserve">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 xml:space="preserve">Given this </w:t>
      </w:r>
      <w:proofErr w:type="spellStart"/>
      <w:r>
        <w:rPr>
          <w:rFonts w:ascii="Calibri" w:eastAsia="Calibri" w:hAnsi="Calibri"/>
          <w:sz w:val="22"/>
          <w:szCs w:val="22"/>
        </w:rPr>
        <w:t>i</w:t>
      </w:r>
      <w:r w:rsidR="00816131">
        <w:rPr>
          <w:rFonts w:ascii="Calibri" w:eastAsia="Calibri" w:hAnsi="Calibri"/>
          <w:sz w:val="22"/>
          <w:szCs w:val="22"/>
        </w:rPr>
        <w:t>potential</w:t>
      </w:r>
      <w:proofErr w:type="spellEnd"/>
      <w:r w:rsidR="00816131">
        <w:rPr>
          <w:rFonts w:ascii="Calibri" w:eastAsia="Calibri" w:hAnsi="Calibri"/>
          <w:sz w:val="22"/>
          <w:szCs w:val="22"/>
        </w:rPr>
        <w:t xml:space="preserve"> i</w:t>
      </w:r>
      <w:r>
        <w:rPr>
          <w:rFonts w:ascii="Calibri" w:eastAsia="Calibri" w:hAnsi="Calibri"/>
          <w:sz w:val="22"/>
          <w:szCs w:val="22"/>
        </w:rPr>
        <w:t xml:space="preserve">ssue with Alt. 2 </w:t>
      </w:r>
      <w:proofErr w:type="gramStart"/>
      <w:r>
        <w:rPr>
          <w:rFonts w:ascii="Calibri" w:eastAsia="Calibri" w:hAnsi="Calibri"/>
          <w:sz w:val="22"/>
          <w:szCs w:val="22"/>
        </w:rPr>
        <w:t>and also</w:t>
      </w:r>
      <w:proofErr w:type="gramEnd"/>
      <w:r>
        <w:rPr>
          <w:rFonts w:ascii="Calibri" w:eastAsia="Calibri" w:hAnsi="Calibri"/>
          <w:sz w:val="22"/>
          <w:szCs w:val="22"/>
        </w:rPr>
        <w:t xml:space="preserve">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 xml:space="preserve">ZTE, </w:t>
            </w:r>
            <w:proofErr w:type="spellStart"/>
            <w:r>
              <w:rPr>
                <w:rFonts w:ascii="Calibri" w:eastAsia="Calibri" w:hAnsi="Calibri"/>
                <w:b/>
                <w:bCs/>
                <w:sz w:val="22"/>
                <w:szCs w:val="22"/>
              </w:rPr>
              <w:t>Sanechips</w:t>
            </w:r>
            <w:proofErr w:type="spellEnd"/>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w:t>
            </w:r>
            <w:proofErr w:type="gramStart"/>
            <w:r>
              <w:rPr>
                <w:rFonts w:eastAsia="Times New Roman" w:cs="Times New Roman"/>
                <w:i/>
                <w:sz w:val="18"/>
                <w:szCs w:val="18"/>
                <w:lang w:val="en-US" w:eastAsia="en-US"/>
              </w:rPr>
              <w:t>bis]</w:t>
            </w:r>
            <w:r w:rsidRPr="002F3EFE">
              <w:rPr>
                <w:rFonts w:eastAsia="Times New Roman" w:cs="Times New Roman"/>
                <w:i/>
                <w:sz w:val="18"/>
                <w:szCs w:val="18"/>
                <w:lang w:val="en-US" w:eastAsia="en-US"/>
              </w:rPr>
              <w:t>The</w:t>
            </w:r>
            <w:proofErr w:type="gramEnd"/>
            <w:r w:rsidRPr="002F3EFE">
              <w:rPr>
                <w:rFonts w:eastAsia="Times New Roman" w:cs="Times New Roman"/>
                <w:i/>
                <w:sz w:val="18"/>
                <w:szCs w:val="18"/>
                <w:lang w:val="en-US" w:eastAsia="en-US"/>
              </w:rPr>
              <w:t xml:space="preserv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8F19A4">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 xml:space="preserve">Note: This agreement does not require any additional specification impact in RAN1 in Rel-16, i.e. in Rel-16 the </w:t>
            </w:r>
            <w:proofErr w:type="spellStart"/>
            <w:r w:rsidRPr="002F3EFE">
              <w:rPr>
                <w:i/>
                <w:sz w:val="18"/>
                <w:szCs w:val="18"/>
              </w:rPr>
              <w:t>behaviour</w:t>
            </w:r>
            <w:proofErr w:type="spellEnd"/>
            <w:r w:rsidRPr="002F3EFE">
              <w:rPr>
                <w:i/>
                <w:sz w:val="18"/>
                <w:szCs w:val="18"/>
              </w:rPr>
              <w:t xml:space="preserve"> of the IAB node is only defined for TDM cases. The </w:t>
            </w:r>
            <w:proofErr w:type="spellStart"/>
            <w:r w:rsidRPr="002F3EFE">
              <w:rPr>
                <w:i/>
                <w:sz w:val="18"/>
                <w:szCs w:val="18"/>
              </w:rPr>
              <w:t>behaviour</w:t>
            </w:r>
            <w:proofErr w:type="spellEnd"/>
            <w:r w:rsidRPr="002F3EFE">
              <w:rPr>
                <w:i/>
                <w:sz w:val="18"/>
                <w:szCs w:val="18"/>
              </w:rPr>
              <w:t xml:space="preserve">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b/>
                <w:bCs/>
                <w:sz w:val="22"/>
                <w:szCs w:val="22"/>
                <w:lang w:eastAsia="zh-CN"/>
              </w:rPr>
            </w:pPr>
            <w:r w:rsidRPr="0079133E">
              <w:rPr>
                <w:rFonts w:ascii="Calibri" w:eastAsia="Yu Mincho" w:hAnsi="Calibri" w:hint="eastAsia"/>
                <w:bCs/>
                <w:sz w:val="22"/>
                <w:szCs w:val="22"/>
                <w:lang w:eastAsia="ja-JP"/>
              </w:rPr>
              <w:t>Yes</w:t>
            </w:r>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Yu Mincho" w:hAnsi="Calibri"/>
                <w:sz w:val="22"/>
                <w:szCs w:val="22"/>
                <w:lang w:eastAsia="ja-JP"/>
              </w:rPr>
              <w:t>RAN1 may have the consensus that</w:t>
            </w:r>
            <w:r>
              <w:rPr>
                <w:rFonts w:ascii="Calibri" w:eastAsia="Yu Mincho" w:hAnsi="Calibri" w:hint="eastAsia"/>
                <w:sz w:val="22"/>
                <w:szCs w:val="22"/>
                <w:lang w:eastAsia="ja-JP"/>
              </w:rPr>
              <w:t xml:space="preserve"> </w:t>
            </w:r>
            <w:r>
              <w:rPr>
                <w:rFonts w:ascii="Calibri" w:eastAsia="Yu Mincho"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r w:rsidR="00A20FBE" w:rsidRPr="008040F5" w14:paraId="2C428BBF" w14:textId="77777777" w:rsidTr="006D78C8">
        <w:tc>
          <w:tcPr>
            <w:tcW w:w="1696" w:type="dxa"/>
          </w:tcPr>
          <w:p w14:paraId="30FDF421" w14:textId="46A06742" w:rsidR="00A20FBE" w:rsidRPr="00A20FBE" w:rsidRDefault="00A20FBE" w:rsidP="007C340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198B6544" w14:textId="36498263" w:rsidR="00A20FBE" w:rsidRPr="0079133E" w:rsidRDefault="00A20FBE" w:rsidP="007C340A">
            <w:pPr>
              <w:rPr>
                <w:rFonts w:ascii="Calibri" w:eastAsia="Yu Mincho" w:hAnsi="Calibri"/>
                <w:bCs/>
                <w:sz w:val="22"/>
                <w:szCs w:val="22"/>
                <w:lang w:eastAsia="ja-JP"/>
              </w:rPr>
            </w:pPr>
            <w:r w:rsidRPr="00A20FBE">
              <w:rPr>
                <w:rFonts w:ascii="Calibri" w:eastAsiaTheme="minorEastAsia" w:hAnsi="Calibri"/>
                <w:b/>
                <w:bCs/>
                <w:sz w:val="22"/>
                <w:szCs w:val="22"/>
                <w:lang w:eastAsia="zh-CN"/>
              </w:rPr>
              <w:t>Y</w:t>
            </w:r>
            <w:r w:rsidRPr="00A20FBE">
              <w:rPr>
                <w:rFonts w:ascii="Calibri" w:eastAsiaTheme="minorEastAsia" w:hAnsi="Calibri" w:hint="eastAsia"/>
                <w:b/>
                <w:bCs/>
                <w:sz w:val="22"/>
                <w:szCs w:val="22"/>
                <w:lang w:eastAsia="zh-CN"/>
              </w:rPr>
              <w:t>es</w:t>
            </w:r>
            <w:r w:rsidR="002D6D3C">
              <w:rPr>
                <w:rFonts w:ascii="Calibri" w:eastAsiaTheme="minorEastAsia" w:hAnsi="Calibri"/>
                <w:b/>
                <w:bCs/>
                <w:sz w:val="22"/>
                <w:szCs w:val="22"/>
                <w:lang w:eastAsia="zh-CN"/>
              </w:rPr>
              <w:t xml:space="preserve"> </w:t>
            </w:r>
          </w:p>
        </w:tc>
        <w:tc>
          <w:tcPr>
            <w:tcW w:w="6109" w:type="dxa"/>
          </w:tcPr>
          <w:p w14:paraId="6754083F" w14:textId="33501AA9" w:rsidR="00A20FBE" w:rsidRDefault="00173E8B" w:rsidP="007C340A">
            <w:pPr>
              <w:rPr>
                <w:rFonts w:ascii="Calibri" w:eastAsia="Yu Mincho" w:hAnsi="Calibri"/>
                <w:sz w:val="22"/>
                <w:szCs w:val="22"/>
                <w:lang w:eastAsia="ja-JP"/>
              </w:rPr>
            </w:pPr>
            <w:r>
              <w:rPr>
                <w:rFonts w:ascii="Calibri" w:eastAsia="Yu Mincho" w:hAnsi="Calibri"/>
                <w:sz w:val="22"/>
                <w:szCs w:val="22"/>
                <w:lang w:eastAsia="ja-JP"/>
              </w:rPr>
              <w:t>W</w:t>
            </w:r>
            <w:r w:rsidR="002D6D3C" w:rsidRPr="002D6D3C">
              <w:rPr>
                <w:rFonts w:ascii="Calibri" w:eastAsia="Yu Mincho" w:hAnsi="Calibri"/>
                <w:sz w:val="22"/>
                <w:szCs w:val="22"/>
                <w:lang w:eastAsia="ja-JP"/>
              </w:rPr>
              <w:t xml:space="preserve">e </w:t>
            </w:r>
            <w:r w:rsidR="002D6D3C">
              <w:rPr>
                <w:rFonts w:ascii="Calibri" w:eastAsia="Yu Mincho" w:hAnsi="Calibri"/>
                <w:sz w:val="22"/>
                <w:szCs w:val="22"/>
                <w:lang w:eastAsia="ja-JP"/>
              </w:rPr>
              <w:t xml:space="preserve">are fine with </w:t>
            </w:r>
            <w:r w:rsidR="0037722F">
              <w:rPr>
                <w:rFonts w:ascii="Calibri" w:eastAsia="Yu Mincho" w:hAnsi="Calibri"/>
                <w:sz w:val="22"/>
                <w:szCs w:val="22"/>
                <w:lang w:eastAsia="ja-JP"/>
              </w:rPr>
              <w:t>proposed</w:t>
            </w:r>
            <w:r w:rsidR="002D6D3C">
              <w:rPr>
                <w:rFonts w:ascii="Calibri" w:eastAsia="Yu Mincho" w:hAnsi="Calibri"/>
                <w:sz w:val="22"/>
                <w:szCs w:val="22"/>
                <w:lang w:eastAsia="ja-JP"/>
              </w:rPr>
              <w:t xml:space="preserve"> </w:t>
            </w:r>
            <w:r>
              <w:rPr>
                <w:rFonts w:ascii="Calibri" w:eastAsia="Yu Mincho" w:hAnsi="Calibri"/>
                <w:sz w:val="22"/>
                <w:szCs w:val="22"/>
                <w:lang w:eastAsia="ja-JP"/>
              </w:rPr>
              <w:t>response</w:t>
            </w:r>
            <w:r w:rsidR="002D6D3C">
              <w:rPr>
                <w:rFonts w:ascii="Calibri" w:eastAsia="Yu Mincho" w:hAnsi="Calibri"/>
                <w:sz w:val="22"/>
                <w:szCs w:val="22"/>
                <w:lang w:eastAsia="ja-JP"/>
              </w:rPr>
              <w:t xml:space="preserve"> </w:t>
            </w:r>
            <w:r>
              <w:rPr>
                <w:rFonts w:ascii="Calibri" w:eastAsia="Yu Mincho" w:hAnsi="Calibri"/>
                <w:sz w:val="22"/>
                <w:szCs w:val="22"/>
                <w:lang w:eastAsia="ja-JP"/>
              </w:rPr>
              <w:t xml:space="preserve">to RAN2 </w:t>
            </w:r>
            <w:r w:rsidR="002D6D3C">
              <w:rPr>
                <w:rFonts w:ascii="Calibri" w:eastAsia="Yu Mincho" w:hAnsi="Calibri"/>
                <w:sz w:val="22"/>
                <w:szCs w:val="22"/>
                <w:lang w:eastAsia="ja-JP"/>
              </w:rPr>
              <w:t xml:space="preserve">from ZTE and Nokia. </w:t>
            </w:r>
          </w:p>
          <w:p w14:paraId="1DCD41CA" w14:textId="77777777" w:rsidR="00173E8B" w:rsidRDefault="00173E8B" w:rsidP="007C340A">
            <w:pPr>
              <w:rPr>
                <w:rFonts w:ascii="Calibri" w:eastAsia="Yu Mincho" w:hAnsi="Calibri"/>
                <w:sz w:val="22"/>
                <w:szCs w:val="22"/>
                <w:lang w:eastAsia="ja-JP"/>
              </w:rPr>
            </w:pPr>
          </w:p>
          <w:p w14:paraId="25AF6063" w14:textId="62A43771" w:rsidR="0037722F" w:rsidRDefault="0037722F" w:rsidP="007C340A">
            <w:pPr>
              <w:rPr>
                <w:rFonts w:ascii="Calibri" w:eastAsia="Yu Mincho" w:hAnsi="Calibri"/>
                <w:sz w:val="22"/>
                <w:szCs w:val="22"/>
                <w:lang w:eastAsia="ja-JP"/>
              </w:rPr>
            </w:pPr>
            <w:r>
              <w:rPr>
                <w:rFonts w:ascii="Calibri" w:eastAsia="Yu Mincho" w:hAnsi="Calibri"/>
                <w:sz w:val="22"/>
                <w:szCs w:val="22"/>
                <w:lang w:eastAsia="ja-JP"/>
              </w:rPr>
              <w:t>From RAN1 point of view</w:t>
            </w:r>
            <w:r w:rsidR="00C201C0">
              <w:rPr>
                <w:rFonts w:ascii="Calibri" w:eastAsia="Yu Mincho" w:hAnsi="Calibri"/>
                <w:sz w:val="22"/>
                <w:szCs w:val="22"/>
                <w:lang w:eastAsia="ja-JP"/>
              </w:rPr>
              <w:t>, we could check whether the following can be agreed</w:t>
            </w:r>
          </w:p>
          <w:p w14:paraId="0F112A76" w14:textId="3A00FC57" w:rsidR="00C201C0" w:rsidRPr="00C201C0" w:rsidRDefault="00C201C0" w:rsidP="008F19A4">
            <w:pPr>
              <w:pStyle w:val="ListParagraph"/>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Desired Guard Symbols</w:t>
            </w:r>
            <w:r w:rsidRPr="00C201C0">
              <w:rPr>
                <w:rFonts w:ascii="Calibri" w:eastAsia="Calibri" w:hAnsi="Calibri"/>
                <w:b/>
                <w:bCs/>
                <w:sz w:val="22"/>
                <w:szCs w:val="22"/>
              </w:rPr>
              <w:t xml:space="preserve"> is </w:t>
            </w:r>
            <w:r w:rsidR="00606736" w:rsidRPr="00C201C0">
              <w:rPr>
                <w:rFonts w:ascii="Calibri" w:eastAsia="Calibri" w:hAnsi="Calibri"/>
                <w:b/>
                <w:bCs/>
                <w:sz w:val="22"/>
                <w:szCs w:val="22"/>
              </w:rPr>
              <w:t xml:space="preserve">provided </w:t>
            </w:r>
            <w:r w:rsidRPr="00C201C0">
              <w:rPr>
                <w:rFonts w:ascii="Calibri" w:eastAsia="Calibri" w:hAnsi="Calibri"/>
                <w:b/>
                <w:bCs/>
                <w:sz w:val="22"/>
                <w:szCs w:val="22"/>
              </w:rPr>
              <w:t>for a specific (MT cell, DU cell) pair within an IAB-node</w:t>
            </w:r>
          </w:p>
          <w:p w14:paraId="13B89BED" w14:textId="1549B8A4" w:rsidR="00CA35EA" w:rsidRPr="00CA35EA" w:rsidRDefault="00C201C0" w:rsidP="00CA35EA">
            <w:pPr>
              <w:pStyle w:val="ListParagraph"/>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Provided Guard Symbols</w:t>
            </w:r>
            <w:r w:rsidRPr="00C201C0">
              <w:rPr>
                <w:rFonts w:ascii="Calibri" w:eastAsia="Calibri" w:hAnsi="Calibri"/>
                <w:b/>
                <w:bCs/>
                <w:sz w:val="22"/>
                <w:szCs w:val="22"/>
              </w:rPr>
              <w:t xml:space="preserve"> is</w:t>
            </w:r>
            <w:r w:rsidR="0037722F" w:rsidRPr="00C201C0">
              <w:rPr>
                <w:rFonts w:ascii="Calibri" w:eastAsia="Calibri" w:hAnsi="Calibri"/>
                <w:b/>
                <w:bCs/>
                <w:sz w:val="22"/>
                <w:szCs w:val="22"/>
              </w:rPr>
              <w:t xml:space="preserve"> </w:t>
            </w:r>
            <w:r w:rsidRPr="00C201C0">
              <w:rPr>
                <w:rFonts w:ascii="Calibri" w:eastAsia="Calibri" w:hAnsi="Calibri"/>
                <w:b/>
                <w:bCs/>
                <w:sz w:val="22"/>
                <w:szCs w:val="22"/>
              </w:rPr>
              <w:t>provided</w:t>
            </w:r>
            <w:r w:rsidR="0037722F" w:rsidRPr="00C201C0">
              <w:rPr>
                <w:rFonts w:ascii="Calibri" w:eastAsia="Calibri" w:hAnsi="Calibri"/>
                <w:b/>
                <w:bCs/>
                <w:sz w:val="22"/>
                <w:szCs w:val="22"/>
              </w:rPr>
              <w:t xml:space="preserve"> </w:t>
            </w:r>
            <w:r w:rsidRPr="00C201C0">
              <w:rPr>
                <w:rFonts w:ascii="Calibri" w:eastAsia="Calibri" w:hAnsi="Calibri"/>
                <w:b/>
                <w:bCs/>
                <w:sz w:val="22"/>
                <w:szCs w:val="22"/>
              </w:rPr>
              <w:t xml:space="preserve">for a specific MT cell </w:t>
            </w:r>
          </w:p>
        </w:tc>
      </w:tr>
      <w:tr w:rsidR="006A78B9" w:rsidRPr="008040F5" w14:paraId="326A99C7" w14:textId="77777777" w:rsidTr="006D78C8">
        <w:tc>
          <w:tcPr>
            <w:tcW w:w="1696" w:type="dxa"/>
          </w:tcPr>
          <w:p w14:paraId="1C8913C0" w14:textId="7695484E" w:rsidR="006A78B9" w:rsidRPr="006A78B9" w:rsidRDefault="006A78B9" w:rsidP="007C340A">
            <w:pPr>
              <w:rPr>
                <w:rFonts w:ascii="Calibri" w:eastAsia="Yu Mincho" w:hAnsi="Calibri"/>
                <w:sz w:val="22"/>
                <w:szCs w:val="22"/>
                <w:lang w:eastAsia="ja-JP"/>
              </w:rPr>
            </w:pPr>
            <w:r w:rsidRPr="006A78B9">
              <w:rPr>
                <w:rFonts w:ascii="Calibri" w:eastAsia="Yu Mincho" w:hAnsi="Calibri"/>
                <w:sz w:val="22"/>
                <w:szCs w:val="22"/>
                <w:lang w:eastAsia="ja-JP"/>
              </w:rPr>
              <w:t>V</w:t>
            </w:r>
            <w:r w:rsidRPr="006A78B9">
              <w:rPr>
                <w:rFonts w:ascii="Calibri" w:eastAsia="Yu Mincho" w:hAnsi="Calibri" w:hint="eastAsia"/>
                <w:sz w:val="22"/>
                <w:szCs w:val="22"/>
                <w:lang w:eastAsia="ja-JP"/>
              </w:rPr>
              <w:t>ivo</w:t>
            </w:r>
          </w:p>
        </w:tc>
        <w:tc>
          <w:tcPr>
            <w:tcW w:w="2265" w:type="dxa"/>
          </w:tcPr>
          <w:p w14:paraId="51C76625" w14:textId="26D35517" w:rsidR="006A78B9" w:rsidRPr="006A78B9" w:rsidRDefault="006A78B9" w:rsidP="007C340A">
            <w:pPr>
              <w:rPr>
                <w:rFonts w:ascii="Calibri" w:eastAsia="Yu Mincho" w:hAnsi="Calibri"/>
                <w:sz w:val="22"/>
                <w:szCs w:val="22"/>
                <w:lang w:eastAsia="ja-JP"/>
              </w:rPr>
            </w:pPr>
            <w:r w:rsidRPr="006A78B9">
              <w:rPr>
                <w:rFonts w:ascii="Calibri" w:eastAsia="Yu Mincho" w:hAnsi="Calibri" w:hint="eastAsia"/>
                <w:sz w:val="22"/>
                <w:szCs w:val="22"/>
                <w:lang w:eastAsia="ja-JP"/>
              </w:rPr>
              <w:t>Yes</w:t>
            </w:r>
          </w:p>
        </w:tc>
        <w:tc>
          <w:tcPr>
            <w:tcW w:w="6109" w:type="dxa"/>
          </w:tcPr>
          <w:p w14:paraId="69A67886" w14:textId="23D92BD1" w:rsidR="006A78B9" w:rsidRDefault="006A78B9" w:rsidP="006A78B9">
            <w:pPr>
              <w:rPr>
                <w:rFonts w:ascii="Calibri" w:eastAsia="Yu Mincho" w:hAnsi="Calibri"/>
                <w:sz w:val="22"/>
                <w:szCs w:val="22"/>
                <w:lang w:eastAsia="ja-JP"/>
              </w:rPr>
            </w:pPr>
            <w:r>
              <w:rPr>
                <w:rFonts w:ascii="Calibri" w:eastAsia="Yu Mincho" w:hAnsi="Calibri"/>
                <w:sz w:val="22"/>
                <w:szCs w:val="22"/>
                <w:lang w:eastAsia="ja-JP"/>
              </w:rPr>
              <w:t xml:space="preserve">In our understanding, both alternative can works. </w:t>
            </w:r>
            <w:r w:rsidRPr="006A78B9">
              <w:rPr>
                <w:rFonts w:ascii="Calibri" w:eastAsia="Yu Mincho" w:hAnsi="Calibri"/>
                <w:sz w:val="22"/>
                <w:szCs w:val="22"/>
                <w:lang w:eastAsia="ja-JP"/>
              </w:rPr>
              <w:t xml:space="preserve">Alt. 2 is the one which matches the original </w:t>
            </w:r>
            <w:proofErr w:type="gramStart"/>
            <w:r w:rsidRPr="006A78B9">
              <w:rPr>
                <w:rFonts w:ascii="Calibri" w:eastAsia="Yu Mincho" w:hAnsi="Calibri"/>
                <w:sz w:val="22"/>
                <w:szCs w:val="22"/>
                <w:lang w:eastAsia="ja-JP"/>
              </w:rPr>
              <w:t>intention,</w:t>
            </w:r>
            <w:proofErr w:type="gramEnd"/>
            <w:r w:rsidRPr="006A78B9">
              <w:rPr>
                <w:rFonts w:ascii="Calibri" w:eastAsia="Yu Mincho" w:hAnsi="Calibri"/>
                <w:sz w:val="22"/>
                <w:szCs w:val="22"/>
                <w:lang w:eastAsia="ja-JP"/>
              </w:rPr>
              <w:t xml:space="preserve"> however, we can accept a simple solution which does not scarify too much performance, i.e., Alt. 1-like</w:t>
            </w:r>
          </w:p>
        </w:tc>
      </w:tr>
      <w:tr w:rsidR="00AA2FF1" w:rsidRPr="008040F5" w14:paraId="08E448CE" w14:textId="77777777" w:rsidTr="006D78C8">
        <w:tc>
          <w:tcPr>
            <w:tcW w:w="1696" w:type="dxa"/>
          </w:tcPr>
          <w:p w14:paraId="116D8686" w14:textId="6BC4239C" w:rsidR="00AA2FF1" w:rsidRPr="006A78B9" w:rsidRDefault="00AA2FF1" w:rsidP="00AA2FF1">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65" w:type="dxa"/>
          </w:tcPr>
          <w:p w14:paraId="31CE7E06" w14:textId="5E97145A" w:rsidR="00AA2FF1" w:rsidRPr="006A78B9" w:rsidRDefault="00AA2FF1" w:rsidP="00AA2FF1">
            <w:pPr>
              <w:rPr>
                <w:rFonts w:ascii="Calibri" w:eastAsia="Yu Mincho" w:hAnsi="Calibri"/>
                <w:sz w:val="22"/>
                <w:szCs w:val="22"/>
                <w:lang w:eastAsia="ja-JP"/>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w:t>
            </w:r>
          </w:p>
        </w:tc>
        <w:tc>
          <w:tcPr>
            <w:tcW w:w="6109" w:type="dxa"/>
          </w:tcPr>
          <w:p w14:paraId="59C5809F" w14:textId="64F4A420" w:rsidR="00AA2FF1" w:rsidRDefault="00AA2FF1" w:rsidP="00AA2FF1">
            <w:pPr>
              <w:rPr>
                <w:rFonts w:ascii="Calibri" w:eastAsia="Yu Mincho" w:hAnsi="Calibri"/>
                <w:sz w:val="22"/>
                <w:szCs w:val="22"/>
                <w:lang w:eastAsia="ja-JP"/>
              </w:rPr>
            </w:pPr>
            <w:r>
              <w:rPr>
                <w:rFonts w:ascii="Calibri" w:eastAsia="Malgun Gothic" w:hAnsi="Calibri"/>
                <w:sz w:val="22"/>
                <w:szCs w:val="22"/>
                <w:lang w:eastAsia="ko-KR"/>
              </w:rPr>
              <w:t>W</w:t>
            </w:r>
            <w:r>
              <w:rPr>
                <w:rFonts w:ascii="Calibri" w:eastAsia="Malgun Gothic" w:hAnsi="Calibri" w:hint="eastAsia"/>
                <w:sz w:val="22"/>
                <w:szCs w:val="22"/>
                <w:lang w:eastAsia="ko-KR"/>
              </w:rPr>
              <w:t xml:space="preserve">e </w:t>
            </w:r>
            <w:proofErr w:type="gramStart"/>
            <w:r>
              <w:rPr>
                <w:rFonts w:ascii="Calibri" w:eastAsia="Malgun Gothic" w:hAnsi="Calibri"/>
                <w:sz w:val="22"/>
                <w:szCs w:val="22"/>
                <w:lang w:eastAsia="ko-KR"/>
              </w:rPr>
              <w:t>supports</w:t>
            </w:r>
            <w:proofErr w:type="gramEnd"/>
            <w:r>
              <w:rPr>
                <w:rFonts w:ascii="Calibri" w:eastAsia="Malgun Gothic" w:hAnsi="Calibri" w:hint="eastAsia"/>
                <w:sz w:val="22"/>
                <w:szCs w:val="22"/>
                <w:lang w:eastAsia="ko-KR"/>
              </w:rPr>
              <w:t xml:space="preserve"> Alt.1 </w:t>
            </w:r>
            <w:r>
              <w:rPr>
                <w:rFonts w:ascii="Calibri" w:eastAsia="Malgun Gothic" w:hAnsi="Calibri"/>
                <w:sz w:val="22"/>
                <w:szCs w:val="22"/>
                <w:lang w:eastAsia="ko-KR"/>
              </w:rPr>
              <w:t>to address the concern. But, even if we go with “specific cell”, the same value for all MT cells can be applied by parent IAB implementation for some scenarios as commented by ZTE. So, we are also fine with ZTE’s suggestion.</w:t>
            </w:r>
          </w:p>
        </w:tc>
      </w:tr>
      <w:tr w:rsidR="005737F6" w14:paraId="4279DB11" w14:textId="77777777" w:rsidTr="00937460">
        <w:tc>
          <w:tcPr>
            <w:tcW w:w="1696" w:type="dxa"/>
          </w:tcPr>
          <w:p w14:paraId="2D5EFC07" w14:textId="2834C509" w:rsidR="005737F6" w:rsidRPr="006A78B9" w:rsidRDefault="00C530D0" w:rsidP="005737F6">
            <w:pPr>
              <w:rPr>
                <w:rFonts w:ascii="Calibri" w:eastAsia="Yu Mincho" w:hAnsi="Calibri"/>
                <w:sz w:val="22"/>
                <w:szCs w:val="22"/>
                <w:lang w:eastAsia="ja-JP"/>
              </w:rPr>
            </w:pPr>
            <w:r>
              <w:br w:type="page"/>
            </w:r>
            <w:r w:rsidR="005737F6">
              <w:rPr>
                <w:rFonts w:ascii="Calibri" w:eastAsia="Malgun Gothic" w:hAnsi="Calibri"/>
                <w:bCs/>
                <w:sz w:val="22"/>
                <w:szCs w:val="22"/>
                <w:lang w:eastAsia="ko-KR"/>
              </w:rPr>
              <w:t>LG</w:t>
            </w:r>
          </w:p>
        </w:tc>
        <w:tc>
          <w:tcPr>
            <w:tcW w:w="2265" w:type="dxa"/>
          </w:tcPr>
          <w:p w14:paraId="2FF76EC9" w14:textId="77777777" w:rsidR="005737F6" w:rsidRPr="006A78B9" w:rsidRDefault="005737F6" w:rsidP="00937460">
            <w:pPr>
              <w:rPr>
                <w:rFonts w:ascii="Calibri" w:eastAsia="Yu Mincho" w:hAnsi="Calibri"/>
                <w:sz w:val="22"/>
                <w:szCs w:val="22"/>
                <w:lang w:eastAsia="ja-JP"/>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w:t>
            </w:r>
          </w:p>
        </w:tc>
        <w:tc>
          <w:tcPr>
            <w:tcW w:w="6109" w:type="dxa"/>
          </w:tcPr>
          <w:p w14:paraId="4261F17B" w14:textId="18C68BE9" w:rsidR="005737F6" w:rsidRPr="005737F6" w:rsidRDefault="005737F6" w:rsidP="00E9072F">
            <w:pPr>
              <w:rPr>
                <w:rFonts w:ascii="Calibri" w:eastAsia="Malgun Gothic" w:hAnsi="Calibri"/>
                <w:sz w:val="22"/>
                <w:szCs w:val="22"/>
                <w:lang w:eastAsia="ko-KR"/>
              </w:rPr>
            </w:pPr>
            <w:r>
              <w:rPr>
                <w:rFonts w:ascii="Calibri" w:eastAsia="Malgun Gothic" w:hAnsi="Calibri" w:hint="eastAsia"/>
                <w:sz w:val="22"/>
                <w:szCs w:val="22"/>
                <w:lang w:eastAsia="ko-KR"/>
              </w:rPr>
              <w:t xml:space="preserve">We </w:t>
            </w:r>
            <w:r w:rsidR="00E9072F">
              <w:rPr>
                <w:rFonts w:ascii="Calibri" w:eastAsia="Malgun Gothic" w:hAnsi="Calibri"/>
                <w:sz w:val="22"/>
                <w:szCs w:val="22"/>
                <w:lang w:eastAsia="ko-KR"/>
              </w:rPr>
              <w:t xml:space="preserve">are </w:t>
            </w:r>
            <w:r>
              <w:rPr>
                <w:rFonts w:ascii="Calibri" w:eastAsia="Malgun Gothic" w:hAnsi="Calibri"/>
                <w:sz w:val="22"/>
                <w:szCs w:val="22"/>
                <w:lang w:eastAsia="ko-KR"/>
              </w:rPr>
              <w:t xml:space="preserve">also </w:t>
            </w:r>
            <w:r w:rsidR="00E9072F">
              <w:rPr>
                <w:rFonts w:ascii="Calibri" w:eastAsia="Malgun Gothic" w:hAnsi="Calibri"/>
                <w:sz w:val="22"/>
                <w:szCs w:val="22"/>
                <w:lang w:eastAsia="ko-KR"/>
              </w:rPr>
              <w:t>fine with</w:t>
            </w:r>
            <w:r>
              <w:rPr>
                <w:rFonts w:ascii="Calibri" w:eastAsia="Malgun Gothic" w:hAnsi="Calibri"/>
                <w:sz w:val="22"/>
                <w:szCs w:val="22"/>
                <w:lang w:eastAsia="ko-KR"/>
              </w:rPr>
              <w:t xml:space="preserve"> </w:t>
            </w:r>
            <w:r>
              <w:rPr>
                <w:rFonts w:ascii="Calibri" w:eastAsia="Malgun Gothic" w:hAnsi="Calibri" w:hint="eastAsia"/>
                <w:sz w:val="22"/>
                <w:szCs w:val="22"/>
                <w:lang w:eastAsia="ko-KR"/>
              </w:rPr>
              <w:t>Z</w:t>
            </w:r>
            <w:r>
              <w:rPr>
                <w:rFonts w:ascii="Calibri" w:eastAsia="Malgun Gothic" w:hAnsi="Calibri"/>
                <w:sz w:val="22"/>
                <w:szCs w:val="22"/>
                <w:lang w:eastAsia="ko-KR"/>
              </w:rPr>
              <w:t xml:space="preserve">TE’s proposed response to RAN2 without mentioning “DU-cell”. </w:t>
            </w:r>
          </w:p>
        </w:tc>
      </w:tr>
      <w:tr w:rsidR="0098682F" w14:paraId="666D7448" w14:textId="77777777" w:rsidTr="00937460">
        <w:tc>
          <w:tcPr>
            <w:tcW w:w="1696" w:type="dxa"/>
          </w:tcPr>
          <w:p w14:paraId="67AF82B7" w14:textId="32C23EF2" w:rsidR="0098682F" w:rsidRDefault="0098682F" w:rsidP="005737F6">
            <w:r w:rsidRPr="0098682F">
              <w:rPr>
                <w:rFonts w:ascii="Calibri" w:eastAsia="Malgun Gothic" w:hAnsi="Calibri"/>
                <w:bCs/>
                <w:sz w:val="22"/>
                <w:szCs w:val="22"/>
                <w:lang w:eastAsia="ko-KR"/>
              </w:rPr>
              <w:t>Ericsson</w:t>
            </w:r>
          </w:p>
        </w:tc>
        <w:tc>
          <w:tcPr>
            <w:tcW w:w="2265" w:type="dxa"/>
          </w:tcPr>
          <w:p w14:paraId="5336942D" w14:textId="7A45D455" w:rsidR="0098682F" w:rsidRPr="0098682F" w:rsidRDefault="0098682F" w:rsidP="00937460">
            <w:pPr>
              <w:rPr>
                <w:rFonts w:ascii="Calibri" w:eastAsia="Malgun Gothic" w:hAnsi="Calibri"/>
                <w:sz w:val="22"/>
                <w:szCs w:val="22"/>
                <w:lang w:eastAsia="ko-KR"/>
              </w:rPr>
            </w:pPr>
            <w:r w:rsidRPr="0098682F">
              <w:rPr>
                <w:rFonts w:ascii="Calibri" w:eastAsia="Malgun Gothic" w:hAnsi="Calibri"/>
                <w:sz w:val="22"/>
                <w:szCs w:val="22"/>
                <w:lang w:eastAsia="ko-KR"/>
              </w:rPr>
              <w:t>Yes</w:t>
            </w:r>
          </w:p>
        </w:tc>
        <w:tc>
          <w:tcPr>
            <w:tcW w:w="6109" w:type="dxa"/>
          </w:tcPr>
          <w:p w14:paraId="163678EA" w14:textId="77777777" w:rsidR="0098682F" w:rsidRPr="0098682F" w:rsidRDefault="0098682F" w:rsidP="0098682F">
            <w:pPr>
              <w:rPr>
                <w:rFonts w:ascii="Calibri" w:eastAsia="Malgun Gothic" w:hAnsi="Calibri"/>
                <w:sz w:val="22"/>
                <w:szCs w:val="22"/>
                <w:lang w:eastAsia="ko-KR"/>
              </w:rPr>
            </w:pPr>
            <w:r w:rsidRPr="0098682F">
              <w:rPr>
                <w:rFonts w:ascii="Calibri" w:eastAsia="Malgun Gothic" w:hAnsi="Calibri"/>
                <w:sz w:val="22"/>
                <w:szCs w:val="22"/>
                <w:lang w:eastAsia="ko-KR"/>
              </w:rPr>
              <w:t xml:space="preserve">In our understanding, RAN2 asks whether Number of Guard Symbols should be applied to a specific MT cell, or if the Number of Guard Symbols applies across all the cells in the cell group an MT connects to. In this sense, we agree more with Alt. 1, though a reference to how Guard Symbols are eventually used or applied (by the IAB-node) is not really specified and does not need to be provided to RAN2. </w:t>
            </w:r>
          </w:p>
          <w:p w14:paraId="42C95B49" w14:textId="77777777" w:rsidR="0098682F" w:rsidRPr="0098682F" w:rsidRDefault="0098682F" w:rsidP="0098682F">
            <w:pPr>
              <w:rPr>
                <w:rFonts w:ascii="Calibri" w:eastAsia="Malgun Gothic" w:hAnsi="Calibri"/>
                <w:sz w:val="22"/>
                <w:szCs w:val="22"/>
                <w:lang w:eastAsia="ko-KR"/>
              </w:rPr>
            </w:pPr>
            <w:r w:rsidRPr="0098682F">
              <w:rPr>
                <w:rFonts w:ascii="Calibri" w:eastAsia="Malgun Gothic" w:hAnsi="Calibri"/>
                <w:sz w:val="22"/>
                <w:szCs w:val="22"/>
                <w:lang w:eastAsia="ko-KR"/>
              </w:rPr>
              <w:t xml:space="preserve">We are fine with the proposed response to RAN2 from ZTE with the following initial sentence to better reflect the cell under consideration. </w:t>
            </w:r>
          </w:p>
          <w:p w14:paraId="6FDF5930" w14:textId="41BFD4CA" w:rsidR="0098682F" w:rsidRPr="0098682F" w:rsidRDefault="0098682F" w:rsidP="0098682F">
            <w:pPr>
              <w:rPr>
                <w:rFonts w:ascii="Calibri" w:eastAsia="Malgun Gothic" w:hAnsi="Calibri"/>
                <w:i/>
                <w:iCs/>
                <w:sz w:val="22"/>
                <w:szCs w:val="22"/>
                <w:lang w:eastAsia="ko-KR"/>
              </w:rPr>
            </w:pPr>
            <w:r w:rsidRPr="0098682F">
              <w:rPr>
                <w:rFonts w:ascii="Calibri" w:eastAsia="Malgun Gothic" w:hAnsi="Calibri"/>
                <w:i/>
                <w:iCs/>
                <w:sz w:val="22"/>
                <w:szCs w:val="22"/>
                <w:lang w:eastAsia="ko-KR"/>
              </w:rPr>
              <w:t xml:space="preserve">From a RAN1 perspective, the Number of Guard Symbols are indicated and applied for a specific </w:t>
            </w:r>
            <w:r w:rsidRPr="0098682F">
              <w:rPr>
                <w:rFonts w:ascii="Calibri" w:eastAsia="Malgun Gothic" w:hAnsi="Calibri"/>
                <w:i/>
                <w:iCs/>
                <w:sz w:val="22"/>
                <w:szCs w:val="22"/>
                <w:highlight w:val="yellow"/>
                <w:lang w:eastAsia="ko-KR"/>
              </w:rPr>
              <w:t>parent IAB-DU serving cell to which the MT is connected to</w:t>
            </w:r>
            <w:r w:rsidRPr="0098682F">
              <w:rPr>
                <w:rFonts w:ascii="Calibri" w:eastAsia="Malgun Gothic" w:hAnsi="Calibri"/>
                <w:i/>
                <w:iCs/>
                <w:sz w:val="22"/>
                <w:szCs w:val="22"/>
                <w:lang w:eastAsia="ko-KR"/>
              </w:rPr>
              <w:t>.</w:t>
            </w:r>
          </w:p>
        </w:tc>
      </w:tr>
      <w:tr w:rsidR="0036078F" w14:paraId="18FFA219" w14:textId="77777777" w:rsidTr="00937460">
        <w:tc>
          <w:tcPr>
            <w:tcW w:w="1696" w:type="dxa"/>
          </w:tcPr>
          <w:p w14:paraId="6B89DA6E" w14:textId="77F02814" w:rsidR="0036078F" w:rsidRPr="0098682F" w:rsidRDefault="0036078F" w:rsidP="005737F6">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14:paraId="228DAB2B" w14:textId="77D77C4A" w:rsidR="0036078F" w:rsidRPr="0098682F" w:rsidRDefault="0036078F" w:rsidP="00937460">
            <w:pPr>
              <w:rPr>
                <w:rFonts w:ascii="Calibri" w:eastAsia="Malgun Gothic" w:hAnsi="Calibri"/>
                <w:sz w:val="22"/>
                <w:szCs w:val="22"/>
                <w:lang w:eastAsia="ko-KR"/>
              </w:rPr>
            </w:pPr>
            <w:r>
              <w:rPr>
                <w:rFonts w:ascii="Calibri" w:eastAsia="Malgun Gothic" w:hAnsi="Calibri"/>
                <w:sz w:val="22"/>
                <w:szCs w:val="22"/>
                <w:lang w:eastAsia="ko-KR"/>
              </w:rPr>
              <w:t>Yes</w:t>
            </w:r>
          </w:p>
        </w:tc>
        <w:tc>
          <w:tcPr>
            <w:tcW w:w="6109" w:type="dxa"/>
          </w:tcPr>
          <w:p w14:paraId="2FEC582E" w14:textId="4C6F3CBE" w:rsidR="0036078F" w:rsidRPr="0098682F" w:rsidRDefault="0036078F" w:rsidP="0098682F">
            <w:pPr>
              <w:rPr>
                <w:rFonts w:ascii="Calibri" w:eastAsia="Malgun Gothic" w:hAnsi="Calibri"/>
                <w:sz w:val="22"/>
                <w:szCs w:val="22"/>
                <w:lang w:eastAsia="ko-KR"/>
              </w:rPr>
            </w:pPr>
            <w:r>
              <w:rPr>
                <w:rFonts w:ascii="Calibri" w:eastAsia="Malgun Gothic" w:hAnsi="Calibri"/>
                <w:sz w:val="22"/>
                <w:szCs w:val="22"/>
                <w:lang w:eastAsia="ko-KR"/>
              </w:rPr>
              <w:t xml:space="preserve">We are also fine with ZTE or Ericsson’s proposed response to RAN2 without mentioning “DU-cell”. </w:t>
            </w:r>
          </w:p>
        </w:tc>
      </w:tr>
    </w:tbl>
    <w:p w14:paraId="660556E0" w14:textId="4B789DDA" w:rsidR="00C530D0" w:rsidRDefault="00C530D0">
      <w:pPr>
        <w:rPr>
          <w:rFonts w:ascii="Arial" w:hAnsi="Arial"/>
          <w:b/>
          <w:sz w:val="32"/>
          <w:szCs w:val="20"/>
        </w:rPr>
      </w:pPr>
    </w:p>
    <w:p w14:paraId="4775BCFE" w14:textId="77777777" w:rsidR="005737F6" w:rsidRDefault="005737F6">
      <w:pPr>
        <w:rPr>
          <w:rFonts w:ascii="Arial" w:hAnsi="Arial"/>
          <w:b/>
          <w:sz w:val="32"/>
          <w:szCs w:val="20"/>
        </w:rPr>
      </w:pPr>
    </w:p>
    <w:p w14:paraId="0AE0463A" w14:textId="77777777" w:rsidR="005737F6" w:rsidRDefault="005737F6">
      <w:pPr>
        <w:rPr>
          <w:rFonts w:ascii="Arial" w:hAnsi="Arial"/>
          <w:b/>
          <w:sz w:val="32"/>
          <w:szCs w:val="20"/>
        </w:rPr>
      </w:pPr>
    </w:p>
    <w:p w14:paraId="58F2CC67" w14:textId="77777777" w:rsidR="005737F6" w:rsidRDefault="005737F6">
      <w:pPr>
        <w:rPr>
          <w:rFonts w:ascii="Arial" w:hAnsi="Arial"/>
          <w:b/>
          <w:sz w:val="32"/>
          <w:szCs w:val="20"/>
        </w:rPr>
      </w:pPr>
    </w:p>
    <w:p w14:paraId="75986122" w14:textId="77777777" w:rsidR="005737F6" w:rsidRDefault="005737F6">
      <w:pPr>
        <w:rPr>
          <w:rFonts w:ascii="Arial" w:hAnsi="Arial"/>
          <w:b/>
          <w:sz w:val="32"/>
          <w:szCs w:val="20"/>
        </w:rPr>
      </w:pPr>
    </w:p>
    <w:p w14:paraId="71D34DC2" w14:textId="77777777" w:rsidR="005737F6" w:rsidRDefault="005737F6">
      <w:pPr>
        <w:rPr>
          <w:rFonts w:ascii="Arial" w:hAnsi="Arial"/>
          <w:b/>
          <w:sz w:val="32"/>
          <w:szCs w:val="20"/>
        </w:rPr>
      </w:pPr>
    </w:p>
    <w:p w14:paraId="525B07C8" w14:textId="77777777" w:rsidR="005737F6" w:rsidRDefault="005737F6">
      <w:pPr>
        <w:rPr>
          <w:rFonts w:ascii="Arial" w:hAnsi="Arial"/>
          <w:b/>
          <w:sz w:val="32"/>
          <w:szCs w:val="20"/>
        </w:rPr>
      </w:pPr>
    </w:p>
    <w:p w14:paraId="09466AB0" w14:textId="77777777" w:rsidR="005737F6" w:rsidRDefault="005737F6">
      <w:pPr>
        <w:rPr>
          <w:rFonts w:ascii="Arial" w:hAnsi="Arial"/>
          <w:b/>
          <w:sz w:val="32"/>
          <w:szCs w:val="20"/>
        </w:rPr>
      </w:pPr>
    </w:p>
    <w:p w14:paraId="6D778C0B" w14:textId="77777777" w:rsidR="005737F6" w:rsidRDefault="005737F6">
      <w:pPr>
        <w:rPr>
          <w:rFonts w:ascii="Arial" w:hAnsi="Arial"/>
          <w:b/>
          <w:sz w:val="32"/>
          <w:szCs w:val="20"/>
        </w:rPr>
      </w:pPr>
    </w:p>
    <w:p w14:paraId="1E448559" w14:textId="77777777" w:rsidR="005737F6" w:rsidRDefault="005737F6">
      <w:pPr>
        <w:rPr>
          <w:rFonts w:ascii="Arial" w:hAnsi="Arial"/>
          <w:b/>
          <w:sz w:val="32"/>
          <w:szCs w:val="20"/>
        </w:rPr>
      </w:pPr>
    </w:p>
    <w:p w14:paraId="45BC6AD8" w14:textId="77777777" w:rsidR="005737F6" w:rsidRDefault="005737F6">
      <w:pPr>
        <w:rPr>
          <w:rFonts w:ascii="Arial" w:hAnsi="Arial"/>
          <w:b/>
          <w:sz w:val="32"/>
          <w:szCs w:val="20"/>
        </w:rPr>
      </w:pPr>
    </w:p>
    <w:p w14:paraId="75E2BC9E" w14:textId="77777777" w:rsidR="002F634C" w:rsidRPr="00156B89" w:rsidRDefault="002F634C" w:rsidP="002F634C">
      <w:pPr>
        <w:pStyle w:val="Heading1"/>
      </w:pPr>
      <w:r>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550CB" w14:textId="77777777" w:rsidR="00190653" w:rsidRDefault="00190653" w:rsidP="00424124">
      <w:r>
        <w:separator/>
      </w:r>
    </w:p>
  </w:endnote>
  <w:endnote w:type="continuationSeparator" w:id="0">
    <w:p w14:paraId="44965BD6" w14:textId="77777777" w:rsidR="00190653" w:rsidRDefault="00190653" w:rsidP="00424124">
      <w:r>
        <w:continuationSeparator/>
      </w:r>
    </w:p>
  </w:endnote>
  <w:endnote w:type="continuationNotice" w:id="1">
    <w:p w14:paraId="633D12B3" w14:textId="77777777" w:rsidR="00190653" w:rsidRDefault="00190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86314" w14:textId="77777777" w:rsidR="00190653" w:rsidRDefault="00190653" w:rsidP="00424124">
      <w:r>
        <w:separator/>
      </w:r>
    </w:p>
  </w:footnote>
  <w:footnote w:type="continuationSeparator" w:id="0">
    <w:p w14:paraId="5FB48FAD" w14:textId="77777777" w:rsidR="00190653" w:rsidRDefault="00190653" w:rsidP="00424124">
      <w:r>
        <w:continuationSeparator/>
      </w:r>
    </w:p>
  </w:footnote>
  <w:footnote w:type="continuationNotice" w:id="1">
    <w:p w14:paraId="61A9F08D" w14:textId="77777777" w:rsidR="00190653" w:rsidRDefault="001906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060AB"/>
    <w:multiLevelType w:val="hybridMultilevel"/>
    <w:tmpl w:val="DDD4A0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1"/>
  </w:num>
  <w:num w:numId="8">
    <w:abstractNumId w:val="20"/>
  </w:num>
  <w:num w:numId="9">
    <w:abstractNumId w:val="3"/>
  </w:num>
  <w:num w:numId="10">
    <w:abstractNumId w:val="2"/>
  </w:num>
  <w:num w:numId="11">
    <w:abstractNumId w:val="12"/>
  </w:num>
  <w:num w:numId="12">
    <w:abstractNumId w:val="22"/>
  </w:num>
  <w:num w:numId="13">
    <w:abstractNumId w:val="21"/>
  </w:num>
  <w:num w:numId="14">
    <w:abstractNumId w:val="17"/>
  </w:num>
  <w:num w:numId="15">
    <w:abstractNumId w:val="4"/>
  </w:num>
  <w:num w:numId="16">
    <w:abstractNumId w:val="23"/>
  </w:num>
  <w:num w:numId="17">
    <w:abstractNumId w:val="7"/>
  </w:num>
  <w:num w:numId="18">
    <w:abstractNumId w:val="18"/>
  </w:num>
  <w:num w:numId="19">
    <w:abstractNumId w:val="0"/>
  </w:num>
  <w:num w:numId="20">
    <w:abstractNumId w:val="11"/>
  </w:num>
  <w:num w:numId="21">
    <w:abstractNumId w:val="16"/>
  </w:num>
  <w:num w:numId="22">
    <w:abstractNumId w:val="14"/>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28C"/>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3E8B"/>
    <w:rsid w:val="00175137"/>
    <w:rsid w:val="00175301"/>
    <w:rsid w:val="001753BE"/>
    <w:rsid w:val="00181278"/>
    <w:rsid w:val="00182A29"/>
    <w:rsid w:val="00182BEE"/>
    <w:rsid w:val="001849F5"/>
    <w:rsid w:val="00190653"/>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D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78F"/>
    <w:rsid w:val="00360AB4"/>
    <w:rsid w:val="0036306A"/>
    <w:rsid w:val="00363E35"/>
    <w:rsid w:val="00364DAE"/>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7722F"/>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7F6"/>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2818"/>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06736"/>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A78B9"/>
    <w:rsid w:val="006B0CA8"/>
    <w:rsid w:val="006B0FD2"/>
    <w:rsid w:val="006B213F"/>
    <w:rsid w:val="006B443B"/>
    <w:rsid w:val="006B4635"/>
    <w:rsid w:val="006B7301"/>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A03"/>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074"/>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4D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C66"/>
    <w:rsid w:val="008D7C83"/>
    <w:rsid w:val="008E110D"/>
    <w:rsid w:val="008E258C"/>
    <w:rsid w:val="008E2BDA"/>
    <w:rsid w:val="008E2ED7"/>
    <w:rsid w:val="008E48C2"/>
    <w:rsid w:val="008E51A2"/>
    <w:rsid w:val="008E5938"/>
    <w:rsid w:val="008E5CA7"/>
    <w:rsid w:val="008E6220"/>
    <w:rsid w:val="008E7BDD"/>
    <w:rsid w:val="008E7D11"/>
    <w:rsid w:val="008F19A4"/>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82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FBE"/>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0A84"/>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2FF1"/>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61F"/>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1C0"/>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35EA"/>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072F"/>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7BD"/>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5B65"/>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49572471">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7CAA-2781-401C-A4BB-F63B8D20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7992</Characters>
  <Application>Microsoft Office Word</Application>
  <DocSecurity>0</DocSecurity>
  <Lines>235</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Wei, Lili</cp:lastModifiedBy>
  <cp:revision>2</cp:revision>
  <cp:lastPrinted>2016-02-23T10:51:00Z</cp:lastPrinted>
  <dcterms:created xsi:type="dcterms:W3CDTF">2020-05-26T20:17:00Z</dcterms:created>
  <dcterms:modified xsi:type="dcterms:W3CDTF">2020-05-26T20:17:00Z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fbe90d72-5084-4638-bf69-326c4a78fee7</vt:lpwstr>
  </property>
  <property fmtid="{D5CDD505-2E9C-101B-9397-08002B2CF9AE}" pid="6" name="CTP_TimeStamp">
    <vt:lpwstr>2020-05-26 20:17:28Z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