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E4B6" w14:textId="68779465" w:rsidR="0038295D" w:rsidRPr="009A02E2" w:rsidRDefault="0038295D" w:rsidP="0038295D">
      <w:pPr>
        <w:pStyle w:val="Header"/>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Header"/>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Header"/>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Heading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Heading1"/>
        <w:rPr>
          <w:rStyle w:val="Heading1Char"/>
        </w:rPr>
      </w:pPr>
      <w:r w:rsidRPr="009A02E2">
        <w:rPr>
          <w:rStyle w:val="Heading1Char"/>
        </w:rPr>
        <w:t>2</w:t>
      </w:r>
      <w:r w:rsidR="000702B2" w:rsidRPr="009A02E2">
        <w:rPr>
          <w:rStyle w:val="Heading1Char"/>
        </w:rPr>
        <w:tab/>
      </w:r>
      <w:r w:rsidR="00CF052D" w:rsidRPr="009A02E2">
        <w:rPr>
          <w:rStyle w:val="Heading1Char"/>
        </w:rPr>
        <w:t>Issue to be addressed in RAN1#101-e</w:t>
      </w:r>
    </w:p>
    <w:p w14:paraId="1F312745" w14:textId="441C953A" w:rsidR="00FA7866" w:rsidRPr="009A02E2" w:rsidRDefault="00FA7866" w:rsidP="00FA7866">
      <w:pPr>
        <w:pStyle w:val="BodyText"/>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ListParagraph"/>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ListParagraph"/>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TableGrid"/>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 xml:space="preserve">The proposed option increases the UE complexity (i.e., counting the PDSCH starting time). </w:t>
            </w:r>
            <w:proofErr w:type="gramStart"/>
            <w:r>
              <w:rPr>
                <w:sz w:val="18"/>
                <w:szCs w:val="18"/>
                <w:lang w:val="en-GB"/>
              </w:rPr>
              <w:t>Moreover</w:t>
            </w:r>
            <w:proofErr w:type="gramEnd"/>
            <w:r>
              <w:rPr>
                <w:sz w:val="18"/>
                <w:szCs w:val="18"/>
                <w:lang w:val="en-GB"/>
              </w:rPr>
              <w:t xml:space="preserve"> each option may have its issue. For example, by option-2 the content of DCI (i.e., DAI) will depend on the mapping location of DCI (i.e., CCE index) which is determined after the generating the coded symbol of DCI. Such kind of change should be </w:t>
            </w:r>
            <w:proofErr w:type="gramStart"/>
            <w:r>
              <w:rPr>
                <w:sz w:val="18"/>
                <w:szCs w:val="18"/>
                <w:lang w:val="en-GB"/>
              </w:rPr>
              <w:t>avoid</w:t>
            </w:r>
            <w:proofErr w:type="gramEnd"/>
            <w:r>
              <w:rPr>
                <w:sz w:val="18"/>
                <w:szCs w:val="18"/>
                <w:lang w:val="en-GB"/>
              </w:rPr>
              <w:t>.</w:t>
            </w:r>
          </w:p>
        </w:tc>
      </w:tr>
      <w:tr w:rsidR="007E75CA" w:rsidRPr="009A02E2" w14:paraId="607B8F09" w14:textId="77777777" w:rsidTr="00653661">
        <w:tc>
          <w:tcPr>
            <w:tcW w:w="1413" w:type="dxa"/>
          </w:tcPr>
          <w:p w14:paraId="59BD35FA" w14:textId="6FFBB575" w:rsidR="007E75CA" w:rsidRPr="009A02E2" w:rsidRDefault="007E75CA" w:rsidP="00AF20F7">
            <w:pPr>
              <w:rPr>
                <w:lang w:val="en-GB"/>
              </w:rPr>
            </w:pPr>
            <w:r>
              <w:rPr>
                <w:lang w:val="en-GB"/>
              </w:rPr>
              <w:t>Samsung</w:t>
            </w:r>
          </w:p>
        </w:tc>
        <w:tc>
          <w:tcPr>
            <w:tcW w:w="8216" w:type="dxa"/>
            <w:gridSpan w:val="3"/>
          </w:tcPr>
          <w:p w14:paraId="1AF27F71" w14:textId="77777777" w:rsidR="007E75CA" w:rsidRPr="008836F3" w:rsidRDefault="007E75CA" w:rsidP="007E75CA">
            <w:pPr>
              <w:rPr>
                <w:sz w:val="18"/>
                <w:szCs w:val="18"/>
                <w:lang w:val="en-GB"/>
              </w:rPr>
            </w:pPr>
            <w:r w:rsidRPr="008836F3">
              <w:rPr>
                <w:sz w:val="18"/>
                <w:szCs w:val="18"/>
                <w:lang w:val="en-GB"/>
              </w:rPr>
              <w:t xml:space="preserve">Option 1. Option 2 has the problem that the same CCE index can exist in different CORESETs (CORESET index needs to also be considered) while </w:t>
            </w:r>
            <w:r>
              <w:rPr>
                <w:sz w:val="18"/>
                <w:szCs w:val="18"/>
                <w:lang w:val="en-GB"/>
              </w:rPr>
              <w:t>O</w:t>
            </w:r>
            <w:r w:rsidRPr="008836F3">
              <w:rPr>
                <w:sz w:val="18"/>
                <w:szCs w:val="18"/>
                <w:lang w:val="en-GB"/>
              </w:rPr>
              <w:t>ption 3 offers a somewhat reduced protection for missed DCIs.</w:t>
            </w:r>
          </w:p>
          <w:p w14:paraId="640FC899" w14:textId="77777777" w:rsidR="007E75CA" w:rsidRPr="008836F3" w:rsidRDefault="007E75CA" w:rsidP="007E75CA">
            <w:pPr>
              <w:rPr>
                <w:sz w:val="18"/>
                <w:szCs w:val="18"/>
                <w:lang w:val="en-GB"/>
              </w:rPr>
            </w:pPr>
            <w:r w:rsidRPr="008836F3">
              <w:rPr>
                <w:sz w:val="18"/>
                <w:szCs w:val="18"/>
                <w:lang w:val="en-GB"/>
              </w:rPr>
              <w:t>There was also another proposal from Ericsson that has been missed (use RB index) that we are also OK with.</w:t>
            </w:r>
          </w:p>
          <w:p w14:paraId="4C8F7869" w14:textId="77777777" w:rsidR="007E75CA" w:rsidRPr="008836F3" w:rsidRDefault="007E75CA" w:rsidP="007E75CA">
            <w:pPr>
              <w:rPr>
                <w:sz w:val="18"/>
                <w:szCs w:val="18"/>
                <w:lang w:val="en-GB"/>
              </w:rPr>
            </w:pPr>
            <w:r w:rsidRPr="008836F3">
              <w:rPr>
                <w:sz w:val="18"/>
                <w:szCs w:val="18"/>
                <w:lang w:val="en-GB"/>
              </w:rPr>
              <w:t>Although we were OK (actually proposed) to use different slots for HARQ-ACK feedback in Rel-15, this should not be the case now because:</w:t>
            </w:r>
          </w:p>
          <w:p w14:paraId="1F287B37" w14:textId="77777777" w:rsidR="00E03BCE" w:rsidRPr="00E03BCE" w:rsidRDefault="007E75CA" w:rsidP="00E03BCE">
            <w:pPr>
              <w:pStyle w:val="ListParagraph"/>
              <w:numPr>
                <w:ilvl w:val="0"/>
                <w:numId w:val="44"/>
              </w:numPr>
              <w:spacing w:after="120"/>
              <w:rPr>
                <w:rFonts w:ascii="Times New Roman" w:hAnsi="Times New Roman"/>
                <w:sz w:val="18"/>
                <w:szCs w:val="18"/>
              </w:rPr>
            </w:pPr>
            <w:r w:rsidRPr="008836F3">
              <w:rPr>
                <w:rFonts w:ascii="Times New Roman" w:hAnsi="Times New Roman"/>
                <w:sz w:val="18"/>
                <w:szCs w:val="18"/>
                <w:lang w:val="en-US"/>
              </w:rPr>
              <w:t xml:space="preserve">The use-case for multi-DCI reception at a same MO did not exist in Rel-15 – the whole discussion occurred only </w:t>
            </w:r>
            <w:r w:rsidRPr="00E03BCE">
              <w:rPr>
                <w:rFonts w:ascii="Times New Roman" w:hAnsi="Times New Roman"/>
                <w:sz w:val="18"/>
                <w:szCs w:val="18"/>
                <w:lang w:val="en-US"/>
              </w:rPr>
              <w:t>due because of what was an unintended consequence of some FG decisions. This is not the case in Rel-16 and there is actually a very strong use case (schedule FR2 from FR1)</w:t>
            </w:r>
          </w:p>
          <w:p w14:paraId="2ED946BD" w14:textId="097B240F" w:rsidR="007E75CA" w:rsidRPr="00E03BCE" w:rsidRDefault="007E75CA" w:rsidP="007E75CA">
            <w:pPr>
              <w:pStyle w:val="ListParagraph"/>
              <w:numPr>
                <w:ilvl w:val="0"/>
                <w:numId w:val="44"/>
              </w:numPr>
              <w:rPr>
                <w:rFonts w:ascii="Times New Roman" w:hAnsi="Times New Roman"/>
                <w:sz w:val="18"/>
                <w:szCs w:val="18"/>
              </w:rPr>
            </w:pPr>
            <w:r w:rsidRPr="00E03BCE">
              <w:rPr>
                <w:rFonts w:ascii="Times New Roman" w:hAnsi="Times New Roman"/>
                <w:sz w:val="18"/>
                <w:szCs w:val="18"/>
                <w:lang w:val="de-DE"/>
              </w:rPr>
              <w:t>The number of DCIs in a sam</w:t>
            </w:r>
            <w:r w:rsidRPr="00E03BCE">
              <w:rPr>
                <w:rFonts w:ascii="Times New Roman" w:hAnsi="Times New Roman"/>
                <w:sz w:val="18"/>
                <w:szCs w:val="18"/>
                <w:lang w:val="en-US"/>
              </w:rPr>
              <w:t>e MO is considered to be up to 4 (it was up to 2 in the FG or Rel-15). It would be very difficult to rely on TDM for the HARQ-ACK codebooks in TDD systems and there will be an impact on DL data rates (unlikely that 16 HARQ processes will always suffice)</w:t>
            </w:r>
            <w:r w:rsidR="00E03BCE">
              <w:rPr>
                <w:rFonts w:ascii="Times New Roman" w:hAnsi="Times New Roman"/>
                <w:sz w:val="18"/>
                <w:szCs w:val="18"/>
                <w:lang w:val="en-US"/>
              </w:rPr>
              <w:t xml:space="preserve"> – the whole “schedule FR2 from FR1” feature which was the main reason for cross-cell</w:t>
            </w:r>
            <w:bookmarkStart w:id="1" w:name="_GoBack"/>
            <w:bookmarkEnd w:id="1"/>
            <w:r w:rsidR="00E03BCE">
              <w:rPr>
                <w:rFonts w:ascii="Times New Roman" w:hAnsi="Times New Roman"/>
                <w:sz w:val="18"/>
                <w:szCs w:val="18"/>
                <w:lang w:val="en-US"/>
              </w:rPr>
              <w:t xml:space="preserve"> scheduling with different SCS will be compromised.</w:t>
            </w:r>
          </w:p>
        </w:tc>
      </w:tr>
    </w:tbl>
    <w:p w14:paraId="06CA99B5" w14:textId="77777777" w:rsidR="00FA7866" w:rsidRPr="009A02E2" w:rsidRDefault="00FA7866" w:rsidP="0038295D">
      <w:pPr>
        <w:rPr>
          <w:rFonts w:eastAsia="MS Gothic"/>
        </w:rPr>
      </w:pPr>
    </w:p>
    <w:p w14:paraId="3A609EA3" w14:textId="288989BC" w:rsidR="0038295D" w:rsidRPr="009A02E2" w:rsidRDefault="00CF052D" w:rsidP="0038295D">
      <w:pPr>
        <w:pStyle w:val="Heading1"/>
        <w:rPr>
          <w:rStyle w:val="Heading1Char"/>
        </w:rPr>
      </w:pPr>
      <w:r w:rsidRPr="009A02E2">
        <w:rPr>
          <w:rStyle w:val="Heading1Char"/>
        </w:rPr>
        <w:t>3</w:t>
      </w:r>
      <w:r w:rsidR="0038295D" w:rsidRPr="009A02E2">
        <w:rPr>
          <w:rStyle w:val="Heading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Heading1"/>
        <w:rPr>
          <w:rStyle w:val="Heading1Char"/>
        </w:rPr>
      </w:pPr>
      <w:r w:rsidRPr="009A02E2">
        <w:rPr>
          <w:rStyle w:val="Heading1Char"/>
        </w:rPr>
        <w:t>References</w:t>
      </w:r>
    </w:p>
    <w:p w14:paraId="48738CA8" w14:textId="45BF99CD" w:rsidR="00461CBB" w:rsidRPr="009A02E2" w:rsidRDefault="00461CBB" w:rsidP="00461CBB">
      <w:pPr>
        <w:pStyle w:val="ListParagraph"/>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 xml:space="preserve">R1-2003508, </w:t>
      </w:r>
      <w:proofErr w:type="spellStart"/>
      <w:r w:rsidRPr="009A02E2">
        <w:rPr>
          <w:rFonts w:ascii="Arial" w:hAnsi="Arial" w:cs="Arial"/>
          <w:sz w:val="20"/>
          <w:szCs w:val="20"/>
          <w:lang w:val="en-GB"/>
        </w:rPr>
        <w:t>Remaing</w:t>
      </w:r>
      <w:proofErr w:type="spellEnd"/>
      <w:r w:rsidRPr="009A02E2">
        <w:rPr>
          <w:rFonts w:ascii="Arial" w:hAnsi="Arial" w:cs="Arial"/>
          <w:sz w:val="20"/>
          <w:szCs w:val="20"/>
          <w:lang w:val="en-GB"/>
        </w:rPr>
        <w:t xml:space="preserve"> issues on cross-carrier scheduling with different numerology, Huawei, </w:t>
      </w:r>
      <w:proofErr w:type="spellStart"/>
      <w:r w:rsidRPr="009A02E2">
        <w:rPr>
          <w:rFonts w:ascii="Arial" w:hAnsi="Arial" w:cs="Arial"/>
          <w:sz w:val="20"/>
          <w:szCs w:val="20"/>
          <w:lang w:val="en-GB"/>
        </w:rPr>
        <w:t>HiSilicon</w:t>
      </w:r>
      <w:proofErr w:type="spellEnd"/>
    </w:p>
    <w:p w14:paraId="331ED59F" w14:textId="5BBA768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D35CF" w14:textId="77777777" w:rsidR="008A6AA5" w:rsidRDefault="008A6AA5">
      <w:r>
        <w:separator/>
      </w:r>
    </w:p>
  </w:endnote>
  <w:endnote w:type="continuationSeparator" w:id="0">
    <w:p w14:paraId="41580802" w14:textId="77777777" w:rsidR="008A6AA5" w:rsidRDefault="008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67C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67C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BABBF" w14:textId="77777777" w:rsidR="008A6AA5" w:rsidRDefault="008A6AA5">
      <w:r>
        <w:separator/>
      </w:r>
    </w:p>
  </w:footnote>
  <w:footnote w:type="continuationSeparator" w:id="0">
    <w:p w14:paraId="35121530" w14:textId="77777777" w:rsidR="008A6AA5" w:rsidRDefault="008A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A87D3F"/>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8"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3"/>
  </w:num>
  <w:num w:numId="3">
    <w:abstractNumId w:val="15"/>
  </w:num>
  <w:num w:numId="4">
    <w:abstractNumId w:val="16"/>
  </w:num>
  <w:num w:numId="5">
    <w:abstractNumId w:val="9"/>
  </w:num>
  <w:num w:numId="6">
    <w:abstractNumId w:val="21"/>
  </w:num>
  <w:num w:numId="7">
    <w:abstractNumId w:val="29"/>
  </w:num>
  <w:num w:numId="8">
    <w:abstractNumId w:val="10"/>
  </w:num>
  <w:num w:numId="9">
    <w:abstractNumId w:val="8"/>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30"/>
  </w:num>
  <w:num w:numId="17">
    <w:abstractNumId w:val="6"/>
  </w:num>
  <w:num w:numId="18">
    <w:abstractNumId w:val="7"/>
  </w:num>
  <w:num w:numId="19">
    <w:abstractNumId w:val="4"/>
  </w:num>
  <w:num w:numId="20">
    <w:abstractNumId w:val="40"/>
  </w:num>
  <w:num w:numId="21">
    <w:abstractNumId w:val="11"/>
  </w:num>
  <w:num w:numId="22">
    <w:abstractNumId w:val="35"/>
  </w:num>
  <w:num w:numId="23">
    <w:abstractNumId w:val="22"/>
  </w:num>
  <w:num w:numId="24">
    <w:abstractNumId w:val="13"/>
  </w:num>
  <w:num w:numId="25">
    <w:abstractNumId w:val="33"/>
  </w:num>
  <w:num w:numId="26">
    <w:abstractNumId w:val="36"/>
  </w:num>
  <w:num w:numId="27">
    <w:abstractNumId w:val="42"/>
  </w:num>
  <w:num w:numId="28">
    <w:abstractNumId w:val="32"/>
  </w:num>
  <w:num w:numId="29">
    <w:abstractNumId w:val="27"/>
  </w:num>
  <w:num w:numId="30">
    <w:abstractNumId w:val="5"/>
  </w:num>
  <w:num w:numId="31">
    <w:abstractNumId w:val="12"/>
  </w:num>
  <w:num w:numId="32">
    <w:abstractNumId w:val="24"/>
  </w:num>
  <w:num w:numId="33">
    <w:abstractNumId w:val="38"/>
  </w:num>
  <w:num w:numId="34">
    <w:abstractNumId w:val="34"/>
  </w:num>
  <w:num w:numId="35">
    <w:abstractNumId w:val="37"/>
  </w:num>
  <w:num w:numId="36">
    <w:abstractNumId w:val="14"/>
  </w:num>
  <w:num w:numId="37">
    <w:abstractNumId w:val="41"/>
  </w:num>
  <w:num w:numId="38">
    <w:abstractNumId w:val="39"/>
  </w:num>
  <w:num w:numId="39">
    <w:abstractNumId w:val="17"/>
  </w:num>
  <w:num w:numId="40">
    <w:abstractNumId w:val="20"/>
  </w:num>
  <w:num w:numId="41">
    <w:abstractNumId w:val="43"/>
  </w:num>
  <w:num w:numId="42">
    <w:abstractNumId w:val="31"/>
  </w:num>
  <w:num w:numId="43">
    <w:abstractNumId w:val="28"/>
  </w:num>
  <w:num w:numId="4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E75CA"/>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6AA5"/>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3BCE"/>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F4F5-39B5-4074-AEEC-DFAED662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Aris P.</cp:lastModifiedBy>
  <cp:revision>3</cp:revision>
  <cp:lastPrinted>2008-01-31T07:09:00Z</cp:lastPrinted>
  <dcterms:created xsi:type="dcterms:W3CDTF">2020-05-26T15:41:00Z</dcterms:created>
  <dcterms:modified xsi:type="dcterms:W3CDTF">2020-05-26T15:43:00Z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