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9F669" w14:textId="2E32BC61" w:rsidR="00B15BA4" w:rsidRPr="00D74B92" w:rsidRDefault="00B15BA4" w:rsidP="00B15BA4">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4A7CA77" wp14:editId="040F00E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5473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101</w:t>
      </w:r>
      <w:r w:rsidR="00F62816">
        <w:rPr>
          <w:rFonts w:ascii="Arial" w:hAnsi="Arial" w:cs="Arial"/>
          <w:b/>
          <w:kern w:val="2"/>
          <w:lang w:eastAsia="zh-CN"/>
        </w:rPr>
        <w:t>-e</w:t>
      </w:r>
      <w:r w:rsidRPr="00D74B92">
        <w:rPr>
          <w:rFonts w:ascii="Arial" w:hAnsi="Arial" w:cs="Arial"/>
          <w:b/>
          <w:kern w:val="2"/>
          <w:lang w:eastAsia="zh-CN"/>
        </w:rPr>
        <w:tab/>
        <w:t>R1-</w:t>
      </w:r>
      <w:r>
        <w:rPr>
          <w:rFonts w:ascii="Arial" w:hAnsi="Arial" w:cs="Arial"/>
          <w:b/>
          <w:kern w:val="2"/>
          <w:lang w:eastAsia="zh-CN"/>
        </w:rPr>
        <w:t>200</w:t>
      </w:r>
      <w:r w:rsidR="00F62816">
        <w:rPr>
          <w:rFonts w:ascii="Arial" w:hAnsi="Arial" w:cs="Arial"/>
          <w:b/>
          <w:kern w:val="2"/>
          <w:lang w:eastAsia="zh-CN"/>
        </w:rPr>
        <w:t>3285</w:t>
      </w:r>
    </w:p>
    <w:p w14:paraId="21CEC6A7" w14:textId="77777777" w:rsidR="00B15BA4" w:rsidRPr="007F5EC6" w:rsidRDefault="00B15BA4" w:rsidP="00B15BA4">
      <w:pPr>
        <w:jc w:val="left"/>
        <w:rPr>
          <w:rFonts w:ascii="Arial" w:hAnsi="Arial" w:cs="Arial"/>
          <w:b/>
          <w:kern w:val="2"/>
          <w:lang w:eastAsia="zh-CN"/>
        </w:rPr>
      </w:pPr>
      <w:r>
        <w:rPr>
          <w:rFonts w:ascii="Arial" w:hAnsi="Arial" w:cs="Arial"/>
          <w:b/>
          <w:kern w:val="2"/>
          <w:lang w:eastAsia="zh-CN"/>
        </w:rPr>
        <w:t>e-Meeting, May 25</w:t>
      </w:r>
      <w:r w:rsidRPr="00163988">
        <w:rPr>
          <w:rFonts w:ascii="Arial" w:hAnsi="Arial" w:cs="Arial"/>
          <w:b/>
          <w:kern w:val="2"/>
          <w:vertAlign w:val="superscript"/>
          <w:lang w:eastAsia="zh-CN"/>
        </w:rPr>
        <w:t>th</w:t>
      </w:r>
      <w:r>
        <w:rPr>
          <w:rFonts w:ascii="Arial" w:hAnsi="Arial" w:cs="Arial"/>
          <w:b/>
          <w:kern w:val="2"/>
          <w:lang w:eastAsia="zh-CN"/>
        </w:rPr>
        <w:t>-June 5</w:t>
      </w:r>
      <w:r w:rsidRPr="00163988">
        <w:rPr>
          <w:rFonts w:ascii="Arial" w:hAnsi="Arial" w:cs="Arial"/>
          <w:b/>
          <w:kern w:val="2"/>
          <w:vertAlign w:val="superscript"/>
          <w:lang w:eastAsia="zh-CN"/>
        </w:rPr>
        <w:t>th</w:t>
      </w:r>
      <w:r>
        <w:rPr>
          <w:rFonts w:ascii="Arial" w:hAnsi="Arial" w:cs="Arial"/>
          <w:b/>
          <w:kern w:val="2"/>
          <w:lang w:eastAsia="zh-CN"/>
        </w:rPr>
        <w:t xml:space="preserve">, </w:t>
      </w:r>
      <w:r w:rsidRPr="00D74B92">
        <w:rPr>
          <w:rFonts w:ascii="Arial" w:hAnsi="Arial" w:cs="Arial"/>
          <w:b/>
          <w:kern w:val="2"/>
          <w:lang w:eastAsia="zh-CN"/>
        </w:rPr>
        <w:t>20</w:t>
      </w:r>
      <w:r>
        <w:rPr>
          <w:rFonts w:ascii="Arial" w:hAnsi="Arial" w:cs="Arial"/>
          <w:b/>
          <w:kern w:val="2"/>
          <w:lang w:eastAsia="zh-CN"/>
        </w:rPr>
        <w:t>20</w:t>
      </w:r>
    </w:p>
    <w:p w14:paraId="7826937B" w14:textId="7667BD2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B4A48">
        <w:rPr>
          <w:rFonts w:ascii="Arial" w:hAnsi="Arial" w:cs="Arial"/>
          <w:b/>
          <w:lang w:eastAsia="zh-CN"/>
        </w:rPr>
        <w:t>8.</w:t>
      </w:r>
      <w:r w:rsidR="00463285">
        <w:rPr>
          <w:rFonts w:ascii="Arial" w:hAnsi="Arial" w:cs="Arial"/>
          <w:b/>
          <w:lang w:eastAsia="zh-CN"/>
        </w:rPr>
        <w:t>2</w:t>
      </w:r>
      <w:r w:rsidR="00CB4A48">
        <w:rPr>
          <w:rFonts w:ascii="Arial" w:hAnsi="Arial" w:cs="Arial"/>
          <w:b/>
          <w:lang w:eastAsia="zh-CN"/>
        </w:rPr>
        <w:t>.</w:t>
      </w:r>
      <w:r w:rsidR="00E85A92">
        <w:rPr>
          <w:rFonts w:ascii="Arial" w:hAnsi="Arial" w:cs="Arial"/>
          <w:b/>
          <w:lang w:eastAsia="zh-CN"/>
        </w:rPr>
        <w:t>3</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344393AD"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63285">
        <w:rPr>
          <w:rFonts w:ascii="Arial" w:hAnsi="Arial" w:cs="Arial"/>
          <w:b/>
          <w:lang w:eastAsia="zh-CN"/>
        </w:rPr>
        <w:t xml:space="preserve">IIOT </w:t>
      </w:r>
      <w:r w:rsidR="00E85A92" w:rsidRPr="00E85A92">
        <w:rPr>
          <w:rFonts w:ascii="Arial" w:hAnsi="Arial" w:cs="Arial"/>
          <w:b/>
          <w:lang w:eastAsia="zh-CN"/>
        </w:rPr>
        <w:t xml:space="preserve">Positioning </w:t>
      </w:r>
      <w:r w:rsidR="00463285">
        <w:rPr>
          <w:rFonts w:ascii="Arial" w:hAnsi="Arial" w:cs="Arial"/>
          <w:b/>
          <w:lang w:eastAsia="zh-CN"/>
        </w:rPr>
        <w:t>T</w:t>
      </w:r>
      <w:r w:rsidR="00E85A92" w:rsidRPr="00E85A92">
        <w:rPr>
          <w:rFonts w:ascii="Arial" w:hAnsi="Arial" w:cs="Arial"/>
          <w:b/>
          <w:lang w:eastAsia="zh-CN"/>
        </w:rPr>
        <w:t xml:space="preserve">echniques </w:t>
      </w:r>
      <w:r w:rsidR="00463285">
        <w:rPr>
          <w:rFonts w:ascii="Arial" w:hAnsi="Arial" w:cs="Arial"/>
          <w:b/>
          <w:lang w:eastAsia="zh-CN"/>
        </w:rPr>
        <w:t xml:space="preserve">Consideration </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DC5F11E" w14:textId="661E0116" w:rsidR="00817C94" w:rsidRDefault="00CB4A48" w:rsidP="00CB4A48">
      <w:pPr>
        <w:spacing w:beforeLines="50" w:before="120"/>
        <w:rPr>
          <w:lang w:val="en-GB"/>
        </w:rPr>
      </w:pPr>
      <w:r>
        <w:rPr>
          <w:lang w:val="en-GB"/>
        </w:rPr>
        <w:t xml:space="preserve">In 3GPP RAN Meeting #86, a new </w:t>
      </w:r>
      <w:r w:rsidR="00817C94">
        <w:rPr>
          <w:lang w:val="en-GB"/>
        </w:rPr>
        <w:t>Study I</w:t>
      </w:r>
      <w:r>
        <w:rPr>
          <w:lang w:val="en-GB"/>
        </w:rPr>
        <w:t xml:space="preserve">tem on Further Study on NR Positioning Enhancements was approved </w:t>
      </w:r>
      <w:r w:rsidR="00817C94">
        <w:rPr>
          <w:lang w:val="en-GB"/>
        </w:rPr>
        <w:t xml:space="preserve">in </w:t>
      </w:r>
      <w:r>
        <w:rPr>
          <w:lang w:val="en-GB"/>
        </w:rPr>
        <w:t>RP</w:t>
      </w:r>
      <w:r w:rsidR="00817C94">
        <w:rPr>
          <w:lang w:val="en-GB"/>
        </w:rPr>
        <w:t>-</w:t>
      </w:r>
      <w:r>
        <w:rPr>
          <w:lang w:val="en-GB"/>
        </w:rPr>
        <w:t>193237</w:t>
      </w:r>
      <w:r w:rsidR="00817C94">
        <w:rPr>
          <w:lang w:val="en-GB"/>
        </w:rPr>
        <w:t xml:space="preserve"> with the following </w:t>
      </w:r>
      <w:r>
        <w:rPr>
          <w:lang w:val="en-GB"/>
        </w:rPr>
        <w:t>objectives</w:t>
      </w:r>
      <w:r w:rsidR="00817C94">
        <w:rPr>
          <w:lang w:val="en-GB"/>
        </w:rPr>
        <w:t>:</w:t>
      </w:r>
    </w:p>
    <w:p w14:paraId="1B6EFFC8" w14:textId="77777777" w:rsidR="00817C94" w:rsidRPr="007346BD" w:rsidRDefault="00817C94" w:rsidP="00817C94">
      <w:pPr>
        <w:ind w:right="-99"/>
        <w:rPr>
          <w:i/>
          <w:lang w:eastAsia="ja-JP"/>
        </w:rPr>
      </w:pPr>
      <w:r>
        <w:rPr>
          <w:i/>
          <w:lang w:eastAsia="ja-JP"/>
        </w:rPr>
        <w:t>“</w:t>
      </w:r>
      <w:r w:rsidRPr="007346BD">
        <w:rPr>
          <w:i/>
          <w:lang w:eastAsia="ja-JP"/>
        </w:rPr>
        <w:t>This study item includes the following objectives:</w:t>
      </w:r>
    </w:p>
    <w:p w14:paraId="0C5759C6" w14:textId="77777777" w:rsidR="00817C94" w:rsidRPr="007346BD" w:rsidRDefault="00817C94" w:rsidP="00817C94">
      <w:pPr>
        <w:numPr>
          <w:ilvl w:val="0"/>
          <w:numId w:val="4"/>
        </w:numPr>
        <w:overflowPunct w:val="0"/>
        <w:snapToGrid/>
        <w:spacing w:after="180"/>
        <w:ind w:right="-99"/>
        <w:jc w:val="left"/>
        <w:textAlignment w:val="baseline"/>
        <w:rPr>
          <w:i/>
          <w:lang w:eastAsia="ja-JP"/>
        </w:rPr>
      </w:pPr>
      <w:r w:rsidRPr="007346BD">
        <w:rPr>
          <w:i/>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E1BCAAA" w14:textId="77777777" w:rsidR="00817C94" w:rsidRDefault="00817C94" w:rsidP="00817C94">
      <w:pPr>
        <w:numPr>
          <w:ilvl w:val="1"/>
          <w:numId w:val="4"/>
        </w:numPr>
        <w:overflowPunct w:val="0"/>
        <w:snapToGrid/>
        <w:spacing w:after="180"/>
        <w:ind w:right="-99"/>
        <w:jc w:val="left"/>
        <w:textAlignment w:val="baseline"/>
        <w:rPr>
          <w:i/>
          <w:lang w:eastAsia="ja-JP"/>
        </w:rPr>
      </w:pPr>
      <w:r w:rsidRPr="007346BD">
        <w:rPr>
          <w:i/>
          <w:lang w:eastAsia="ja-JP"/>
        </w:rPr>
        <w:t>Define additional scenarios (e.g. (I)IoT) based on TR 38.901 to evaluate the performance for the use cases (e.g. (I)IoT). [RAN1]</w:t>
      </w:r>
    </w:p>
    <w:p w14:paraId="5B3A850B" w14:textId="77777777" w:rsidR="00817C94" w:rsidRDefault="00817C94" w:rsidP="00817C94">
      <w:pPr>
        <w:numPr>
          <w:ilvl w:val="1"/>
          <w:numId w:val="4"/>
        </w:numPr>
        <w:overflowPunct w:val="0"/>
        <w:snapToGrid/>
        <w:spacing w:after="180"/>
        <w:ind w:right="-99"/>
        <w:jc w:val="left"/>
        <w:textAlignment w:val="baseline"/>
        <w:rPr>
          <w:i/>
          <w:lang w:eastAsia="ja-JP"/>
        </w:rPr>
      </w:pPr>
      <w:r w:rsidRPr="00645E98">
        <w:rPr>
          <w:i/>
          <w:lang w:eastAsia="ja-JP"/>
        </w:rPr>
        <w:t>Evaluate the achievable positioning accuracy and latency with the Rel-16 positioning solutions in (I)IoT scenarios and identify any performance gaps. [RAN1]</w:t>
      </w:r>
    </w:p>
    <w:p w14:paraId="6F0ED40E" w14:textId="15FBC96E" w:rsidR="00817C94" w:rsidRPr="007F4B03" w:rsidRDefault="00817C94" w:rsidP="00817C94">
      <w:pPr>
        <w:numPr>
          <w:ilvl w:val="1"/>
          <w:numId w:val="4"/>
        </w:numPr>
        <w:overflowPunct w:val="0"/>
        <w:snapToGrid/>
        <w:spacing w:after="180"/>
        <w:ind w:right="-99"/>
        <w:jc w:val="left"/>
        <w:textAlignment w:val="baseline"/>
        <w:rPr>
          <w:i/>
          <w:lang w:eastAsia="ja-JP"/>
        </w:rPr>
      </w:pPr>
      <w:r w:rsidRPr="007F4B03">
        <w:rPr>
          <w:i/>
          <w:lang w:eastAsia="ja-JP"/>
        </w:rPr>
        <w:t xml:space="preserve">Identify and evaluate positioning techniques, DL/UL positioning reference signals, signaling and procedures </w:t>
      </w:r>
      <w:r w:rsidRPr="007F4B03">
        <w:rPr>
          <w:i/>
        </w:rPr>
        <w:t>for improved accuracy, reduced latency,</w:t>
      </w:r>
      <w:r w:rsidRPr="007F4B03">
        <w:rPr>
          <w:i/>
          <w:lang w:eastAsia="ja-JP"/>
        </w:rPr>
        <w:t xml:space="preserve"> network efficiency, and device efficiency</w:t>
      </w:r>
      <w:r w:rsidRPr="007F4B03">
        <w:rPr>
          <w:i/>
        </w:rPr>
        <w:t>.</w:t>
      </w:r>
      <w:r w:rsidR="00F62816">
        <w:rPr>
          <w:i/>
        </w:rPr>
        <w:t xml:space="preserve"> </w:t>
      </w:r>
      <w:r w:rsidRPr="007F4B03">
        <w:rPr>
          <w:i/>
          <w:lang w:eastAsia="ja-JP"/>
        </w:rPr>
        <w:t>Enhancements to Rel-16 positioning techniques, if they meet the requirements, will be prioritized, and new techniques will not be considered in this case. [RAN1, RAN2]</w:t>
      </w:r>
    </w:p>
    <w:p w14:paraId="26EA0DDB" w14:textId="77777777" w:rsidR="00817C94" w:rsidRPr="007F4B03" w:rsidRDefault="00817C94" w:rsidP="00817C94">
      <w:pPr>
        <w:pStyle w:val="NO"/>
        <w:ind w:left="1530" w:hanging="900"/>
        <w:rPr>
          <w:i/>
          <w:lang w:val="en-US" w:eastAsia="ja-JP"/>
        </w:rPr>
      </w:pPr>
      <w:r w:rsidRPr="007F4B03">
        <w:rPr>
          <w:i/>
          <w:lang w:val="en-US" w:eastAsia="ja-JP"/>
        </w:rPr>
        <w:t>NOTE 1:</w:t>
      </w:r>
      <w:r w:rsidRPr="007F4B03">
        <w:rPr>
          <w:i/>
          <w:lang w:val="en-US" w:eastAsia="ja-JP"/>
        </w:rPr>
        <w:tab/>
      </w:r>
      <w:proofErr w:type="spellStart"/>
      <w:r w:rsidRPr="007F4B03">
        <w:rPr>
          <w:i/>
          <w:lang w:val="en-US" w:eastAsia="ja-JP"/>
        </w:rPr>
        <w:t>Sidelink</w:t>
      </w:r>
      <w:proofErr w:type="spellEnd"/>
      <w:r w:rsidRPr="007F4B03">
        <w:rPr>
          <w:i/>
          <w:lang w:val="en-US" w:eastAsia="ja-JP"/>
        </w:rPr>
        <w:t xml:space="preserve"> is not part of this objective</w:t>
      </w:r>
      <w:r w:rsidRPr="007F4B03">
        <w:rPr>
          <w:i/>
          <w:lang w:eastAsia="zh-CN"/>
        </w:rPr>
        <w:t>.</w:t>
      </w:r>
      <w:r>
        <w:rPr>
          <w:i/>
          <w:lang w:eastAsia="zh-CN"/>
        </w:rPr>
        <w:t>”</w:t>
      </w:r>
    </w:p>
    <w:p w14:paraId="3FF49E95" w14:textId="6762C5AF" w:rsidR="0006587A" w:rsidRDefault="00D47C8B" w:rsidP="00CB4A48">
      <w:pPr>
        <w:spacing w:beforeLines="50" w:before="120"/>
        <w:rPr>
          <w:lang w:val="en-GB"/>
        </w:rPr>
      </w:pPr>
      <w:r>
        <w:rPr>
          <w:lang w:val="en-GB"/>
        </w:rPr>
        <w:t xml:space="preserve">This study aims at </w:t>
      </w:r>
      <w:r w:rsidR="0006587A">
        <w:rPr>
          <w:lang w:val="en-GB"/>
        </w:rPr>
        <w:t xml:space="preserve">greater accuracy </w:t>
      </w:r>
      <w:r>
        <w:rPr>
          <w:lang w:val="en-GB"/>
        </w:rPr>
        <w:t>improvements over Release 16 wit</w:t>
      </w:r>
      <w:r w:rsidR="0006587A">
        <w:rPr>
          <w:lang w:val="en-GB"/>
        </w:rPr>
        <w:t>h the following guidance provided in the SID:</w:t>
      </w:r>
    </w:p>
    <w:p w14:paraId="7E34D409" w14:textId="77777777" w:rsidR="0006587A" w:rsidRPr="009F7D99" w:rsidRDefault="0006587A" w:rsidP="0006587A">
      <w:pPr>
        <w:spacing w:after="0"/>
        <w:ind w:firstLine="720"/>
        <w:rPr>
          <w:i/>
        </w:rPr>
      </w:pPr>
      <w:r w:rsidRPr="009F7D99">
        <w:rPr>
          <w:i/>
        </w:rPr>
        <w:t>For general commercial use cases (e.g., TS 22.261):</w:t>
      </w:r>
    </w:p>
    <w:p w14:paraId="4BB75741" w14:textId="77777777" w:rsidR="0006587A" w:rsidRPr="009F7D99" w:rsidRDefault="0006587A" w:rsidP="0006587A">
      <w:pPr>
        <w:spacing w:after="0"/>
        <w:rPr>
          <w:i/>
        </w:rPr>
      </w:pPr>
      <w:r w:rsidRPr="009F7D99">
        <w:rPr>
          <w:i/>
        </w:rPr>
        <w:tab/>
      </w:r>
      <w:r w:rsidRPr="009F7D99">
        <w:rPr>
          <w:i/>
        </w:rPr>
        <w:tab/>
        <w:t>- sub-meter level position accuracy (&lt; 1 m)</w:t>
      </w:r>
    </w:p>
    <w:p w14:paraId="539B275D" w14:textId="77777777" w:rsidR="0006587A" w:rsidRPr="009F7D99" w:rsidRDefault="0006587A" w:rsidP="0006587A">
      <w:pPr>
        <w:spacing w:after="0"/>
        <w:ind w:firstLine="720"/>
        <w:rPr>
          <w:i/>
        </w:rPr>
      </w:pPr>
      <w:r w:rsidRPr="009F7D99">
        <w:rPr>
          <w:i/>
        </w:rPr>
        <w:t xml:space="preserve">(b) For </w:t>
      </w:r>
      <w:proofErr w:type="spellStart"/>
      <w:r w:rsidRPr="009F7D99">
        <w:rPr>
          <w:i/>
        </w:rPr>
        <w:t>IIoT</w:t>
      </w:r>
      <w:proofErr w:type="spellEnd"/>
      <w:r w:rsidRPr="009F7D99">
        <w:rPr>
          <w:i/>
        </w:rPr>
        <w:t xml:space="preserve"> Use Cases (e.g., 22.804):</w:t>
      </w:r>
    </w:p>
    <w:p w14:paraId="0241F0F5" w14:textId="77777777" w:rsidR="0006587A" w:rsidRPr="009F7D99" w:rsidRDefault="0006587A" w:rsidP="0006587A">
      <w:pPr>
        <w:spacing w:after="0"/>
        <w:rPr>
          <w:i/>
        </w:rPr>
      </w:pPr>
      <w:r w:rsidRPr="009F7D99">
        <w:rPr>
          <w:i/>
        </w:rPr>
        <w:tab/>
      </w:r>
      <w:r w:rsidRPr="009F7D99">
        <w:rPr>
          <w:i/>
        </w:rPr>
        <w:tab/>
        <w:t>- position accuracy &lt; 0.2 m</w:t>
      </w:r>
    </w:p>
    <w:p w14:paraId="6182C115" w14:textId="36C59622" w:rsidR="0006587A" w:rsidRDefault="0006587A" w:rsidP="00D47C8B">
      <w:pPr>
        <w:spacing w:beforeLines="50" w:before="120"/>
        <w:ind w:left="850"/>
        <w:rPr>
          <w:lang w:val="en-GB"/>
        </w:rPr>
      </w:pPr>
      <w:r w:rsidRPr="009F7D99">
        <w:rPr>
          <w:i/>
        </w:rPr>
        <w:t xml:space="preserve">The target latency requirement is &lt; 100 </w:t>
      </w:r>
      <w:proofErr w:type="spellStart"/>
      <w:r w:rsidRPr="009F7D99">
        <w:rPr>
          <w:i/>
        </w:rPr>
        <w:t>ms</w:t>
      </w:r>
      <w:proofErr w:type="spellEnd"/>
      <w:r w:rsidRPr="009F7D99">
        <w:rPr>
          <w:i/>
        </w:rPr>
        <w:t xml:space="preserve">; for some </w:t>
      </w:r>
      <w:proofErr w:type="spellStart"/>
      <w:r w:rsidRPr="009F7D99">
        <w:rPr>
          <w:i/>
        </w:rPr>
        <w:t>IIoT</w:t>
      </w:r>
      <w:proofErr w:type="spellEnd"/>
      <w:r w:rsidRPr="009F7D99">
        <w:rPr>
          <w:i/>
        </w:rPr>
        <w:t xml:space="preserve"> use cases, latency in the order of 10 </w:t>
      </w:r>
      <w:proofErr w:type="spellStart"/>
      <w:r w:rsidRPr="009F7D99">
        <w:rPr>
          <w:i/>
        </w:rPr>
        <w:t>ms</w:t>
      </w:r>
      <w:proofErr w:type="spellEnd"/>
      <w:r w:rsidRPr="009F7D99">
        <w:rPr>
          <w:i/>
        </w:rPr>
        <w:t xml:space="preserve"> is desired</w:t>
      </w:r>
      <w:r>
        <w:t>.”</w:t>
      </w:r>
    </w:p>
    <w:p w14:paraId="0349886D" w14:textId="669FA097" w:rsidR="007F4CA2" w:rsidRDefault="00CB4A48" w:rsidP="00CB4A48">
      <w:pPr>
        <w:spacing w:beforeLines="50" w:before="120"/>
        <w:rPr>
          <w:lang w:val="en-GB"/>
        </w:rPr>
      </w:pPr>
      <w:r>
        <w:rPr>
          <w:rFonts w:hint="eastAsia"/>
          <w:lang w:val="en-GB"/>
        </w:rPr>
        <w:t>In this contribution</w:t>
      </w:r>
      <w:r w:rsidR="007078F3">
        <w:rPr>
          <w:lang w:val="en-GB"/>
        </w:rPr>
        <w:t xml:space="preserve">, </w:t>
      </w:r>
      <w:r w:rsidR="00D47C8B">
        <w:rPr>
          <w:lang w:val="en-GB"/>
        </w:rPr>
        <w:t xml:space="preserve">some potential </w:t>
      </w:r>
      <w:r w:rsidR="007F4CA2">
        <w:rPr>
          <w:lang w:val="en-GB"/>
        </w:rPr>
        <w:t xml:space="preserve">enhancements </w:t>
      </w:r>
      <w:r w:rsidR="00D47C8B">
        <w:rPr>
          <w:lang w:val="en-GB"/>
        </w:rPr>
        <w:t>are described including o</w:t>
      </w:r>
      <w:r w:rsidR="007F4CA2">
        <w:rPr>
          <w:lang w:val="en-GB"/>
        </w:rPr>
        <w:t>ur views on their effectiveness</w:t>
      </w:r>
      <w:r w:rsidR="0006587A">
        <w:rPr>
          <w:lang w:val="en-GB"/>
        </w:rPr>
        <w:t xml:space="preserve"> and complexities.</w:t>
      </w:r>
    </w:p>
    <w:p w14:paraId="4B8E4630" w14:textId="77777777" w:rsidR="007078F3" w:rsidRDefault="007078F3" w:rsidP="00CB4A48">
      <w:pPr>
        <w:spacing w:beforeLines="50" w:before="120"/>
        <w:rPr>
          <w:lang w:val="en-GB"/>
        </w:rPr>
      </w:pPr>
    </w:p>
    <w:p w14:paraId="35954F20" w14:textId="628E81E0" w:rsidR="00816E9B" w:rsidRPr="00D74B92" w:rsidRDefault="00817C94" w:rsidP="00493C77">
      <w:pPr>
        <w:pStyle w:val="Heading1"/>
      </w:pPr>
      <w:r>
        <w:t xml:space="preserve">Discussions </w:t>
      </w:r>
      <w:r w:rsidR="00CB4A48">
        <w:t xml:space="preserve"> </w:t>
      </w:r>
    </w:p>
    <w:p w14:paraId="50CFD133" w14:textId="4F277EDC" w:rsidR="00AA2104" w:rsidRDefault="00AA2104" w:rsidP="00AA2104">
      <w:pPr>
        <w:spacing w:after="60"/>
      </w:pPr>
      <w:bookmarkStart w:id="2" w:name="_Ref129681832"/>
      <w:r>
        <w:t xml:space="preserve">The recently completed Rel-16 Positioning WI specifies various location technologies to support regulatory as well as commercial use cases with horizontal positioning requirements for commercial use cases at &lt;3 m (80%) for indoor scenarios and &lt;10 m (80%) for outdoor scenarios. Since evaluation was done </w:t>
      </w:r>
      <w:r w:rsidR="00D47C8B">
        <w:t>initially d</w:t>
      </w:r>
      <w:r>
        <w:t xml:space="preserve">uring </w:t>
      </w:r>
      <w:r w:rsidR="00D47C8B">
        <w:t>the Release 16 Positioning study phase</w:t>
      </w:r>
      <w:r>
        <w:t xml:space="preserve">, one of the tasks </w:t>
      </w:r>
      <w:r w:rsidR="00D47C8B">
        <w:t xml:space="preserve">for RAN1 now </w:t>
      </w:r>
      <w:r>
        <w:t xml:space="preserve">is to evaluate the performance of </w:t>
      </w:r>
      <w:r w:rsidR="00D47C8B">
        <w:t xml:space="preserve">the standardized </w:t>
      </w:r>
      <w:r>
        <w:t>Release 16 Positioning to ascertain its attainable performance</w:t>
      </w:r>
      <w:r w:rsidR="00D47C8B">
        <w:t xml:space="preserve">. Based on that, we can then determine the performance </w:t>
      </w:r>
      <w:r>
        <w:t>gap relative to the Release 17 performance goals.</w:t>
      </w:r>
    </w:p>
    <w:p w14:paraId="58DE6DAC" w14:textId="7FB4B961" w:rsidR="00B411C6" w:rsidRDefault="00D47C8B" w:rsidP="00CB4A48">
      <w:pPr>
        <w:spacing w:beforeLines="50" w:before="120"/>
        <w:rPr>
          <w:lang w:val="en-GB"/>
        </w:rPr>
      </w:pPr>
      <w:r>
        <w:lastRenderedPageBreak/>
        <w:t>In [</w:t>
      </w:r>
      <w:r w:rsidR="00776B2B">
        <w:t>1</w:t>
      </w:r>
      <w:r w:rsidR="00016A05">
        <w:t xml:space="preserve">], we </w:t>
      </w:r>
      <w:r>
        <w:t xml:space="preserve">have emphasized the important issues of </w:t>
      </w:r>
      <w:r w:rsidR="00016A05">
        <w:rPr>
          <w:lang w:eastAsia="ja-JP"/>
        </w:rPr>
        <w:t xml:space="preserve">proper modeling of the </w:t>
      </w:r>
      <w:r>
        <w:rPr>
          <w:lang w:eastAsia="ja-JP"/>
        </w:rPr>
        <w:t xml:space="preserve">indoor IIOT deployments to </w:t>
      </w:r>
      <w:r w:rsidR="00016A05">
        <w:rPr>
          <w:lang w:eastAsia="ja-JP"/>
        </w:rPr>
        <w:t xml:space="preserve">prevent erroneous positioning accuracy measurements </w:t>
      </w:r>
      <w:r>
        <w:rPr>
          <w:lang w:eastAsia="ja-JP"/>
        </w:rPr>
        <w:t xml:space="preserve">that would contribute towards an incorrect positioning estimation. In this contribution, </w:t>
      </w:r>
      <w:r w:rsidR="00016A05">
        <w:rPr>
          <w:lang w:eastAsia="ja-JP"/>
        </w:rPr>
        <w:t xml:space="preserve">techniques to mitigate </w:t>
      </w:r>
      <w:r w:rsidR="00134BF8">
        <w:rPr>
          <w:lang w:eastAsia="ja-JP"/>
        </w:rPr>
        <w:t xml:space="preserve">these </w:t>
      </w:r>
      <w:r w:rsidR="00016A05">
        <w:rPr>
          <w:lang w:eastAsia="ja-JP"/>
        </w:rPr>
        <w:t>positioning inaccuracies</w:t>
      </w:r>
      <w:r w:rsidR="00134BF8">
        <w:rPr>
          <w:lang w:eastAsia="ja-JP"/>
        </w:rPr>
        <w:t xml:space="preserve"> are addressed</w:t>
      </w:r>
      <w:r w:rsidR="00016A05">
        <w:rPr>
          <w:lang w:eastAsia="ja-JP"/>
        </w:rPr>
        <w:t>.</w:t>
      </w:r>
      <w:r w:rsidR="000E5C15">
        <w:rPr>
          <w:lang w:eastAsia="ja-JP"/>
        </w:rPr>
        <w:t xml:space="preserve"> </w:t>
      </w:r>
      <w:r w:rsidR="00134BF8">
        <w:rPr>
          <w:lang w:eastAsia="ja-JP"/>
        </w:rPr>
        <w:t xml:space="preserve">Note that these are </w:t>
      </w:r>
      <w:r w:rsidR="000E5C15">
        <w:rPr>
          <w:lang w:eastAsia="ja-JP"/>
        </w:rPr>
        <w:t xml:space="preserve">preliminary </w:t>
      </w:r>
      <w:r w:rsidR="00016A05">
        <w:rPr>
          <w:lang w:val="en-GB"/>
        </w:rPr>
        <w:t xml:space="preserve">observations </w:t>
      </w:r>
      <w:r w:rsidR="00134BF8">
        <w:rPr>
          <w:lang w:val="en-GB"/>
        </w:rPr>
        <w:t xml:space="preserve">which needs to be further studied and validated during our study: </w:t>
      </w:r>
    </w:p>
    <w:p w14:paraId="5338B2AD" w14:textId="77777777" w:rsidR="00260D6A" w:rsidRDefault="00260D6A" w:rsidP="00CB4A48">
      <w:pPr>
        <w:spacing w:beforeLines="50" w:before="120"/>
        <w:rPr>
          <w:lang w:val="en-GB"/>
        </w:rPr>
      </w:pPr>
    </w:p>
    <w:p w14:paraId="5B49BDB4" w14:textId="644ED070" w:rsidR="00016A05" w:rsidRDefault="00016A05" w:rsidP="00016A05">
      <w:pPr>
        <w:pStyle w:val="3GPPAgreements"/>
        <w:numPr>
          <w:ilvl w:val="0"/>
          <w:numId w:val="5"/>
        </w:numPr>
      </w:pPr>
      <w:r>
        <w:t>Densification of TRPs/</w:t>
      </w:r>
      <w:proofErr w:type="spellStart"/>
      <w:r>
        <w:t>gNBs</w:t>
      </w:r>
      <w:proofErr w:type="spellEnd"/>
      <w:r>
        <w:t>/LMU</w:t>
      </w:r>
    </w:p>
    <w:p w14:paraId="0557420C" w14:textId="6371FE08" w:rsidR="002C65CC" w:rsidRDefault="005F0E6D" w:rsidP="00211AE0">
      <w:pPr>
        <w:pStyle w:val="3GPPAgreements"/>
        <w:numPr>
          <w:ilvl w:val="0"/>
          <w:numId w:val="0"/>
        </w:numPr>
      </w:pPr>
      <w:r>
        <w:t>G</w:t>
      </w:r>
      <w:r w:rsidR="00CC45AA">
        <w:t xml:space="preserve">reater </w:t>
      </w:r>
      <w:r>
        <w:t xml:space="preserve">number of </w:t>
      </w:r>
      <w:r w:rsidR="00CC45AA">
        <w:t>TRPs/</w:t>
      </w:r>
      <w:proofErr w:type="spellStart"/>
      <w:r w:rsidR="00CC45AA">
        <w:t>gNBs</w:t>
      </w:r>
      <w:proofErr w:type="spellEnd"/>
      <w:r w:rsidR="00CC45AA">
        <w:t>/LMU</w:t>
      </w:r>
      <w:r>
        <w:t>s</w:t>
      </w:r>
      <w:r w:rsidR="00CC45AA">
        <w:t xml:space="preserve"> density can be deployed to </w:t>
      </w:r>
      <w:r w:rsidR="00016A05">
        <w:t xml:space="preserve">boost positioning </w:t>
      </w:r>
      <w:r>
        <w:t>accuracy</w:t>
      </w:r>
      <w:r w:rsidR="00016A05">
        <w:t xml:space="preserve">. </w:t>
      </w:r>
      <w:r>
        <w:t>In</w:t>
      </w:r>
      <w:r w:rsidR="002058D0">
        <w:t xml:space="preserve"> </w:t>
      </w:r>
      <w:r>
        <w:t>deployment in which only lower PRS bandwidth can be configured, increased number of TRPs/</w:t>
      </w:r>
      <w:proofErr w:type="spellStart"/>
      <w:r>
        <w:t>gNBs</w:t>
      </w:r>
      <w:proofErr w:type="spellEnd"/>
      <w:r>
        <w:t xml:space="preserve">/LMUs can be used to offset the reduced signal bandwidth. </w:t>
      </w:r>
      <w:r w:rsidR="00CC45AA">
        <w:t xml:space="preserve">This approach </w:t>
      </w:r>
      <w:r>
        <w:t xml:space="preserve">has the benefit of having minimal physical layer </w:t>
      </w:r>
      <w:r w:rsidR="00CC45AA">
        <w:t>specification impact</w:t>
      </w:r>
      <w:r>
        <w:t xml:space="preserve">. </w:t>
      </w:r>
      <w:r w:rsidR="002058D0">
        <w:t>Some preliminary results from evaluations of Release 16 Positioning methods, specifically on DL-TDOA and UL-TDOA are shown</w:t>
      </w:r>
      <w:r w:rsidR="00260D6A">
        <w:t xml:space="preserve"> in [2].</w:t>
      </w:r>
    </w:p>
    <w:p w14:paraId="2BBC5347" w14:textId="54BAFE5D" w:rsidR="00855674" w:rsidRDefault="00855674" w:rsidP="001620EC">
      <w:r w:rsidRPr="00BE135C">
        <w:rPr>
          <w:b/>
          <w:i/>
        </w:rPr>
        <w:t>Observation 1</w:t>
      </w:r>
      <w:r>
        <w:t xml:space="preserve">: </w:t>
      </w:r>
      <w:r w:rsidR="00BE135C">
        <w:t>Gr</w:t>
      </w:r>
      <w:r>
        <w:t>eater densification of TRPs/</w:t>
      </w:r>
      <w:proofErr w:type="spellStart"/>
      <w:r>
        <w:t>gNBs</w:t>
      </w:r>
      <w:proofErr w:type="spellEnd"/>
      <w:r>
        <w:t xml:space="preserve">/LMUs </w:t>
      </w:r>
      <w:r w:rsidR="00BE135C">
        <w:t xml:space="preserve">may provide a favorable positioning </w:t>
      </w:r>
      <w:r w:rsidR="002058D0">
        <w:t>a</w:t>
      </w:r>
      <w:r w:rsidR="00BE135C">
        <w:t xml:space="preserve">ccuracy improvement with minimal specifications impact. </w:t>
      </w:r>
    </w:p>
    <w:p w14:paraId="62B690F0" w14:textId="77777777" w:rsidR="00776B2B" w:rsidRDefault="00776B2B" w:rsidP="001620EC">
      <w:pPr>
        <w:pStyle w:val="3GPPAgreements"/>
        <w:numPr>
          <w:ilvl w:val="0"/>
          <w:numId w:val="0"/>
        </w:numPr>
        <w:ind w:left="284"/>
      </w:pPr>
    </w:p>
    <w:p w14:paraId="5824C5C5" w14:textId="77777777" w:rsidR="00134BF8" w:rsidRPr="00351EE5" w:rsidRDefault="00134BF8" w:rsidP="00134BF8">
      <w:pPr>
        <w:pStyle w:val="ListParagraph"/>
        <w:numPr>
          <w:ilvl w:val="0"/>
          <w:numId w:val="5"/>
        </w:numPr>
        <w:spacing w:beforeLines="50" w:before="120"/>
        <w:rPr>
          <w:rFonts w:ascii="Times New Roman" w:hAnsi="Times New Roman"/>
          <w:lang w:eastAsia="ja-JP"/>
        </w:rPr>
      </w:pPr>
      <w:r w:rsidRPr="00351EE5">
        <w:rPr>
          <w:rFonts w:ascii="Times New Roman" w:hAnsi="Times New Roman"/>
          <w:lang w:eastAsia="ja-JP"/>
        </w:rPr>
        <w:t>NLOS Channel Identification</w:t>
      </w:r>
    </w:p>
    <w:p w14:paraId="31C778A0" w14:textId="272B64FE" w:rsidR="007E60EA" w:rsidRDefault="006750DD" w:rsidP="00776B2B">
      <w:pPr>
        <w:spacing w:beforeLines="50" w:before="120"/>
        <w:rPr>
          <w:lang w:eastAsia="zh-CN"/>
        </w:rPr>
      </w:pPr>
      <w:r>
        <w:rPr>
          <w:lang w:eastAsia="ja-JP"/>
        </w:rPr>
        <w:t>An important aspect that needs to be considered for IIOT is the capability to take into consideration and possibl</w:t>
      </w:r>
      <w:r w:rsidR="00134BF8" w:rsidRPr="002058D0">
        <w:rPr>
          <w:lang w:eastAsia="ja-JP"/>
        </w:rPr>
        <w:t xml:space="preserve">y compensating errors due to the NLOS propagation excessive delay measurements. </w:t>
      </w:r>
      <w:r w:rsidR="007E60EA">
        <w:rPr>
          <w:lang w:eastAsia="ja-JP"/>
        </w:rPr>
        <w:t xml:space="preserve">In scenarios where </w:t>
      </w:r>
      <w:r w:rsidR="007E60EA">
        <w:rPr>
          <w:lang w:eastAsia="zh-CN"/>
        </w:rPr>
        <w:t>there is no direct path between transmitter and receiver, the distance calculated based on TOA overestimates the real distance between transmitter and receiver would lead to errors in location determination.</w:t>
      </w:r>
      <w:r w:rsidR="00E01DA6">
        <w:rPr>
          <w:lang w:eastAsia="zh-CN"/>
        </w:rPr>
        <w:t xml:space="preserve"> This is also commonly referred to as the NLOS Bias. This was studied and evaluated during the Study on Channel Model for Industrial IOT </w:t>
      </w:r>
      <w:r w:rsidR="000D40D2">
        <w:rPr>
          <w:lang w:eastAsia="zh-CN"/>
        </w:rPr>
        <w:t xml:space="preserve">that was completed in September 2019. The modeling of the NLOS Bias was described in Section 7.6.9 of TR 38.901. We proposed the use of this </w:t>
      </w:r>
      <w:r w:rsidR="002F70D2">
        <w:rPr>
          <w:lang w:eastAsia="zh-CN"/>
        </w:rPr>
        <w:t xml:space="preserve">compensating </w:t>
      </w:r>
      <w:r w:rsidR="000D40D2">
        <w:rPr>
          <w:lang w:eastAsia="zh-CN"/>
        </w:rPr>
        <w:t xml:space="preserve">bias for </w:t>
      </w:r>
      <w:r w:rsidR="00260D6A">
        <w:rPr>
          <w:lang w:eastAsia="zh-CN"/>
        </w:rPr>
        <w:t xml:space="preserve">the evaluation of positioning performance and accuracy for IIOT </w:t>
      </w:r>
      <w:r w:rsidR="000D40D2">
        <w:rPr>
          <w:lang w:eastAsia="zh-CN"/>
        </w:rPr>
        <w:t>[1].</w:t>
      </w:r>
    </w:p>
    <w:p w14:paraId="37CA9F3F" w14:textId="53753272" w:rsidR="000D40D2" w:rsidRDefault="000D40D2" w:rsidP="00776B2B">
      <w:pPr>
        <w:spacing w:beforeLines="50" w:before="120"/>
        <w:rPr>
          <w:lang w:eastAsia="zh-CN"/>
        </w:rPr>
      </w:pPr>
      <w:r>
        <w:rPr>
          <w:lang w:eastAsia="zh-CN"/>
        </w:rPr>
        <w:t xml:space="preserve">There have been extensive studies </w:t>
      </w:r>
      <w:r w:rsidR="00260D6A">
        <w:rPr>
          <w:lang w:eastAsia="zh-CN"/>
        </w:rPr>
        <w:t xml:space="preserve">and </w:t>
      </w:r>
      <w:r>
        <w:rPr>
          <w:lang w:eastAsia="zh-CN"/>
        </w:rPr>
        <w:t>literature on NLOS mitigation algorithms and techniques</w:t>
      </w:r>
      <w:r w:rsidR="00260D6A">
        <w:rPr>
          <w:lang w:eastAsia="zh-CN"/>
        </w:rPr>
        <w:t xml:space="preserve"> [</w:t>
      </w:r>
      <w:r w:rsidR="002F70D2">
        <w:rPr>
          <w:lang w:eastAsia="zh-CN"/>
        </w:rPr>
        <w:t>2</w:t>
      </w:r>
      <w:r w:rsidR="00260D6A">
        <w:rPr>
          <w:lang w:eastAsia="zh-CN"/>
        </w:rPr>
        <w:t>]</w:t>
      </w:r>
      <w:r>
        <w:rPr>
          <w:lang w:eastAsia="zh-CN"/>
        </w:rPr>
        <w:t xml:space="preserve">. </w:t>
      </w:r>
      <w:r w:rsidR="00923D90">
        <w:rPr>
          <w:lang w:eastAsia="zh-CN"/>
        </w:rPr>
        <w:t xml:space="preserve">Studies have confirmed the degradation in localization accuracy when there is presence of NLOS paths during the localization. In such NLOS deployments, the effectiveness and accuracy of localization algorithms depend </w:t>
      </w:r>
      <w:r w:rsidR="00923D90" w:rsidRPr="005A101B">
        <w:rPr>
          <w:lang w:eastAsia="ja-JP"/>
        </w:rPr>
        <w:t>on if there is any prior information available about the NLOS bias.</w:t>
      </w:r>
      <w:r w:rsidR="00923D90">
        <w:rPr>
          <w:lang w:eastAsia="ja-JP"/>
        </w:rPr>
        <w:t xml:space="preserve"> In other words, the properties and distribution of the NLOS </w:t>
      </w:r>
      <w:r w:rsidR="00572928">
        <w:rPr>
          <w:lang w:eastAsia="ja-JP"/>
        </w:rPr>
        <w:t>paths would need to be estimated</w:t>
      </w:r>
      <w:bookmarkStart w:id="3" w:name="_GoBack"/>
      <w:bookmarkEnd w:id="3"/>
      <w:r w:rsidR="00572928">
        <w:rPr>
          <w:lang w:eastAsia="ja-JP"/>
        </w:rPr>
        <w:t xml:space="preserve"> in the localization algorithms. </w:t>
      </w:r>
      <w:r w:rsidR="00923D90">
        <w:rPr>
          <w:lang w:eastAsia="ja-JP"/>
        </w:rPr>
        <w:t xml:space="preserve"> </w:t>
      </w:r>
    </w:p>
    <w:p w14:paraId="1BA77715" w14:textId="69AB7670" w:rsidR="000D40D2" w:rsidRDefault="00923D90">
      <w:pPr>
        <w:spacing w:beforeLines="50" w:before="120"/>
        <w:rPr>
          <w:lang w:eastAsia="ja-JP"/>
        </w:rPr>
      </w:pPr>
      <w:r>
        <w:rPr>
          <w:lang w:eastAsia="zh-CN"/>
        </w:rPr>
        <w:t xml:space="preserve">Alternatively, </w:t>
      </w:r>
      <w:r w:rsidR="000D40D2" w:rsidRPr="000D40D2">
        <w:rPr>
          <w:lang w:eastAsia="zh-CN"/>
        </w:rPr>
        <w:t xml:space="preserve">one of the simplest techniques to mitigate the NLOS effects is to identify the NLOS </w:t>
      </w:r>
      <w:r>
        <w:rPr>
          <w:lang w:eastAsia="zh-CN"/>
        </w:rPr>
        <w:t xml:space="preserve">paths </w:t>
      </w:r>
      <w:r w:rsidR="000D40D2" w:rsidRPr="000D40D2">
        <w:rPr>
          <w:lang w:eastAsia="zh-CN"/>
        </w:rPr>
        <w:t>and discard them during localization</w:t>
      </w:r>
      <w:r>
        <w:rPr>
          <w:lang w:eastAsia="zh-CN"/>
        </w:rPr>
        <w:t>.</w:t>
      </w:r>
      <w:r w:rsidRPr="00923D90">
        <w:rPr>
          <w:lang w:eastAsia="ja-JP"/>
        </w:rPr>
        <w:t xml:space="preserve"> </w:t>
      </w:r>
      <w:r>
        <w:rPr>
          <w:lang w:eastAsia="ja-JP"/>
        </w:rPr>
        <w:t xml:space="preserve">The estimation of </w:t>
      </w:r>
      <w:r w:rsidRPr="000D40D2">
        <w:rPr>
          <w:lang w:eastAsia="ja-JP"/>
        </w:rPr>
        <w:t xml:space="preserve">the </w:t>
      </w:r>
      <w:r>
        <w:rPr>
          <w:lang w:eastAsia="ja-JP"/>
        </w:rPr>
        <w:t xml:space="preserve">UE </w:t>
      </w:r>
      <w:r w:rsidRPr="000D40D2">
        <w:rPr>
          <w:lang w:eastAsia="ja-JP"/>
        </w:rPr>
        <w:t xml:space="preserve">location </w:t>
      </w:r>
      <w:r>
        <w:rPr>
          <w:lang w:eastAsia="ja-JP"/>
        </w:rPr>
        <w:t xml:space="preserve">is then performed </w:t>
      </w:r>
      <w:r w:rsidRPr="000D40D2">
        <w:rPr>
          <w:lang w:eastAsia="ja-JP"/>
        </w:rPr>
        <w:t>using the</w:t>
      </w:r>
      <w:r>
        <w:rPr>
          <w:lang w:eastAsia="ja-JP"/>
        </w:rPr>
        <w:t xml:space="preserve"> various</w:t>
      </w:r>
      <w:r w:rsidRPr="000D40D2">
        <w:rPr>
          <w:lang w:eastAsia="ja-JP"/>
        </w:rPr>
        <w:t xml:space="preserve"> LOS techniques</w:t>
      </w:r>
      <w:r>
        <w:rPr>
          <w:lang w:eastAsia="ja-JP"/>
        </w:rPr>
        <w:t>. With such an approach</w:t>
      </w:r>
      <w:r w:rsidR="00211AE0">
        <w:rPr>
          <w:lang w:eastAsia="ja-JP"/>
        </w:rPr>
        <w:t xml:space="preserve"> as in many other approaches</w:t>
      </w:r>
      <w:r>
        <w:rPr>
          <w:lang w:eastAsia="ja-JP"/>
        </w:rPr>
        <w:t xml:space="preserve">, </w:t>
      </w:r>
      <w:r w:rsidR="000D40D2" w:rsidRPr="000D40D2">
        <w:rPr>
          <w:lang w:eastAsia="ja-JP"/>
        </w:rPr>
        <w:t xml:space="preserve">there is always the possibility of false-alarms (identifying a LOS </w:t>
      </w:r>
      <w:r>
        <w:rPr>
          <w:lang w:eastAsia="ja-JP"/>
        </w:rPr>
        <w:t xml:space="preserve">path </w:t>
      </w:r>
      <w:r w:rsidR="000D40D2" w:rsidRPr="000D40D2">
        <w:rPr>
          <w:lang w:eastAsia="ja-JP"/>
        </w:rPr>
        <w:t xml:space="preserve">as NLOS) and </w:t>
      </w:r>
      <w:r w:rsidR="00211AE0" w:rsidRPr="000D40D2">
        <w:rPr>
          <w:lang w:eastAsia="ja-JP"/>
        </w:rPr>
        <w:t>mis</w:t>
      </w:r>
      <w:r w:rsidR="00211AE0">
        <w:rPr>
          <w:lang w:eastAsia="ja-JP"/>
        </w:rPr>
        <w:t>detections</w:t>
      </w:r>
      <w:r w:rsidR="000D40D2" w:rsidRPr="000D40D2">
        <w:rPr>
          <w:lang w:eastAsia="ja-JP"/>
        </w:rPr>
        <w:t xml:space="preserve"> (identifying an NLOS </w:t>
      </w:r>
      <w:r w:rsidR="002A3476">
        <w:rPr>
          <w:lang w:eastAsia="ja-JP"/>
        </w:rPr>
        <w:t xml:space="preserve">path </w:t>
      </w:r>
      <w:r w:rsidR="000D40D2" w:rsidRPr="000D40D2">
        <w:rPr>
          <w:lang w:eastAsia="ja-JP"/>
        </w:rPr>
        <w:t xml:space="preserve">as LOS) which degrade the </w:t>
      </w:r>
      <w:r w:rsidR="002A3476">
        <w:rPr>
          <w:lang w:eastAsia="ja-JP"/>
        </w:rPr>
        <w:t>positioning</w:t>
      </w:r>
      <w:r w:rsidR="00211AE0">
        <w:rPr>
          <w:lang w:eastAsia="ja-JP"/>
        </w:rPr>
        <w:t xml:space="preserve"> </w:t>
      </w:r>
      <w:r w:rsidR="000D40D2" w:rsidRPr="000D40D2">
        <w:rPr>
          <w:lang w:eastAsia="ja-JP"/>
        </w:rPr>
        <w:t>accuracy.</w:t>
      </w:r>
      <w:r w:rsidR="00211AE0">
        <w:rPr>
          <w:lang w:eastAsia="ja-JP"/>
        </w:rPr>
        <w:t xml:space="preserve"> </w:t>
      </w:r>
      <w:r w:rsidR="00643263">
        <w:rPr>
          <w:lang w:eastAsia="ja-JP"/>
        </w:rPr>
        <w:t>These aspects would need to be studied and addressed.</w:t>
      </w:r>
    </w:p>
    <w:p w14:paraId="612E0C2A" w14:textId="53EE77B3" w:rsidR="007E60EA" w:rsidRPr="00444FE6" w:rsidRDefault="007E60EA" w:rsidP="001620EC">
      <w:pPr>
        <w:pStyle w:val="NormalWeb"/>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It </w:t>
      </w:r>
      <w:r w:rsidR="00643263">
        <w:rPr>
          <w:rFonts w:ascii="Times New Roman" w:hAnsi="Times New Roman" w:cs="Times New Roman"/>
          <w:sz w:val="22"/>
          <w:szCs w:val="22"/>
        </w:rPr>
        <w:t xml:space="preserve">is </w:t>
      </w:r>
      <w:r>
        <w:rPr>
          <w:rFonts w:ascii="Times New Roman" w:hAnsi="Times New Roman" w:cs="Times New Roman"/>
          <w:sz w:val="22"/>
          <w:szCs w:val="22"/>
        </w:rPr>
        <w:t>thus useful</w:t>
      </w:r>
      <w:r w:rsidRPr="00444FE6">
        <w:rPr>
          <w:rFonts w:ascii="Times New Roman" w:hAnsi="Times New Roman" w:cs="Times New Roman"/>
          <w:sz w:val="22"/>
          <w:szCs w:val="22"/>
        </w:rPr>
        <w:t xml:space="preserve"> to determine if the determined TOA corresponds to LOS or NLOS and select only those </w:t>
      </w:r>
      <w:r w:rsidRPr="0017347B">
        <w:rPr>
          <w:rFonts w:ascii="Times New Roman" w:hAnsi="Times New Roman" w:cs="Times New Roman"/>
          <w:sz w:val="22"/>
          <w:szCs w:val="22"/>
        </w:rPr>
        <w:t>measure</w:t>
      </w:r>
      <w:r>
        <w:rPr>
          <w:rFonts w:ascii="Times New Roman" w:hAnsi="Times New Roman" w:cs="Times New Roman"/>
          <w:sz w:val="22"/>
          <w:szCs w:val="22"/>
        </w:rPr>
        <w:t xml:space="preserve">ments corresponding to LOS. One approach would be on utilizing the polarization property of the received signals. We note that the reflected wave is affected differently if the plane of polarization is parallel or orthogonal to the reflective surface. </w:t>
      </w:r>
      <w:r w:rsidRPr="00444FE6">
        <w:rPr>
          <w:rFonts w:ascii="Times New Roman" w:hAnsi="Times New Roman" w:cs="Times New Roman"/>
          <w:sz w:val="22"/>
          <w:szCs w:val="22"/>
        </w:rPr>
        <w:t>The reflectance (intensity reflection coefficient) is the square of the amplitude reflection coefficient. From the Fresnel equations and the Snell’s law one derives the reflectance coefficients for the parallel and orthogonal polarizations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7E60EA" w14:paraId="10D431B3" w14:textId="77777777" w:rsidTr="00260D6A">
        <w:tc>
          <w:tcPr>
            <w:tcW w:w="8642" w:type="dxa"/>
            <w:vAlign w:val="center"/>
          </w:tcPr>
          <w:p w14:paraId="3E95A1D7" w14:textId="77777777" w:rsidR="007E60EA" w:rsidRPr="0017347B" w:rsidRDefault="00C15014" w:rsidP="00260D6A">
            <w:pPr>
              <w:autoSpaceDE/>
              <w:autoSpaceDN/>
              <w:adjustRightInd/>
              <w:snapToGrid/>
              <w:jc w:val="left"/>
              <w:rPr>
                <w:rFonts w:ascii="SimSun" w:hAnsi="SimSun" w:cs="SimSun"/>
                <w:color w:val="000000"/>
                <w:sz w:val="20"/>
                <w:szCs w:val="20"/>
                <w:lang w:eastAsia="zh-CN"/>
              </w:rPr>
            </w:pPr>
            <m:oMathPara>
              <m:oMath>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R</m:t>
                    </m:r>
                  </m:e>
                  <m:sub>
                    <m:r>
                      <w:rPr>
                        <w:rFonts w:ascii="Cambria Math" w:hAnsi="Cambria Math" w:cs="SimSun"/>
                        <w:color w:val="000000"/>
                        <w:sz w:val="20"/>
                        <w:szCs w:val="20"/>
                        <w:lang w:eastAsia="zh-CN"/>
                      </w:rPr>
                      <m:t>||</m:t>
                    </m:r>
                  </m:sub>
                </m:sSub>
                <m:r>
                  <w:rPr>
                    <w:rFonts w:ascii="Cambria Math" w:hAnsi="Cambria Math" w:cs="SimSun"/>
                    <w:color w:val="000000"/>
                    <w:sz w:val="20"/>
                    <w:szCs w:val="20"/>
                    <w:lang w:eastAsia="zh-CN"/>
                  </w:rPr>
                  <m:t>=</m:t>
                </m:r>
                <m:f>
                  <m:fPr>
                    <m:ctrlPr>
                      <w:rPr>
                        <w:rFonts w:ascii="Cambria Math" w:hAnsi="Cambria Math" w:cs="SimSun"/>
                        <w:i/>
                        <w:color w:val="000000"/>
                        <w:sz w:val="20"/>
                        <w:szCs w:val="20"/>
                        <w:lang w:eastAsia="zh-CN"/>
                      </w:rPr>
                    </m:ctrlPr>
                  </m:fPr>
                  <m:num>
                    <m:func>
                      <m:funcPr>
                        <m:ctrlPr>
                          <w:rPr>
                            <w:rFonts w:ascii="Cambria Math" w:hAnsi="Cambria Math" w:cs="SimSun"/>
                            <w:i/>
                            <w:color w:val="000000"/>
                            <w:sz w:val="20"/>
                            <w:szCs w:val="20"/>
                            <w:lang w:eastAsia="zh-CN"/>
                          </w:rPr>
                        </m:ctrlPr>
                      </m:funcPr>
                      <m:fName>
                        <m:sSup>
                          <m:sSupPr>
                            <m:ctrlPr>
                              <w:rPr>
                                <w:rFonts w:ascii="Cambria Math" w:hAnsi="Cambria Math" w:cs="SimSun"/>
                                <w:color w:val="000000"/>
                                <w:sz w:val="20"/>
                                <w:szCs w:val="20"/>
                                <w:lang w:eastAsia="zh-CN"/>
                              </w:rPr>
                            </m:ctrlPr>
                          </m:sSupPr>
                          <m:e>
                            <m:r>
                              <m:rPr>
                                <m:sty m:val="p"/>
                              </m:rPr>
                              <w:rPr>
                                <w:rFonts w:ascii="Cambria Math" w:hAnsi="Cambria Math" w:cs="SimSun"/>
                                <w:color w:val="000000"/>
                                <w:sz w:val="20"/>
                                <w:szCs w:val="20"/>
                                <w:lang w:eastAsia="zh-CN"/>
                              </w:rPr>
                              <m:t>tan</m:t>
                            </m:r>
                          </m:e>
                          <m:sup>
                            <m:r>
                              <m:rPr>
                                <m:sty m:val="p"/>
                              </m:rPr>
                              <w:rPr>
                                <w:rFonts w:ascii="Cambria Math" w:hAnsi="Cambria Math" w:cs="SimSun"/>
                                <w:color w:val="000000"/>
                                <w:sz w:val="20"/>
                                <w:szCs w:val="20"/>
                                <w:lang w:eastAsia="zh-CN"/>
                              </w:rPr>
                              <m:t>2</m:t>
                            </m:r>
                          </m:sup>
                        </m:sSup>
                      </m:fName>
                      <m:e>
                        <m:d>
                          <m:dPr>
                            <m:ctrlPr>
                              <w:rPr>
                                <w:rFonts w:ascii="Cambria Math" w:hAnsi="Cambria Math" w:cs="SimSun"/>
                                <w:i/>
                                <w:color w:val="000000"/>
                                <w:sz w:val="20"/>
                                <w:szCs w:val="20"/>
                                <w:lang w:eastAsia="zh-CN"/>
                              </w:rPr>
                            </m:ctrlPr>
                          </m:dPr>
                          <m:e>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e>
                              <m:sub>
                                <m:r>
                                  <m:rPr>
                                    <m:sty m:val="p"/>
                                  </m:rPr>
                                  <w:rPr>
                                    <w:rFonts w:ascii="Cambria Math" w:hAnsi="Cambria Math" w:cs="SimSun"/>
                                    <w:color w:val="000000"/>
                                    <w:sz w:val="20"/>
                                    <w:szCs w:val="20"/>
                                    <w:lang w:eastAsia="zh-CN"/>
                                  </w:rPr>
                                  <m:t>i</m:t>
                                </m:r>
                              </m:sub>
                            </m:sSub>
                            <m:r>
                              <m:rPr>
                                <m:sty m:val="p"/>
                              </m:rPr>
                              <w:rPr>
                                <w:rFonts w:ascii="Cambria Math" w:hAnsi="Cambria Math" w:cs="SimSun"/>
                                <w:color w:val="000000"/>
                                <w:sz w:val="20"/>
                                <w:szCs w:val="20"/>
                                <w:lang w:eastAsia="zh-CN"/>
                              </w:rPr>
                              <m:t>-</m:t>
                            </m:r>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ctrlPr>
                                  <w:rPr>
                                    <w:rFonts w:ascii="Cambria Math" w:hAnsi="Cambria Math" w:cs="SimSun"/>
                                    <w:color w:val="000000"/>
                                    <w:sz w:val="20"/>
                                    <w:szCs w:val="20"/>
                                    <w:lang w:eastAsia="zh-CN"/>
                                  </w:rPr>
                                </m:ctrlPr>
                              </m:e>
                              <m:sub>
                                <m:r>
                                  <m:rPr>
                                    <m:sty m:val="p"/>
                                  </m:rPr>
                                  <w:rPr>
                                    <w:rFonts w:ascii="Cambria Math" w:hAnsi="Cambria Math" w:cs="SimSun"/>
                                    <w:color w:val="000000"/>
                                    <w:sz w:val="20"/>
                                    <w:szCs w:val="20"/>
                                    <w:lang w:eastAsia="zh-CN"/>
                                  </w:rPr>
                                  <m:t>t</m:t>
                                </m:r>
                              </m:sub>
                            </m:sSub>
                            <m:ctrlPr>
                              <w:rPr>
                                <w:rFonts w:ascii="Cambria Math" w:hAnsi="Cambria Math" w:cs="SimSun"/>
                                <w:color w:val="000000"/>
                                <w:sz w:val="20"/>
                                <w:szCs w:val="20"/>
                                <w:lang w:eastAsia="zh-CN"/>
                              </w:rPr>
                            </m:ctrlPr>
                          </m:e>
                        </m:d>
                      </m:e>
                    </m:func>
                  </m:num>
                  <m:den>
                    <m:func>
                      <m:funcPr>
                        <m:ctrlPr>
                          <w:rPr>
                            <w:rFonts w:ascii="Cambria Math" w:hAnsi="Cambria Math" w:cs="SimSun"/>
                            <w:i/>
                            <w:color w:val="000000"/>
                            <w:sz w:val="20"/>
                            <w:szCs w:val="20"/>
                            <w:lang w:eastAsia="zh-CN"/>
                          </w:rPr>
                        </m:ctrlPr>
                      </m:funcPr>
                      <m:fName>
                        <m:sSup>
                          <m:sSupPr>
                            <m:ctrlPr>
                              <w:rPr>
                                <w:rFonts w:ascii="Cambria Math" w:hAnsi="Cambria Math" w:cs="SimSun"/>
                                <w:color w:val="000000"/>
                                <w:sz w:val="20"/>
                                <w:szCs w:val="20"/>
                                <w:lang w:eastAsia="zh-CN"/>
                              </w:rPr>
                            </m:ctrlPr>
                          </m:sSupPr>
                          <m:e>
                            <m:r>
                              <m:rPr>
                                <m:sty m:val="p"/>
                              </m:rPr>
                              <w:rPr>
                                <w:rFonts w:ascii="Cambria Math" w:hAnsi="Cambria Math" w:cs="SimSun"/>
                                <w:color w:val="000000"/>
                                <w:sz w:val="20"/>
                                <w:szCs w:val="20"/>
                                <w:lang w:eastAsia="zh-CN"/>
                              </w:rPr>
                              <m:t>tan</m:t>
                            </m:r>
                          </m:e>
                          <m:sup>
                            <m:r>
                              <m:rPr>
                                <m:sty m:val="p"/>
                              </m:rPr>
                              <w:rPr>
                                <w:rFonts w:ascii="Cambria Math" w:hAnsi="Cambria Math" w:cs="SimSun"/>
                                <w:color w:val="000000"/>
                                <w:sz w:val="20"/>
                                <w:szCs w:val="20"/>
                                <w:lang w:eastAsia="zh-CN"/>
                              </w:rPr>
                              <m:t>2</m:t>
                            </m:r>
                          </m:sup>
                        </m:sSup>
                      </m:fName>
                      <m:e>
                        <m:d>
                          <m:dPr>
                            <m:ctrlPr>
                              <w:rPr>
                                <w:rFonts w:ascii="Cambria Math" w:hAnsi="Cambria Math" w:cs="SimSun"/>
                                <w:i/>
                                <w:color w:val="000000"/>
                                <w:sz w:val="20"/>
                                <w:szCs w:val="20"/>
                                <w:lang w:eastAsia="zh-CN"/>
                              </w:rPr>
                            </m:ctrlPr>
                          </m:dPr>
                          <m:e>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e>
                              <m:sub>
                                <m:r>
                                  <m:rPr>
                                    <m:sty m:val="p"/>
                                  </m:rPr>
                                  <w:rPr>
                                    <w:rFonts w:ascii="Cambria Math" w:hAnsi="Cambria Math" w:cs="SimSun"/>
                                    <w:color w:val="000000"/>
                                    <w:sz w:val="20"/>
                                    <w:szCs w:val="20"/>
                                    <w:lang w:eastAsia="zh-CN"/>
                                  </w:rPr>
                                  <m:t>i</m:t>
                                </m:r>
                              </m:sub>
                            </m:sSub>
                            <m:r>
                              <m:rPr>
                                <m:sty m:val="p"/>
                              </m:rPr>
                              <w:rPr>
                                <w:rFonts w:ascii="Cambria Math" w:hAnsi="Cambria Math" w:cs="SimSun"/>
                                <w:color w:val="000000"/>
                                <w:sz w:val="20"/>
                                <w:szCs w:val="20"/>
                                <w:lang w:eastAsia="zh-CN"/>
                              </w:rPr>
                              <m:t>+</m:t>
                            </m:r>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ctrlPr>
                                  <w:rPr>
                                    <w:rFonts w:ascii="Cambria Math" w:hAnsi="Cambria Math" w:cs="SimSun"/>
                                    <w:color w:val="000000"/>
                                    <w:sz w:val="20"/>
                                    <w:szCs w:val="20"/>
                                    <w:lang w:eastAsia="zh-CN"/>
                                  </w:rPr>
                                </m:ctrlPr>
                              </m:e>
                              <m:sub>
                                <m:r>
                                  <m:rPr>
                                    <m:sty m:val="p"/>
                                  </m:rPr>
                                  <w:rPr>
                                    <w:rFonts w:ascii="Cambria Math" w:hAnsi="Cambria Math" w:cs="SimSun"/>
                                    <w:color w:val="000000"/>
                                    <w:sz w:val="20"/>
                                    <w:szCs w:val="20"/>
                                    <w:lang w:eastAsia="zh-CN"/>
                                  </w:rPr>
                                  <m:t>t</m:t>
                                </m:r>
                              </m:sub>
                            </m:sSub>
                            <m:ctrlPr>
                              <w:rPr>
                                <w:rFonts w:ascii="Cambria Math" w:hAnsi="Cambria Math" w:cs="SimSun"/>
                                <w:color w:val="000000"/>
                                <w:sz w:val="20"/>
                                <w:szCs w:val="20"/>
                                <w:lang w:eastAsia="zh-CN"/>
                              </w:rPr>
                            </m:ctrlPr>
                          </m:e>
                        </m:d>
                      </m:e>
                    </m:func>
                  </m:den>
                </m:f>
              </m:oMath>
            </m:oMathPara>
          </w:p>
          <w:p w14:paraId="0D6E953E" w14:textId="77777777" w:rsidR="007E60EA" w:rsidRPr="00855ED1" w:rsidRDefault="00C15014" w:rsidP="00260D6A">
            <w:pPr>
              <w:autoSpaceDE/>
              <w:autoSpaceDN/>
              <w:adjustRightInd/>
              <w:snapToGrid/>
              <w:jc w:val="left"/>
              <w:rPr>
                <w:b/>
                <w:lang w:eastAsia="zh-CN"/>
              </w:rPr>
            </w:pPr>
            <m:oMathPara>
              <m:oMath>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R</m:t>
                    </m:r>
                  </m:e>
                  <m:sub>
                    <m:r>
                      <w:rPr>
                        <w:rFonts w:ascii="Cambria Math" w:hAnsi="Cambria Math" w:cs="SimSun" w:hint="eastAsia"/>
                        <w:color w:val="000000"/>
                        <w:sz w:val="20"/>
                        <w:szCs w:val="20"/>
                        <w:lang w:eastAsia="zh-CN"/>
                      </w:rPr>
                      <m:t>⊥</m:t>
                    </m:r>
                  </m:sub>
                </m:sSub>
                <m:r>
                  <w:rPr>
                    <w:rFonts w:ascii="Cambria Math" w:hAnsi="Cambria Math" w:cs="SimSun"/>
                    <w:color w:val="000000"/>
                    <w:sz w:val="20"/>
                    <w:szCs w:val="20"/>
                    <w:lang w:eastAsia="zh-CN"/>
                  </w:rPr>
                  <m:t>=</m:t>
                </m:r>
                <m:f>
                  <m:fPr>
                    <m:ctrlPr>
                      <w:rPr>
                        <w:rFonts w:ascii="Cambria Math" w:hAnsi="Cambria Math" w:cs="SimSun"/>
                        <w:i/>
                        <w:color w:val="000000"/>
                        <w:sz w:val="20"/>
                        <w:szCs w:val="20"/>
                        <w:lang w:eastAsia="zh-CN"/>
                      </w:rPr>
                    </m:ctrlPr>
                  </m:fPr>
                  <m:num>
                    <m:func>
                      <m:funcPr>
                        <m:ctrlPr>
                          <w:rPr>
                            <w:rFonts w:ascii="Cambria Math" w:hAnsi="Cambria Math" w:cs="SimSun"/>
                            <w:i/>
                            <w:color w:val="000000"/>
                            <w:sz w:val="20"/>
                            <w:szCs w:val="20"/>
                            <w:lang w:eastAsia="zh-CN"/>
                          </w:rPr>
                        </m:ctrlPr>
                      </m:funcPr>
                      <m:fName>
                        <m:sSup>
                          <m:sSupPr>
                            <m:ctrlPr>
                              <w:rPr>
                                <w:rFonts w:ascii="Cambria Math" w:hAnsi="Cambria Math" w:cs="SimSun"/>
                                <w:color w:val="000000"/>
                                <w:sz w:val="20"/>
                                <w:szCs w:val="20"/>
                                <w:lang w:eastAsia="zh-CN"/>
                              </w:rPr>
                            </m:ctrlPr>
                          </m:sSupPr>
                          <m:e>
                            <m:r>
                              <m:rPr>
                                <m:sty m:val="p"/>
                              </m:rPr>
                              <w:rPr>
                                <w:rFonts w:ascii="Cambria Math" w:hAnsi="Cambria Math" w:cs="SimSun"/>
                                <w:color w:val="000000"/>
                                <w:sz w:val="20"/>
                                <w:szCs w:val="20"/>
                                <w:lang w:eastAsia="zh-CN"/>
                              </w:rPr>
                              <m:t>sin</m:t>
                            </m:r>
                          </m:e>
                          <m:sup>
                            <m:r>
                              <m:rPr>
                                <m:sty m:val="p"/>
                              </m:rPr>
                              <w:rPr>
                                <w:rFonts w:ascii="Cambria Math" w:hAnsi="Cambria Math" w:cs="SimSun"/>
                                <w:color w:val="000000"/>
                                <w:sz w:val="20"/>
                                <w:szCs w:val="20"/>
                                <w:lang w:eastAsia="zh-CN"/>
                              </w:rPr>
                              <m:t>2</m:t>
                            </m:r>
                          </m:sup>
                        </m:sSup>
                      </m:fName>
                      <m:e>
                        <m:d>
                          <m:dPr>
                            <m:ctrlPr>
                              <w:rPr>
                                <w:rFonts w:ascii="Cambria Math" w:hAnsi="Cambria Math" w:cs="SimSun"/>
                                <w:i/>
                                <w:color w:val="000000"/>
                                <w:sz w:val="20"/>
                                <w:szCs w:val="20"/>
                                <w:lang w:eastAsia="zh-CN"/>
                              </w:rPr>
                            </m:ctrlPr>
                          </m:dPr>
                          <m:e>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e>
                              <m:sub>
                                <m:r>
                                  <m:rPr>
                                    <m:sty m:val="p"/>
                                  </m:rPr>
                                  <w:rPr>
                                    <w:rFonts w:ascii="Cambria Math" w:hAnsi="Cambria Math" w:cs="SimSun"/>
                                    <w:color w:val="000000"/>
                                    <w:sz w:val="20"/>
                                    <w:szCs w:val="20"/>
                                    <w:lang w:eastAsia="zh-CN"/>
                                  </w:rPr>
                                  <m:t>i</m:t>
                                </m:r>
                              </m:sub>
                            </m:sSub>
                            <m:r>
                              <m:rPr>
                                <m:sty m:val="p"/>
                              </m:rPr>
                              <w:rPr>
                                <w:rFonts w:ascii="Cambria Math" w:hAnsi="Cambria Math" w:cs="SimSun"/>
                                <w:color w:val="000000"/>
                                <w:sz w:val="20"/>
                                <w:szCs w:val="20"/>
                                <w:lang w:eastAsia="zh-CN"/>
                              </w:rPr>
                              <m:t>-</m:t>
                            </m:r>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ctrlPr>
                                  <w:rPr>
                                    <w:rFonts w:ascii="Cambria Math" w:hAnsi="Cambria Math" w:cs="SimSun"/>
                                    <w:color w:val="000000"/>
                                    <w:sz w:val="20"/>
                                    <w:szCs w:val="20"/>
                                    <w:lang w:eastAsia="zh-CN"/>
                                  </w:rPr>
                                </m:ctrlPr>
                              </m:e>
                              <m:sub>
                                <m:r>
                                  <m:rPr>
                                    <m:sty m:val="p"/>
                                  </m:rPr>
                                  <w:rPr>
                                    <w:rFonts w:ascii="Cambria Math" w:hAnsi="Cambria Math" w:cs="SimSun"/>
                                    <w:color w:val="000000"/>
                                    <w:sz w:val="20"/>
                                    <w:szCs w:val="20"/>
                                    <w:lang w:eastAsia="zh-CN"/>
                                  </w:rPr>
                                  <m:t>t</m:t>
                                </m:r>
                              </m:sub>
                            </m:sSub>
                            <m:ctrlPr>
                              <w:rPr>
                                <w:rFonts w:ascii="Cambria Math" w:hAnsi="Cambria Math" w:cs="SimSun"/>
                                <w:color w:val="000000"/>
                                <w:sz w:val="20"/>
                                <w:szCs w:val="20"/>
                                <w:lang w:eastAsia="zh-CN"/>
                              </w:rPr>
                            </m:ctrlPr>
                          </m:e>
                        </m:d>
                      </m:e>
                    </m:func>
                  </m:num>
                  <m:den>
                    <m:func>
                      <m:funcPr>
                        <m:ctrlPr>
                          <w:rPr>
                            <w:rFonts w:ascii="Cambria Math" w:hAnsi="Cambria Math" w:cs="SimSun"/>
                            <w:i/>
                            <w:color w:val="000000"/>
                            <w:sz w:val="20"/>
                            <w:szCs w:val="20"/>
                            <w:lang w:eastAsia="zh-CN"/>
                          </w:rPr>
                        </m:ctrlPr>
                      </m:funcPr>
                      <m:fName>
                        <m:sSup>
                          <m:sSupPr>
                            <m:ctrlPr>
                              <w:rPr>
                                <w:rFonts w:ascii="Cambria Math" w:hAnsi="Cambria Math" w:cs="SimSun"/>
                                <w:color w:val="000000"/>
                                <w:sz w:val="20"/>
                                <w:szCs w:val="20"/>
                                <w:lang w:eastAsia="zh-CN"/>
                              </w:rPr>
                            </m:ctrlPr>
                          </m:sSupPr>
                          <m:e>
                            <m:r>
                              <m:rPr>
                                <m:sty m:val="p"/>
                              </m:rPr>
                              <w:rPr>
                                <w:rFonts w:ascii="Cambria Math" w:hAnsi="Cambria Math" w:cs="SimSun"/>
                                <w:color w:val="000000"/>
                                <w:sz w:val="20"/>
                                <w:szCs w:val="20"/>
                                <w:lang w:eastAsia="zh-CN"/>
                              </w:rPr>
                              <m:t>sin</m:t>
                            </m:r>
                          </m:e>
                          <m:sup>
                            <m:r>
                              <m:rPr>
                                <m:sty m:val="p"/>
                              </m:rPr>
                              <w:rPr>
                                <w:rFonts w:ascii="Cambria Math" w:hAnsi="Cambria Math" w:cs="SimSun"/>
                                <w:color w:val="000000"/>
                                <w:sz w:val="20"/>
                                <w:szCs w:val="20"/>
                                <w:lang w:eastAsia="zh-CN"/>
                              </w:rPr>
                              <m:t>2</m:t>
                            </m:r>
                          </m:sup>
                        </m:sSup>
                      </m:fName>
                      <m:e>
                        <m:d>
                          <m:dPr>
                            <m:ctrlPr>
                              <w:rPr>
                                <w:rFonts w:ascii="Cambria Math" w:hAnsi="Cambria Math" w:cs="SimSun"/>
                                <w:i/>
                                <w:color w:val="000000"/>
                                <w:sz w:val="20"/>
                                <w:szCs w:val="20"/>
                                <w:lang w:eastAsia="zh-CN"/>
                              </w:rPr>
                            </m:ctrlPr>
                          </m:dPr>
                          <m:e>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e>
                              <m:sub>
                                <m:r>
                                  <m:rPr>
                                    <m:sty m:val="p"/>
                                  </m:rPr>
                                  <w:rPr>
                                    <w:rFonts w:ascii="Cambria Math" w:hAnsi="Cambria Math" w:cs="SimSun"/>
                                    <w:color w:val="000000"/>
                                    <w:sz w:val="20"/>
                                    <w:szCs w:val="20"/>
                                    <w:lang w:eastAsia="zh-CN"/>
                                  </w:rPr>
                                  <m:t>i</m:t>
                                </m:r>
                              </m:sub>
                            </m:sSub>
                            <m:r>
                              <m:rPr>
                                <m:sty m:val="p"/>
                              </m:rPr>
                              <w:rPr>
                                <w:rFonts w:ascii="Cambria Math" w:hAnsi="Cambria Math" w:cs="SimSun"/>
                                <w:color w:val="000000"/>
                                <w:sz w:val="20"/>
                                <w:szCs w:val="20"/>
                                <w:lang w:eastAsia="zh-CN"/>
                              </w:rPr>
                              <m:t>+</m:t>
                            </m:r>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ctrlPr>
                                  <w:rPr>
                                    <w:rFonts w:ascii="Cambria Math" w:hAnsi="Cambria Math" w:cs="SimSun"/>
                                    <w:color w:val="000000"/>
                                    <w:sz w:val="20"/>
                                    <w:szCs w:val="20"/>
                                    <w:lang w:eastAsia="zh-CN"/>
                                  </w:rPr>
                                </m:ctrlPr>
                              </m:e>
                              <m:sub>
                                <m:r>
                                  <m:rPr>
                                    <m:sty m:val="p"/>
                                  </m:rPr>
                                  <w:rPr>
                                    <w:rFonts w:ascii="Cambria Math" w:hAnsi="Cambria Math" w:cs="SimSun"/>
                                    <w:color w:val="000000"/>
                                    <w:sz w:val="20"/>
                                    <w:szCs w:val="20"/>
                                    <w:lang w:eastAsia="zh-CN"/>
                                  </w:rPr>
                                  <m:t>t</m:t>
                                </m:r>
                              </m:sub>
                            </m:sSub>
                            <m:ctrlPr>
                              <w:rPr>
                                <w:rFonts w:ascii="Cambria Math" w:hAnsi="Cambria Math" w:cs="SimSun"/>
                                <w:color w:val="000000"/>
                                <w:sz w:val="20"/>
                                <w:szCs w:val="20"/>
                                <w:lang w:eastAsia="zh-CN"/>
                              </w:rPr>
                            </m:ctrlPr>
                          </m:e>
                        </m:d>
                      </m:e>
                    </m:func>
                  </m:den>
                </m:f>
                <m:r>
                  <w:rPr>
                    <w:rFonts w:ascii="Cambria Math" w:hAnsi="Cambria Math" w:cs="SimSun"/>
                    <w:color w:val="000000"/>
                    <w:sz w:val="20"/>
                    <w:szCs w:val="20"/>
                    <w:lang w:eastAsia="zh-CN"/>
                  </w:rPr>
                  <m:t>,</m:t>
                </m:r>
              </m:oMath>
            </m:oMathPara>
          </w:p>
        </w:tc>
        <w:tc>
          <w:tcPr>
            <w:tcW w:w="665" w:type="dxa"/>
            <w:vAlign w:val="center"/>
          </w:tcPr>
          <w:p w14:paraId="666020B8" w14:textId="77777777" w:rsidR="007E60EA" w:rsidRDefault="007E60EA" w:rsidP="00260D6A">
            <w:pPr>
              <w:jc w:val="right"/>
              <w:rPr>
                <w:lang w:eastAsia="zh-CN"/>
              </w:rPr>
            </w:pPr>
            <w:r w:rsidRPr="00A44492">
              <w:t>(</w:t>
            </w:r>
            <w:r>
              <w:rPr>
                <w:noProof/>
              </w:rPr>
              <w:fldChar w:fldCharType="begin"/>
            </w:r>
            <w:r>
              <w:rPr>
                <w:noProof/>
              </w:rPr>
              <w:instrText xml:space="preserve"> SEQ Equation \* ARABIC </w:instrText>
            </w:r>
            <w:r>
              <w:rPr>
                <w:noProof/>
              </w:rPr>
              <w:fldChar w:fldCharType="separate"/>
            </w:r>
            <w:r>
              <w:rPr>
                <w:noProof/>
              </w:rPr>
              <w:t>15</w:t>
            </w:r>
            <w:r>
              <w:rPr>
                <w:noProof/>
              </w:rPr>
              <w:fldChar w:fldCharType="end"/>
            </w:r>
            <w:r w:rsidRPr="00A44492">
              <w:rPr>
                <w:noProof/>
              </w:rPr>
              <w:t>)</w:t>
            </w:r>
          </w:p>
        </w:tc>
      </w:tr>
    </w:tbl>
    <w:p w14:paraId="59ACA6C8" w14:textId="4F873B78" w:rsidR="007E60EA" w:rsidRDefault="007E60EA" w:rsidP="007E60EA">
      <w:pPr>
        <w:rPr>
          <w:lang w:eastAsia="zh-CN"/>
        </w:rPr>
      </w:pPr>
      <w:r>
        <w:rPr>
          <w:lang w:eastAsia="zh-CN"/>
        </w:rPr>
        <w:t>w</w:t>
      </w:r>
      <w:r w:rsidRPr="00444FE6">
        <w:rPr>
          <w:lang w:eastAsia="zh-CN"/>
        </w:rPr>
        <w:t xml:space="preserve">here the angle of the incidence at the reflection surface between a first medium and a second medium is </w:t>
      </w:r>
      <m:oMath>
        <m:sSub>
          <m:sSubPr>
            <m:ctrlPr>
              <w:rPr>
                <w:rFonts w:ascii="Cambria Math" w:hAnsi="Cambria Math"/>
                <w:lang w:eastAsia="zh-CN"/>
              </w:rPr>
            </m:ctrlPr>
          </m:sSubPr>
          <m:e>
            <m:r>
              <w:rPr>
                <w:rFonts w:ascii="Cambria Math" w:hAnsi="Cambria Math"/>
                <w:lang w:eastAsia="zh-CN"/>
              </w:rPr>
              <m:t>θ</m:t>
            </m:r>
          </m:e>
          <m:sub>
            <m:r>
              <m:rPr>
                <m:sty m:val="p"/>
              </m:rPr>
              <w:rPr>
                <w:rFonts w:ascii="Cambria Math" w:hAnsi="Cambria Math"/>
                <w:lang w:eastAsia="zh-CN"/>
              </w:rPr>
              <m:t>i</m:t>
            </m:r>
          </m:sub>
        </m:sSub>
      </m:oMath>
      <w:r w:rsidRPr="00444FE6">
        <w:rPr>
          <w:lang w:eastAsia="zh-CN"/>
        </w:rPr>
        <w:t xml:space="preserve">, and </w:t>
      </w:r>
      <m:oMath>
        <m:sSub>
          <m:sSubPr>
            <m:ctrlPr>
              <w:rPr>
                <w:rFonts w:ascii="Cambria Math" w:hAnsi="Cambria Math"/>
                <w:lang w:eastAsia="zh-CN"/>
              </w:rPr>
            </m:ctrlPr>
          </m:sSubPr>
          <m:e>
            <m:r>
              <w:rPr>
                <w:rFonts w:ascii="Cambria Math" w:hAnsi="Cambria Math"/>
                <w:lang w:eastAsia="zh-CN"/>
              </w:rPr>
              <m:t>θ</m:t>
            </m:r>
          </m:e>
          <m:sub>
            <m:r>
              <m:rPr>
                <m:sty m:val="p"/>
              </m:rPr>
              <w:rPr>
                <w:rFonts w:ascii="Cambria Math" w:hAnsi="Cambria Math"/>
                <w:lang w:eastAsia="zh-CN"/>
              </w:rPr>
              <m:t>t</m:t>
            </m:r>
          </m:sub>
        </m:sSub>
        <m:r>
          <m:rPr>
            <m:sty m:val="p"/>
          </m:rPr>
          <w:rPr>
            <w:rFonts w:ascii="Cambria Math" w:hAnsi="Cambria Math"/>
            <w:lang w:eastAsia="zh-CN"/>
          </w:rPr>
          <m:t xml:space="preserve"> </m:t>
        </m:r>
      </m:oMath>
      <w:r w:rsidRPr="00444FE6">
        <w:rPr>
          <w:lang w:eastAsia="zh-CN"/>
        </w:rPr>
        <w:t xml:space="preserve">is the angle of transmission into the second medium. For the electromagnetic wave travelling from a medium of lower to higher index of refraction the difference </w:t>
      </w:r>
      <m:oMath>
        <m:sSub>
          <m:sSubPr>
            <m:ctrlPr>
              <w:rPr>
                <w:rFonts w:ascii="Cambria Math" w:hAnsi="Cambria Math"/>
                <w:lang w:eastAsia="zh-CN"/>
              </w:rPr>
            </m:ctrlPr>
          </m:sSubPr>
          <m:e>
            <m:r>
              <w:rPr>
                <w:rFonts w:ascii="Cambria Math" w:hAnsi="Cambria Math"/>
                <w:lang w:eastAsia="zh-CN"/>
              </w:rPr>
              <m:t>θ</m:t>
            </m:r>
          </m:e>
          <m:sub>
            <m:r>
              <m:rPr>
                <m:sty m:val="p"/>
              </m:rPr>
              <w:rPr>
                <w:rFonts w:ascii="Cambria Math" w:hAnsi="Cambria Math"/>
                <w:lang w:eastAsia="zh-CN"/>
              </w:rPr>
              <m:t>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m:rPr>
                <m:sty m:val="p"/>
              </m:rPr>
              <w:rPr>
                <w:rFonts w:ascii="Cambria Math" w:hAnsi="Cambria Math"/>
                <w:lang w:eastAsia="zh-CN"/>
              </w:rPr>
              <m:t>t</m:t>
            </m:r>
          </m:sub>
        </m:sSub>
      </m:oMath>
      <w:r w:rsidRPr="00444FE6">
        <w:rPr>
          <w:lang w:eastAsia="zh-CN"/>
        </w:rPr>
        <w:t xml:space="preserve"> is positive.</w:t>
      </w:r>
      <w:r>
        <w:rPr>
          <w:lang w:eastAsia="zh-CN"/>
        </w:rPr>
        <w:t xml:space="preserve">  </w:t>
      </w:r>
      <w:r w:rsidRPr="0017347B">
        <w:rPr>
          <w:lang w:eastAsia="zh-CN"/>
        </w:rPr>
        <w:t xml:space="preserve">From the above laws of physics results in order to </w:t>
      </w:r>
      <w:r>
        <w:rPr>
          <w:lang w:eastAsia="zh-CN"/>
        </w:rPr>
        <w:t>determine if a particular wave h</w:t>
      </w:r>
      <w:r w:rsidRPr="0017347B">
        <w:rPr>
          <w:lang w:eastAsia="zh-CN"/>
        </w:rPr>
        <w:t xml:space="preserve">as </w:t>
      </w:r>
      <w:r>
        <w:rPr>
          <w:lang w:eastAsia="zh-CN"/>
        </w:rPr>
        <w:t>suffered</w:t>
      </w:r>
      <w:r w:rsidRPr="0017347B">
        <w:rPr>
          <w:lang w:eastAsia="zh-CN"/>
        </w:rPr>
        <w:t xml:space="preserve"> a reflection (</w:t>
      </w:r>
      <w:r>
        <w:rPr>
          <w:lang w:eastAsia="zh-CN"/>
        </w:rPr>
        <w:t xml:space="preserve">corresponding to </w:t>
      </w:r>
      <w:r w:rsidRPr="0017347B">
        <w:rPr>
          <w:lang w:eastAsia="zh-CN"/>
        </w:rPr>
        <w:t>NLOS</w:t>
      </w:r>
      <w:r>
        <w:rPr>
          <w:lang w:eastAsia="zh-CN"/>
        </w:rPr>
        <w:t xml:space="preserve"> propagation</w:t>
      </w:r>
      <w:r w:rsidRPr="0017347B">
        <w:rPr>
          <w:lang w:eastAsia="zh-CN"/>
        </w:rPr>
        <w:t xml:space="preserve">), one could </w:t>
      </w:r>
      <w:r>
        <w:rPr>
          <w:lang w:eastAsia="zh-CN"/>
        </w:rPr>
        <w:t xml:space="preserve">send two different polarized signals with the same power in the same </w:t>
      </w:r>
      <w:r>
        <w:rPr>
          <w:lang w:eastAsia="zh-CN"/>
        </w:rPr>
        <w:lastRenderedPageBreak/>
        <w:t xml:space="preserve">direction and then </w:t>
      </w:r>
      <w:r w:rsidRPr="0017347B">
        <w:rPr>
          <w:lang w:eastAsia="zh-CN"/>
        </w:rPr>
        <w:t xml:space="preserve">observe the changes </w:t>
      </w:r>
      <w:r>
        <w:rPr>
          <w:lang w:eastAsia="zh-CN"/>
        </w:rPr>
        <w:t>in</w:t>
      </w:r>
      <w:r w:rsidRPr="0017347B">
        <w:rPr>
          <w:lang w:eastAsia="zh-CN"/>
        </w:rPr>
        <w:t xml:space="preserve"> the </w:t>
      </w:r>
      <w:r>
        <w:rPr>
          <w:lang w:eastAsia="zh-CN"/>
        </w:rPr>
        <w:t>intensity of the received signals</w:t>
      </w:r>
      <w:r w:rsidRPr="0017347B">
        <w:rPr>
          <w:lang w:eastAsia="zh-CN"/>
        </w:rPr>
        <w:t>.</w:t>
      </w:r>
      <w:r>
        <w:rPr>
          <w:lang w:eastAsia="zh-CN"/>
        </w:rPr>
        <w:t xml:space="preserve"> If the received intensities are different for different polarizations the wave suffered at least one reflection, i.e. it is a NLOS wave. </w:t>
      </w:r>
    </w:p>
    <w:p w14:paraId="15C401CB" w14:textId="1A6DFCD2" w:rsidR="00134BF8" w:rsidRDefault="007E60EA" w:rsidP="001620EC">
      <w:pPr>
        <w:spacing w:beforeLines="50" w:before="120"/>
      </w:pPr>
      <w:r>
        <w:rPr>
          <w:lang w:eastAsia="ja-JP"/>
        </w:rPr>
        <w:t xml:space="preserve">Other approaches </w:t>
      </w:r>
      <w:r w:rsidR="002A3476">
        <w:rPr>
          <w:lang w:eastAsia="ja-JP"/>
        </w:rPr>
        <w:t xml:space="preserve">to mitigate the positioning </w:t>
      </w:r>
      <w:r w:rsidR="0021147B">
        <w:rPr>
          <w:lang w:eastAsia="ja-JP"/>
        </w:rPr>
        <w:t xml:space="preserve">error </w:t>
      </w:r>
      <w:r w:rsidR="002A3476">
        <w:rPr>
          <w:lang w:eastAsia="ja-JP"/>
        </w:rPr>
        <w:t xml:space="preserve">for </w:t>
      </w:r>
      <w:r w:rsidR="00BE41CC">
        <w:rPr>
          <w:lang w:eastAsia="ja-JP"/>
        </w:rPr>
        <w:t xml:space="preserve">the </w:t>
      </w:r>
      <w:r>
        <w:rPr>
          <w:lang w:eastAsia="ja-JP"/>
        </w:rPr>
        <w:t xml:space="preserve">NLOS </w:t>
      </w:r>
      <w:r w:rsidR="00BE41CC">
        <w:rPr>
          <w:lang w:eastAsia="ja-JP"/>
        </w:rPr>
        <w:t xml:space="preserve">scenarios </w:t>
      </w:r>
      <w:r w:rsidR="002A3476">
        <w:rPr>
          <w:lang w:eastAsia="ja-JP"/>
        </w:rPr>
        <w:t xml:space="preserve">are also available and </w:t>
      </w:r>
      <w:r>
        <w:rPr>
          <w:lang w:eastAsia="ja-JP"/>
        </w:rPr>
        <w:t>should</w:t>
      </w:r>
      <w:r w:rsidR="00211AE0">
        <w:rPr>
          <w:lang w:eastAsia="ja-JP"/>
        </w:rPr>
        <w:t xml:space="preserve"> also</w:t>
      </w:r>
      <w:r>
        <w:rPr>
          <w:lang w:eastAsia="ja-JP"/>
        </w:rPr>
        <w:t xml:space="preserve"> be considered. As a start, our S</w:t>
      </w:r>
      <w:r w:rsidR="00134BF8" w:rsidRPr="002058D0">
        <w:rPr>
          <w:lang w:eastAsia="ja-JP"/>
        </w:rPr>
        <w:t xml:space="preserve">tudy should </w:t>
      </w:r>
      <w:r w:rsidR="00211AE0">
        <w:rPr>
          <w:lang w:eastAsia="ja-JP"/>
        </w:rPr>
        <w:t xml:space="preserve">evaluate </w:t>
      </w:r>
      <w:r w:rsidR="00134BF8" w:rsidRPr="002058D0">
        <w:t xml:space="preserve">the positioning errors generated by </w:t>
      </w:r>
      <w:r w:rsidR="00211AE0">
        <w:t>N</w:t>
      </w:r>
      <w:r w:rsidR="00134BF8" w:rsidRPr="002058D0">
        <w:t>LOS versus LOS</w:t>
      </w:r>
      <w:r w:rsidR="00211AE0">
        <w:t xml:space="preserve"> on the positioning estimations </w:t>
      </w:r>
      <w:r w:rsidR="00134BF8" w:rsidRPr="002058D0">
        <w:t xml:space="preserve">and </w:t>
      </w:r>
      <w:r w:rsidR="00211AE0">
        <w:t xml:space="preserve">investigate different approaches </w:t>
      </w:r>
      <w:r w:rsidR="00134BF8" w:rsidRPr="002058D0">
        <w:t xml:space="preserve">to </w:t>
      </w:r>
      <w:r w:rsidR="00211AE0">
        <w:t xml:space="preserve">mitigate them. </w:t>
      </w:r>
      <w:r w:rsidR="002F70D2">
        <w:t xml:space="preserve">In [4], some preliminary studies on the effects of NLOS on the positioning accuracy are presented. In that study, we have </w:t>
      </w:r>
      <w:r w:rsidR="002B78D6">
        <w:t>adopted the modeling approach described in Section 7.6.9 of TR38.901 for the NLOS Channel Impulse Response.</w:t>
      </w:r>
      <w:r w:rsidR="002F70D2">
        <w:t xml:space="preserve"> </w:t>
      </w:r>
    </w:p>
    <w:p w14:paraId="6A910D29" w14:textId="06EA7560" w:rsidR="00134BF8" w:rsidRPr="00A10B40" w:rsidRDefault="00CA1FDC" w:rsidP="001620EC">
      <w:pPr>
        <w:spacing w:beforeLines="50" w:before="120"/>
        <w:rPr>
          <w:lang w:eastAsia="ja-JP"/>
        </w:rPr>
      </w:pPr>
      <w:r>
        <w:rPr>
          <w:b/>
          <w:i/>
        </w:rPr>
        <w:t>Proposal 1</w:t>
      </w:r>
      <w:r w:rsidR="00134BF8">
        <w:t xml:space="preserve">: </w:t>
      </w:r>
      <w:r w:rsidR="00134BF8" w:rsidRPr="00A10B40">
        <w:rPr>
          <w:lang w:eastAsia="ja-JP"/>
        </w:rPr>
        <w:t>The study should investigate ways to distinguish between LOS and NLOS propagation measurements</w:t>
      </w:r>
      <w:r w:rsidR="002B78D6">
        <w:rPr>
          <w:lang w:eastAsia="ja-JP"/>
        </w:rPr>
        <w:t xml:space="preserve"> to address overestimation of UE locations due to NLOS paths additional propagation delays.</w:t>
      </w:r>
    </w:p>
    <w:p w14:paraId="0010BFCD" w14:textId="1D3F5C8C" w:rsidR="00DB6ED8" w:rsidRDefault="00DB6ED8" w:rsidP="007F5EC6"/>
    <w:p w14:paraId="18B94AA5" w14:textId="4F262795" w:rsidR="00157FC3" w:rsidRPr="00493C77" w:rsidRDefault="00747F48" w:rsidP="00493C77">
      <w:pPr>
        <w:pStyle w:val="Heading1"/>
      </w:pPr>
      <w:r w:rsidRPr="00493C77">
        <w:t>Conclusion</w:t>
      </w:r>
      <w:r w:rsidR="006B1FD5" w:rsidRPr="00493C77">
        <w:t>s</w:t>
      </w:r>
    </w:p>
    <w:p w14:paraId="4D3B8286" w14:textId="6BA587FD" w:rsidR="002C65CC" w:rsidRDefault="002C65CC" w:rsidP="00211AE0">
      <w:pPr>
        <w:pStyle w:val="Heading1"/>
        <w:numPr>
          <w:ilvl w:val="0"/>
          <w:numId w:val="0"/>
        </w:numPr>
      </w:pPr>
      <w:r w:rsidRPr="007C655F">
        <w:rPr>
          <w:rFonts w:ascii="Times New Roman" w:hAnsi="Times New Roman"/>
          <w:b w:val="0"/>
          <w:sz w:val="22"/>
          <w:lang w:val="en-GB"/>
        </w:rPr>
        <w:t>In th</w:t>
      </w:r>
      <w:r>
        <w:rPr>
          <w:rFonts w:ascii="Times New Roman" w:hAnsi="Times New Roman"/>
          <w:b w:val="0"/>
          <w:sz w:val="22"/>
          <w:lang w:val="en-GB"/>
        </w:rPr>
        <w:t>is contribution, some aspects for further study for positioning accuracy enhancements are proposed. The following Observations have been proposed.</w:t>
      </w:r>
    </w:p>
    <w:p w14:paraId="4B86E029" w14:textId="190418E3" w:rsidR="002C65CC" w:rsidRDefault="002C65CC" w:rsidP="002C65CC">
      <w:pPr>
        <w:pStyle w:val="3GPPAgreements"/>
        <w:numPr>
          <w:ilvl w:val="0"/>
          <w:numId w:val="0"/>
        </w:numPr>
      </w:pPr>
      <w:r w:rsidRPr="00BE135C">
        <w:rPr>
          <w:b/>
          <w:i/>
        </w:rPr>
        <w:t>Observation 1</w:t>
      </w:r>
      <w:r>
        <w:t>: Greater densification of TRPs/</w:t>
      </w:r>
      <w:proofErr w:type="spellStart"/>
      <w:r>
        <w:t>gNBs</w:t>
      </w:r>
      <w:proofErr w:type="spellEnd"/>
      <w:r>
        <w:t xml:space="preserve">/LMUs may provide a favorable positioning accuracy improvement with minimal specifications impact. </w:t>
      </w:r>
    </w:p>
    <w:p w14:paraId="317C4076" w14:textId="6363E7B5" w:rsidR="0021120F" w:rsidRDefault="002B78D6" w:rsidP="00C32217">
      <w:pPr>
        <w:rPr>
          <w:lang w:eastAsia="zh-CN"/>
        </w:rPr>
      </w:pPr>
      <w:r>
        <w:rPr>
          <w:b/>
          <w:i/>
        </w:rPr>
        <w:t>Proposal 1</w:t>
      </w:r>
      <w:r>
        <w:t xml:space="preserve">: </w:t>
      </w:r>
      <w:r w:rsidRPr="00A10B40">
        <w:rPr>
          <w:lang w:eastAsia="ja-JP"/>
        </w:rPr>
        <w:t>The study should investigate ways to distinguish between LOS and NLOS propagation measurements</w:t>
      </w:r>
      <w:r>
        <w:rPr>
          <w:lang w:eastAsia="ja-JP"/>
        </w:rPr>
        <w:t xml:space="preserve"> to address overestimation of UE locations due to NLOS paths additional propagation delays.</w:t>
      </w:r>
    </w:p>
    <w:p w14:paraId="7A298176" w14:textId="617019D8" w:rsidR="000E5C15" w:rsidRDefault="000E5C15"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bookmarkEnd w:id="2"/>
    <w:bookmarkEnd w:id="4"/>
    <w:bookmarkEnd w:id="5"/>
    <w:bookmarkEnd w:id="6"/>
    <w:p w14:paraId="695085CB" w14:textId="19E76C4B" w:rsidR="002F70D2" w:rsidRPr="00211AE0" w:rsidRDefault="000E5C15" w:rsidP="00A127AF">
      <w:pPr>
        <w:pStyle w:val="References"/>
        <w:rPr>
          <w:sz w:val="22"/>
          <w:szCs w:val="22"/>
        </w:rPr>
      </w:pPr>
      <w:r w:rsidRPr="00211AE0">
        <w:rPr>
          <w:sz w:val="22"/>
          <w:szCs w:val="22"/>
        </w:rPr>
        <w:t>R1-200</w:t>
      </w:r>
      <w:r w:rsidR="002F70D2" w:rsidRPr="00211AE0">
        <w:rPr>
          <w:sz w:val="22"/>
          <w:szCs w:val="22"/>
        </w:rPr>
        <w:t>3284</w:t>
      </w:r>
      <w:r w:rsidRPr="00211AE0">
        <w:rPr>
          <w:sz w:val="22"/>
          <w:szCs w:val="22"/>
        </w:rPr>
        <w:t>, “</w:t>
      </w:r>
      <w:r w:rsidRPr="00211AE0">
        <w:rPr>
          <w:sz w:val="22"/>
          <w:szCs w:val="22"/>
          <w:lang w:eastAsia="zh-CN"/>
        </w:rPr>
        <w:t>IIOT Scenarios for Positioning,” Futurewei, RAN1#10</w:t>
      </w:r>
      <w:r w:rsidR="002C65CC" w:rsidRPr="00211AE0">
        <w:rPr>
          <w:sz w:val="22"/>
          <w:szCs w:val="22"/>
          <w:lang w:eastAsia="zh-CN"/>
        </w:rPr>
        <w:t>1</w:t>
      </w:r>
      <w:r w:rsidR="002F70D2" w:rsidRPr="00211AE0">
        <w:rPr>
          <w:sz w:val="22"/>
          <w:szCs w:val="22"/>
          <w:lang w:eastAsia="zh-CN"/>
        </w:rPr>
        <w:t>-</w:t>
      </w:r>
      <w:r w:rsidR="002C65CC" w:rsidRPr="00211AE0">
        <w:rPr>
          <w:sz w:val="22"/>
          <w:szCs w:val="22"/>
          <w:lang w:eastAsia="zh-CN"/>
        </w:rPr>
        <w:t>e</w:t>
      </w:r>
      <w:r w:rsidR="002F70D2" w:rsidRPr="00211AE0">
        <w:rPr>
          <w:sz w:val="22"/>
          <w:szCs w:val="22"/>
          <w:lang w:eastAsia="zh-CN"/>
        </w:rPr>
        <w:t>.</w:t>
      </w:r>
    </w:p>
    <w:p w14:paraId="5495F159" w14:textId="77777777" w:rsidR="002F70D2" w:rsidRPr="00211AE0" w:rsidRDefault="002F70D2" w:rsidP="006708E5">
      <w:pPr>
        <w:pStyle w:val="References"/>
        <w:wordWrap w:val="0"/>
        <w:rPr>
          <w:sz w:val="22"/>
          <w:szCs w:val="22"/>
        </w:rPr>
      </w:pPr>
      <w:r w:rsidRPr="00211AE0">
        <w:rPr>
          <w:sz w:val="22"/>
          <w:szCs w:val="22"/>
        </w:rPr>
        <w:t xml:space="preserve">TR38.855, “Study on NR positioning support.” </w:t>
      </w:r>
    </w:p>
    <w:p w14:paraId="210EC3C8" w14:textId="61C8CF62" w:rsidR="002F70D2" w:rsidRPr="00211AE0" w:rsidRDefault="002F70D2" w:rsidP="00211AE0">
      <w:pPr>
        <w:pStyle w:val="References"/>
        <w:wordWrap w:val="0"/>
        <w:rPr>
          <w:sz w:val="22"/>
          <w:szCs w:val="22"/>
        </w:rPr>
      </w:pPr>
      <w:r w:rsidRPr="00211AE0">
        <w:rPr>
          <w:sz w:val="22"/>
          <w:szCs w:val="22"/>
        </w:rPr>
        <w:t>Ismail G., C-C Chong, “A Survey on TOA Based Wireless Localization and NLOS Mitigation Techn</w:t>
      </w:r>
      <w:r w:rsidR="002B78D6">
        <w:rPr>
          <w:sz w:val="22"/>
          <w:szCs w:val="22"/>
        </w:rPr>
        <w:t>i</w:t>
      </w:r>
      <w:r w:rsidRPr="00211AE0">
        <w:rPr>
          <w:sz w:val="22"/>
          <w:szCs w:val="22"/>
        </w:rPr>
        <w:t xml:space="preserve">ques,” IEEE Comm. Surveys and Tutorial, 2009. </w:t>
      </w:r>
    </w:p>
    <w:p w14:paraId="7FD603A3" w14:textId="77777777" w:rsidR="002F70D2" w:rsidRPr="00211AE0" w:rsidRDefault="002F70D2" w:rsidP="00211AE0">
      <w:pPr>
        <w:pStyle w:val="References"/>
        <w:wordWrap w:val="0"/>
        <w:rPr>
          <w:sz w:val="22"/>
          <w:szCs w:val="22"/>
        </w:rPr>
      </w:pPr>
      <w:r w:rsidRPr="00211AE0">
        <w:rPr>
          <w:sz w:val="22"/>
          <w:szCs w:val="22"/>
        </w:rPr>
        <w:t>R1-2003547, “Evaluation of Rel-16 Positioning for IIOT,” Futurewei, RAN1#101-e.</w:t>
      </w:r>
    </w:p>
    <w:p w14:paraId="49C06D68" w14:textId="2C9ECBE2" w:rsidR="000E5C15" w:rsidRDefault="000E5C15">
      <w:pPr>
        <w:pStyle w:val="References"/>
        <w:numPr>
          <w:ilvl w:val="0"/>
          <w:numId w:val="0"/>
        </w:numPr>
        <w:ind w:left="360"/>
      </w:pPr>
    </w:p>
    <w:p w14:paraId="554A5EBF" w14:textId="2AC2C3F2" w:rsidR="002058D0" w:rsidRPr="007F5EC6" w:rsidRDefault="002058D0" w:rsidP="001620EC">
      <w:pPr>
        <w:pStyle w:val="References"/>
        <w:numPr>
          <w:ilvl w:val="0"/>
          <w:numId w:val="0"/>
        </w:numPr>
        <w:ind w:left="360"/>
      </w:pPr>
    </w:p>
    <w:sectPr w:rsidR="002058D0"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31AD2" w14:textId="77777777" w:rsidR="00C15014" w:rsidRDefault="00C15014">
      <w:r>
        <w:separator/>
      </w:r>
    </w:p>
  </w:endnote>
  <w:endnote w:type="continuationSeparator" w:id="0">
    <w:p w14:paraId="5DB10A57" w14:textId="77777777" w:rsidR="00C15014" w:rsidRDefault="00C1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9BE9A" w14:textId="77777777" w:rsidR="00C15014" w:rsidRDefault="00C15014">
      <w:r>
        <w:separator/>
      </w:r>
    </w:p>
  </w:footnote>
  <w:footnote w:type="continuationSeparator" w:id="0">
    <w:p w14:paraId="4E54C08B" w14:textId="77777777" w:rsidR="00C15014" w:rsidRDefault="00C150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36AE"/>
    <w:multiLevelType w:val="hybridMultilevel"/>
    <w:tmpl w:val="FC782E68"/>
    <w:lvl w:ilvl="0" w:tplc="D75A3CC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C4658C"/>
    <w:multiLevelType w:val="hybridMultilevel"/>
    <w:tmpl w:val="D92E6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2F15040D"/>
    <w:multiLevelType w:val="hybridMultilevel"/>
    <w:tmpl w:val="212E3B56"/>
    <w:lvl w:ilvl="0" w:tplc="5C1870A6">
      <w:start w:val="6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2"/>
  </w:num>
  <w:num w:numId="6">
    <w:abstractNumId w:val="6"/>
  </w:num>
  <w:num w:numId="7">
    <w:abstractNumId w:val="1"/>
  </w:num>
  <w:num w:numId="8">
    <w:abstractNumId w:val="1"/>
  </w:num>
  <w:num w:numId="9">
    <w:abstractNumId w:val="1"/>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A05"/>
    <w:rsid w:val="00016B0E"/>
    <w:rsid w:val="00016EF9"/>
    <w:rsid w:val="000172BE"/>
    <w:rsid w:val="00017D8A"/>
    <w:rsid w:val="000227D0"/>
    <w:rsid w:val="00023388"/>
    <w:rsid w:val="00023425"/>
    <w:rsid w:val="00023685"/>
    <w:rsid w:val="000241BE"/>
    <w:rsid w:val="000242F2"/>
    <w:rsid w:val="0002501D"/>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87A"/>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0D2"/>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5C15"/>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4BF8"/>
    <w:rsid w:val="00135A01"/>
    <w:rsid w:val="00136A23"/>
    <w:rsid w:val="00136B99"/>
    <w:rsid w:val="0014063E"/>
    <w:rsid w:val="0014087D"/>
    <w:rsid w:val="00140F74"/>
    <w:rsid w:val="00141191"/>
    <w:rsid w:val="0014159C"/>
    <w:rsid w:val="00142665"/>
    <w:rsid w:val="0014384A"/>
    <w:rsid w:val="0014450F"/>
    <w:rsid w:val="00144D8F"/>
    <w:rsid w:val="00144DCF"/>
    <w:rsid w:val="0014597A"/>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0EC"/>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16"/>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8D0"/>
    <w:rsid w:val="00205A0F"/>
    <w:rsid w:val="00207118"/>
    <w:rsid w:val="00210860"/>
    <w:rsid w:val="00210B6A"/>
    <w:rsid w:val="0021120F"/>
    <w:rsid w:val="0021147B"/>
    <w:rsid w:val="00211AE0"/>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0D6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01E"/>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476"/>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8D6"/>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5CC"/>
    <w:rsid w:val="002C73E3"/>
    <w:rsid w:val="002C7DF5"/>
    <w:rsid w:val="002D0439"/>
    <w:rsid w:val="002D077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0D2"/>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1EE5"/>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0CB"/>
    <w:rsid w:val="0036487C"/>
    <w:rsid w:val="00365386"/>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792"/>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1C1"/>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285"/>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2928"/>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BE0"/>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1B"/>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6D"/>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263"/>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0DD"/>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8F3"/>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3B84"/>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6B2B"/>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15"/>
    <w:rsid w:val="0079506E"/>
    <w:rsid w:val="007A02A2"/>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61F"/>
    <w:rsid w:val="007E1369"/>
    <w:rsid w:val="007E1A1B"/>
    <w:rsid w:val="007E1A88"/>
    <w:rsid w:val="007E27EB"/>
    <w:rsid w:val="007E4782"/>
    <w:rsid w:val="007E4C88"/>
    <w:rsid w:val="007E52BF"/>
    <w:rsid w:val="007E585E"/>
    <w:rsid w:val="007E5FD9"/>
    <w:rsid w:val="007E60EA"/>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4CA2"/>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3C"/>
    <w:rsid w:val="00810D8D"/>
    <w:rsid w:val="00811835"/>
    <w:rsid w:val="008128B1"/>
    <w:rsid w:val="00813FD5"/>
    <w:rsid w:val="00814E3E"/>
    <w:rsid w:val="00814F60"/>
    <w:rsid w:val="0081581D"/>
    <w:rsid w:val="00816E9B"/>
    <w:rsid w:val="00816FCB"/>
    <w:rsid w:val="008172BE"/>
    <w:rsid w:val="00817B71"/>
    <w:rsid w:val="00817C94"/>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5674"/>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6FC6"/>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4A5"/>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D90"/>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C83"/>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40"/>
    <w:rsid w:val="00A10BB8"/>
    <w:rsid w:val="00A11C08"/>
    <w:rsid w:val="00A11F8C"/>
    <w:rsid w:val="00A1200D"/>
    <w:rsid w:val="00A127AF"/>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19"/>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04"/>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9A"/>
    <w:rsid w:val="00B12EF9"/>
    <w:rsid w:val="00B143EF"/>
    <w:rsid w:val="00B14680"/>
    <w:rsid w:val="00B149F1"/>
    <w:rsid w:val="00B156A9"/>
    <w:rsid w:val="00B15BA4"/>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1C6"/>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B77"/>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5C"/>
    <w:rsid w:val="00BE13F0"/>
    <w:rsid w:val="00BE1D82"/>
    <w:rsid w:val="00BE1EE4"/>
    <w:rsid w:val="00BE1F8B"/>
    <w:rsid w:val="00BE27E4"/>
    <w:rsid w:val="00BE2B4F"/>
    <w:rsid w:val="00BE2F39"/>
    <w:rsid w:val="00BE332D"/>
    <w:rsid w:val="00BE3808"/>
    <w:rsid w:val="00BE3CF1"/>
    <w:rsid w:val="00BE3DC2"/>
    <w:rsid w:val="00BE41CC"/>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5014"/>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1FDC"/>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4A48"/>
    <w:rsid w:val="00CB5B1E"/>
    <w:rsid w:val="00CB787A"/>
    <w:rsid w:val="00CC0C4A"/>
    <w:rsid w:val="00CC12E2"/>
    <w:rsid w:val="00CC17F0"/>
    <w:rsid w:val="00CC1853"/>
    <w:rsid w:val="00CC1D13"/>
    <w:rsid w:val="00CC1FAE"/>
    <w:rsid w:val="00CC3A23"/>
    <w:rsid w:val="00CC3BD5"/>
    <w:rsid w:val="00CC3CD6"/>
    <w:rsid w:val="00CC426A"/>
    <w:rsid w:val="00CC45A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7B2E"/>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04C"/>
    <w:rsid w:val="00D44994"/>
    <w:rsid w:val="00D45C8D"/>
    <w:rsid w:val="00D45DF3"/>
    <w:rsid w:val="00D46174"/>
    <w:rsid w:val="00D47C8B"/>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147"/>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586"/>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6"/>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67D"/>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A92"/>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0E5C"/>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BB3"/>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5D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2091"/>
    <w:rsid w:val="00F433BD"/>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7034"/>
    <w:rsid w:val="00F57B1F"/>
    <w:rsid w:val="00F60BE9"/>
    <w:rsid w:val="00F61FD8"/>
    <w:rsid w:val="00F62478"/>
    <w:rsid w:val="00F62816"/>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4E4A"/>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NO">
    <w:name w:val="NO"/>
    <w:basedOn w:val="Normal"/>
    <w:rsid w:val="00CB4A4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3GPPAgreements">
    <w:name w:val="3GPP Agreements"/>
    <w:basedOn w:val="Normal"/>
    <w:link w:val="3GPPAgreementsChar"/>
    <w:qFormat/>
    <w:rsid w:val="00016A0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016A05"/>
    <w:rPr>
      <w:sz w:val="22"/>
      <w:lang w:eastAsia="zh-CN"/>
    </w:rPr>
  </w:style>
  <w:style w:type="paragraph" w:styleId="NormalWeb">
    <w:name w:val="Normal (Web)"/>
    <w:basedOn w:val="Normal"/>
    <w:uiPriority w:val="99"/>
    <w:unhideWhenUsed/>
    <w:rsid w:val="006750DD"/>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2C65CC"/>
    <w:rPr>
      <w:rFonts w:ascii="Arial" w:hAnsi="Arial"/>
      <w:b/>
      <w:bCs/>
      <w:sz w:val="28"/>
      <w:szCs w:val="28"/>
    </w:rPr>
  </w:style>
  <w:style w:type="paragraph" w:customStyle="1" w:styleId="ZT">
    <w:name w:val="ZT"/>
    <w:rsid w:val="002F70D2"/>
    <w:pPr>
      <w:framePr w:wrap="notBeside" w:hAnchor="margin" w:yAlign="center"/>
      <w:widowControl w:val="0"/>
      <w:spacing w:line="240" w:lineRule="atLeast"/>
      <w:jc w:val="right"/>
    </w:pPr>
    <w:rPr>
      <w:rFonts w:ascii="Arial"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763678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71996">
      <w:bodyDiv w:val="1"/>
      <w:marLeft w:val="0"/>
      <w:marRight w:val="0"/>
      <w:marTop w:val="0"/>
      <w:marBottom w:val="0"/>
      <w:divBdr>
        <w:top w:val="none" w:sz="0" w:space="0" w:color="auto"/>
        <w:left w:val="none" w:sz="0" w:space="0" w:color="auto"/>
        <w:bottom w:val="none" w:sz="0" w:space="0" w:color="auto"/>
        <w:right w:val="none" w:sz="0" w:space="0" w:color="auto"/>
      </w:divBdr>
    </w:div>
    <w:div w:id="1237865578">
      <w:bodyDiv w:val="1"/>
      <w:marLeft w:val="0"/>
      <w:marRight w:val="0"/>
      <w:marTop w:val="0"/>
      <w:marBottom w:val="0"/>
      <w:divBdr>
        <w:top w:val="none" w:sz="0" w:space="0" w:color="auto"/>
        <w:left w:val="none" w:sz="0" w:space="0" w:color="auto"/>
        <w:bottom w:val="none" w:sz="0" w:space="0" w:color="auto"/>
        <w:right w:val="none" w:sz="0" w:space="0" w:color="auto"/>
      </w:divBdr>
    </w:div>
    <w:div w:id="16233409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6E1D5-E17B-4CA8-9AB8-DAB5CC174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Teck Hu</cp:lastModifiedBy>
  <cp:revision>2</cp:revision>
  <cp:lastPrinted>2007-06-18T22:08:00Z</cp:lastPrinted>
  <dcterms:created xsi:type="dcterms:W3CDTF">2020-05-14T16:09:00Z</dcterms:created>
  <dcterms:modified xsi:type="dcterms:W3CDTF">2020-05-14T16:09:00Z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