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16A29" w14:textId="0764A2B5" w:rsidR="00FA1BAA" w:rsidRPr="0033027D" w:rsidRDefault="00FA1BAA" w:rsidP="00FA1BAA">
      <w:pPr>
        <w:pStyle w:val="CRCoverPage"/>
        <w:tabs>
          <w:tab w:val="right" w:pos="9639"/>
        </w:tabs>
        <w:spacing w:after="0"/>
        <w:rPr>
          <w:b/>
          <w:noProof/>
          <w:sz w:val="24"/>
        </w:rPr>
      </w:pPr>
      <w:bookmarkStart w:id="0" w:name="_Hlk514061252"/>
      <w:r w:rsidRPr="0033027D">
        <w:rPr>
          <w:b/>
          <w:noProof/>
          <w:sz w:val="24"/>
        </w:rPr>
        <w:t>3GPP TSG</w:t>
      </w:r>
      <w:r>
        <w:rPr>
          <w:b/>
          <w:noProof/>
          <w:sz w:val="24"/>
        </w:rPr>
        <w:t xml:space="preserve"> RAN </w:t>
      </w:r>
      <w:r w:rsidRPr="0033027D">
        <w:rPr>
          <w:b/>
          <w:noProof/>
          <w:sz w:val="24"/>
        </w:rPr>
        <w:t>Meeting #</w:t>
      </w:r>
      <w:r>
        <w:rPr>
          <w:b/>
          <w:noProof/>
          <w:sz w:val="24"/>
        </w:rPr>
        <w:t>99</w:t>
      </w:r>
      <w:r w:rsidRPr="0033027D">
        <w:rPr>
          <w:b/>
          <w:noProof/>
          <w:sz w:val="24"/>
        </w:rPr>
        <w:tab/>
      </w:r>
      <w:r>
        <w:rPr>
          <w:b/>
          <w:noProof/>
          <w:sz w:val="24"/>
        </w:rPr>
        <w:t>RP</w:t>
      </w:r>
      <w:r w:rsidRPr="0033027D">
        <w:rPr>
          <w:b/>
          <w:noProof/>
          <w:sz w:val="24"/>
        </w:rPr>
        <w:t>-</w:t>
      </w:r>
      <w:r>
        <w:rPr>
          <w:b/>
          <w:noProof/>
          <w:sz w:val="24"/>
        </w:rPr>
        <w:t>23068</w:t>
      </w:r>
      <w:r>
        <w:rPr>
          <w:b/>
          <w:noProof/>
          <w:sz w:val="24"/>
        </w:rPr>
        <w:t>2</w:t>
      </w:r>
    </w:p>
    <w:p w14:paraId="7CF27E55" w14:textId="77777777" w:rsidR="00FA1BAA" w:rsidRPr="006A45BA" w:rsidRDefault="00FA1BAA" w:rsidP="00FA1BAA">
      <w:pPr>
        <w:pStyle w:val="CRCoverPage"/>
        <w:tabs>
          <w:tab w:val="right" w:pos="9639"/>
        </w:tabs>
        <w:spacing w:after="0"/>
        <w:rPr>
          <w:b/>
          <w:noProof/>
          <w:sz w:val="24"/>
        </w:rPr>
      </w:pPr>
      <w:r>
        <w:rPr>
          <w:b/>
          <w:noProof/>
          <w:sz w:val="24"/>
        </w:rPr>
        <w:t>Rotterdam, Netherlands</w:t>
      </w:r>
      <w:r w:rsidRPr="00B01ACB">
        <w:rPr>
          <w:b/>
          <w:noProof/>
          <w:sz w:val="24"/>
        </w:rPr>
        <w:t xml:space="preserve">, </w:t>
      </w:r>
      <w:r>
        <w:rPr>
          <w:b/>
          <w:noProof/>
          <w:sz w:val="24"/>
        </w:rPr>
        <w:t>March 20-23</w:t>
      </w:r>
      <w:r w:rsidRPr="00B01ACB">
        <w:rPr>
          <w:b/>
          <w:noProof/>
          <w:sz w:val="24"/>
        </w:rPr>
        <w:t>, 202</w:t>
      </w:r>
      <w:r>
        <w:rPr>
          <w:b/>
          <w:noProof/>
          <w:sz w:val="24"/>
        </w:rPr>
        <w:t>3</w:t>
      </w:r>
      <w:r w:rsidRPr="0033027D">
        <w:rPr>
          <w:b/>
          <w:noProof/>
          <w:sz w:val="24"/>
        </w:rPr>
        <w:tab/>
      </w:r>
      <w:r w:rsidRPr="006A45BA">
        <w:rPr>
          <w:rFonts w:eastAsia="Batang" w:cs="Arial"/>
          <w:sz w:val="18"/>
          <w:szCs w:val="18"/>
          <w:lang w:eastAsia="zh-CN"/>
        </w:rPr>
        <w:t xml:space="preserve">(revision of </w:t>
      </w:r>
      <w:r>
        <w:rPr>
          <w:rFonts w:eastAsia="Batang" w:cs="Arial"/>
          <w:sz w:val="18"/>
          <w:szCs w:val="18"/>
          <w:lang w:eastAsia="zh-CN"/>
        </w:rPr>
        <w:t>RP</w:t>
      </w:r>
      <w:r w:rsidRPr="006A45BA">
        <w:rPr>
          <w:rFonts w:eastAsia="Batang" w:cs="Arial"/>
          <w:sz w:val="18"/>
          <w:szCs w:val="18"/>
          <w:lang w:eastAsia="zh-CN"/>
        </w:rPr>
        <w:t>-</w:t>
      </w:r>
      <w:r>
        <w:rPr>
          <w:rFonts w:eastAsia="Batang" w:cs="Arial"/>
          <w:sz w:val="18"/>
          <w:szCs w:val="18"/>
          <w:lang w:eastAsia="zh-CN"/>
        </w:rPr>
        <w:t>yy</w:t>
      </w:r>
      <w:r w:rsidRPr="006A45BA">
        <w:rPr>
          <w:rFonts w:eastAsia="Batang" w:cs="Arial"/>
          <w:sz w:val="18"/>
          <w:szCs w:val="18"/>
          <w:lang w:eastAsia="zh-CN"/>
        </w:rPr>
        <w:t>xxxx)</w:t>
      </w:r>
    </w:p>
    <w:p w14:paraId="56D612F5" w14:textId="77777777" w:rsidR="00037460" w:rsidRPr="00823EBF" w:rsidRDefault="00037460" w:rsidP="00037460">
      <w:pPr>
        <w:spacing w:after="60"/>
        <w:ind w:left="1985" w:hanging="1985"/>
        <w:jc w:val="both"/>
        <w:rPr>
          <w:rFonts w:ascii="Arial" w:hAnsi="Arial" w:cs="Arial"/>
          <w:b/>
          <w:sz w:val="24"/>
          <w:lang w:eastAsia="ko-KR"/>
        </w:rPr>
      </w:pPr>
    </w:p>
    <w:p w14:paraId="6DA21A3E" w14:textId="1C248FF9" w:rsidR="00037460" w:rsidRPr="00823EBF" w:rsidRDefault="00037460" w:rsidP="00037460">
      <w:pPr>
        <w:widowControl w:val="0"/>
        <w:spacing w:after="0"/>
        <w:jc w:val="both"/>
        <w:rPr>
          <w:rFonts w:ascii="Arial" w:hAnsi="Arial" w:cs="Arial"/>
          <w:b/>
          <w:noProof/>
          <w:sz w:val="24"/>
          <w:szCs w:val="24"/>
        </w:rPr>
      </w:pPr>
      <w:r w:rsidRPr="00823EBF">
        <w:rPr>
          <w:rFonts w:ascii="Arial" w:hAnsi="Arial" w:cs="Arial"/>
          <w:b/>
          <w:noProof/>
          <w:sz w:val="24"/>
          <w:szCs w:val="24"/>
        </w:rPr>
        <w:t>Agenda Item:</w:t>
      </w:r>
      <w:r w:rsidRPr="00823EBF">
        <w:rPr>
          <w:rFonts w:ascii="Arial" w:hAnsi="Arial" w:cs="Arial"/>
          <w:b/>
          <w:noProof/>
          <w:sz w:val="24"/>
          <w:szCs w:val="24"/>
        </w:rPr>
        <w:tab/>
      </w:r>
      <w:r w:rsidR="00B53641">
        <w:rPr>
          <w:rFonts w:ascii="Arial" w:hAnsi="Arial" w:cs="Arial"/>
          <w:bCs/>
          <w:noProof/>
          <w:sz w:val="24"/>
          <w:szCs w:val="24"/>
        </w:rPr>
        <w:t>9.2.4</w:t>
      </w:r>
    </w:p>
    <w:p w14:paraId="7ED5A32C" w14:textId="187CAE4D" w:rsidR="00037460" w:rsidRPr="00823EBF" w:rsidRDefault="00037460" w:rsidP="00037460">
      <w:pPr>
        <w:widowControl w:val="0"/>
        <w:spacing w:after="0"/>
        <w:jc w:val="both"/>
        <w:rPr>
          <w:rFonts w:ascii="Arial" w:hAnsi="Arial" w:cs="Arial"/>
          <w:b/>
          <w:noProof/>
          <w:sz w:val="24"/>
          <w:szCs w:val="24"/>
        </w:rPr>
      </w:pPr>
      <w:r w:rsidRPr="00823EBF">
        <w:rPr>
          <w:rFonts w:ascii="Arial" w:hAnsi="Arial" w:cs="Arial"/>
          <w:b/>
          <w:noProof/>
          <w:sz w:val="24"/>
          <w:szCs w:val="24"/>
        </w:rPr>
        <w:t xml:space="preserve">Source: </w:t>
      </w:r>
      <w:r w:rsidRPr="00823EBF">
        <w:rPr>
          <w:rFonts w:ascii="Arial" w:hAnsi="Arial" w:cs="Arial"/>
          <w:b/>
          <w:noProof/>
          <w:sz w:val="24"/>
          <w:szCs w:val="24"/>
        </w:rPr>
        <w:tab/>
      </w:r>
      <w:r w:rsidRPr="00823EBF">
        <w:rPr>
          <w:rFonts w:ascii="Arial" w:hAnsi="Arial" w:cs="Arial"/>
          <w:b/>
          <w:noProof/>
          <w:sz w:val="24"/>
          <w:szCs w:val="24"/>
        </w:rPr>
        <w:tab/>
      </w:r>
      <w:r w:rsidR="00427823">
        <w:rPr>
          <w:rFonts w:ascii="Arial" w:hAnsi="Arial"/>
          <w:bCs/>
          <w:noProof/>
          <w:sz w:val="24"/>
        </w:rPr>
        <w:t>T-Mobile USA</w:t>
      </w:r>
    </w:p>
    <w:p w14:paraId="64E1C97D" w14:textId="0380E6B8" w:rsidR="00037460" w:rsidRPr="00823EBF" w:rsidRDefault="00037460" w:rsidP="00037460">
      <w:pPr>
        <w:widowControl w:val="0"/>
        <w:spacing w:after="0"/>
        <w:ind w:left="2160" w:hanging="2160"/>
        <w:jc w:val="both"/>
        <w:rPr>
          <w:rFonts w:ascii="Arial" w:hAnsi="Arial" w:cs="Arial"/>
          <w:b/>
          <w:noProof/>
          <w:sz w:val="24"/>
          <w:szCs w:val="24"/>
        </w:rPr>
      </w:pPr>
      <w:r w:rsidRPr="00823EBF">
        <w:rPr>
          <w:rFonts w:ascii="Arial" w:hAnsi="Arial" w:cs="Arial"/>
          <w:b/>
          <w:noProof/>
          <w:sz w:val="24"/>
          <w:szCs w:val="24"/>
        </w:rPr>
        <w:t xml:space="preserve">Title: </w:t>
      </w:r>
      <w:r w:rsidRPr="00823EBF">
        <w:rPr>
          <w:rFonts w:ascii="Arial" w:hAnsi="Arial" w:cs="Arial"/>
          <w:b/>
          <w:noProof/>
          <w:sz w:val="24"/>
          <w:szCs w:val="24"/>
        </w:rPr>
        <w:tab/>
      </w:r>
      <w:r w:rsidR="0028193D">
        <w:rPr>
          <w:rFonts w:ascii="Arial" w:hAnsi="Arial" w:cs="Arial"/>
          <w:bCs/>
          <w:noProof/>
          <w:sz w:val="24"/>
          <w:szCs w:val="24"/>
        </w:rPr>
        <w:t>Motivation for N</w:t>
      </w:r>
      <w:r w:rsidR="0028193D" w:rsidRPr="0028193D">
        <w:rPr>
          <w:rFonts w:ascii="Arial" w:hAnsi="Arial" w:cs="Arial"/>
          <w:bCs/>
          <w:noProof/>
          <w:sz w:val="24"/>
          <w:szCs w:val="24"/>
        </w:rPr>
        <w:t>ew WID on Introduction of 6 and 7 MHz channel bandwidths</w:t>
      </w:r>
    </w:p>
    <w:bookmarkEnd w:id="0"/>
    <w:p w14:paraId="44FBC003" w14:textId="20182506" w:rsidR="00037460" w:rsidRPr="00823EBF" w:rsidRDefault="00037460" w:rsidP="00037460">
      <w:pPr>
        <w:widowControl w:val="0"/>
        <w:spacing w:after="0"/>
        <w:jc w:val="both"/>
        <w:rPr>
          <w:rFonts w:ascii="Arial" w:hAnsi="Arial" w:cs="Arial"/>
          <w:b/>
          <w:noProof/>
          <w:sz w:val="24"/>
          <w:szCs w:val="24"/>
        </w:rPr>
      </w:pPr>
      <w:r w:rsidRPr="00823EBF">
        <w:rPr>
          <w:rFonts w:ascii="Arial" w:hAnsi="Arial" w:cs="Arial"/>
          <w:b/>
          <w:noProof/>
          <w:sz w:val="24"/>
          <w:szCs w:val="24"/>
        </w:rPr>
        <w:t>Document for:</w:t>
      </w:r>
      <w:r w:rsidRPr="00823EBF">
        <w:rPr>
          <w:rFonts w:ascii="Arial" w:hAnsi="Arial" w:cs="Arial"/>
          <w:b/>
          <w:noProof/>
          <w:sz w:val="24"/>
          <w:szCs w:val="24"/>
        </w:rPr>
        <w:tab/>
      </w:r>
      <w:r w:rsidR="0028193D">
        <w:rPr>
          <w:rFonts w:ascii="Arial" w:hAnsi="Arial" w:cs="Arial"/>
          <w:bCs/>
          <w:noProof/>
          <w:sz w:val="24"/>
          <w:szCs w:val="24"/>
        </w:rPr>
        <w:t>Discussion</w:t>
      </w:r>
    </w:p>
    <w:p w14:paraId="090219BF" w14:textId="77777777" w:rsidR="00037460" w:rsidRPr="00B41C9A" w:rsidRDefault="00037460" w:rsidP="00037460">
      <w:pPr>
        <w:keepNext/>
        <w:keepLines/>
        <w:numPr>
          <w:ilvl w:val="0"/>
          <w:numId w:val="1"/>
        </w:numPr>
        <w:pBdr>
          <w:top w:val="single" w:sz="12" w:space="3" w:color="auto"/>
        </w:pBdr>
        <w:spacing w:before="240"/>
        <w:jc w:val="both"/>
        <w:outlineLvl w:val="0"/>
        <w:rPr>
          <w:rFonts w:ascii="Arial" w:hAnsi="Arial"/>
          <w:sz w:val="36"/>
          <w:lang w:eastAsia="ko-KR"/>
        </w:rPr>
      </w:pPr>
      <w:r>
        <w:rPr>
          <w:rFonts w:ascii="Arial" w:hAnsi="Arial"/>
          <w:sz w:val="36"/>
          <w:lang w:eastAsia="ko-KR"/>
        </w:rPr>
        <w:t>Introduction</w:t>
      </w:r>
    </w:p>
    <w:p w14:paraId="33DBA7AF" w14:textId="16B7D5F5" w:rsidR="00E06CA5" w:rsidRDefault="00881DC1" w:rsidP="00037460">
      <w:pPr>
        <w:pStyle w:val="Header"/>
        <w:spacing w:after="120"/>
        <w:jc w:val="both"/>
        <w:rPr>
          <w:lang w:eastAsia="ko-KR"/>
        </w:rPr>
      </w:pPr>
      <w:r>
        <w:rPr>
          <w:lang w:eastAsia="ko-KR"/>
        </w:rPr>
        <w:t xml:space="preserve">In September 2019, </w:t>
      </w:r>
      <w:r w:rsidR="0028193D">
        <w:rPr>
          <w:lang w:eastAsia="ko-KR"/>
        </w:rPr>
        <w:t>Sprint</w:t>
      </w:r>
      <w:r w:rsidR="001D1358">
        <w:rPr>
          <w:lang w:eastAsia="ko-KR"/>
        </w:rPr>
        <w:t xml:space="preserve">, AT&amp;T and Dish Network proposed the creation of NR band </w:t>
      </w:r>
      <w:r w:rsidR="0028193D">
        <w:rPr>
          <w:lang w:eastAsia="ko-KR"/>
        </w:rPr>
        <w:t>n26</w:t>
      </w:r>
      <w:r w:rsidR="001D1358">
        <w:rPr>
          <w:lang w:eastAsia="ko-KR"/>
        </w:rPr>
        <w:t xml:space="preserve">, including a 7 MHz channel bandwidth for n26 </w:t>
      </w:r>
      <w:r w:rsidR="003431B6">
        <w:rPr>
          <w:lang w:eastAsia="ko-KR"/>
        </w:rPr>
        <w:fldChar w:fldCharType="begin"/>
      </w:r>
      <w:r w:rsidR="003431B6">
        <w:rPr>
          <w:lang w:eastAsia="ko-KR"/>
        </w:rPr>
        <w:instrText xml:space="preserve"> REF _Ref23945478 \r \h </w:instrText>
      </w:r>
      <w:r w:rsidR="003431B6">
        <w:rPr>
          <w:lang w:eastAsia="ko-KR"/>
        </w:rPr>
      </w:r>
      <w:r w:rsidR="003431B6">
        <w:rPr>
          <w:lang w:eastAsia="ko-KR"/>
        </w:rPr>
        <w:fldChar w:fldCharType="separate"/>
      </w:r>
      <w:r w:rsidR="003431B6">
        <w:rPr>
          <w:lang w:eastAsia="ko-KR"/>
        </w:rPr>
        <w:t>[1]</w:t>
      </w:r>
      <w:r w:rsidR="003431B6">
        <w:rPr>
          <w:lang w:eastAsia="ko-KR"/>
        </w:rPr>
        <w:fldChar w:fldCharType="end"/>
      </w:r>
      <w:r w:rsidR="003431B6">
        <w:rPr>
          <w:lang w:eastAsia="ko-KR"/>
        </w:rPr>
        <w:t>.</w:t>
      </w:r>
      <w:r w:rsidR="001D1358">
        <w:rPr>
          <w:lang w:eastAsia="ko-KR"/>
        </w:rPr>
        <w:t xml:space="preserve"> </w:t>
      </w:r>
      <w:r w:rsidR="0028193D">
        <w:rPr>
          <w:lang w:eastAsia="ko-KR"/>
        </w:rPr>
        <w:t>Th</w:t>
      </w:r>
      <w:r w:rsidR="001D1358">
        <w:rPr>
          <w:lang w:eastAsia="ko-KR"/>
        </w:rPr>
        <w:t>e</w:t>
      </w:r>
      <w:r w:rsidR="0028193D">
        <w:rPr>
          <w:lang w:eastAsia="ko-KR"/>
        </w:rPr>
        <w:t xml:space="preserve"> request </w:t>
      </w:r>
      <w:r w:rsidR="001D1358">
        <w:rPr>
          <w:lang w:eastAsia="ko-KR"/>
        </w:rPr>
        <w:t xml:space="preserve">to include a new 7 MHz channel bandwidth </w:t>
      </w:r>
      <w:r w:rsidR="0028193D">
        <w:rPr>
          <w:lang w:eastAsia="ko-KR"/>
        </w:rPr>
        <w:t>received a lot of push</w:t>
      </w:r>
      <w:r w:rsidR="0007291C">
        <w:rPr>
          <w:lang w:eastAsia="ko-KR"/>
        </w:rPr>
        <w:t>-</w:t>
      </w:r>
      <w:r w:rsidR="0028193D">
        <w:rPr>
          <w:lang w:eastAsia="ko-KR"/>
        </w:rPr>
        <w:t xml:space="preserve">back from vendors who felt that adding any new channel bandwidths would result in a flood of </w:t>
      </w:r>
      <w:r w:rsidR="001D1358">
        <w:rPr>
          <w:lang w:eastAsia="ko-KR"/>
        </w:rPr>
        <w:t>r</w:t>
      </w:r>
      <w:r w:rsidR="0028193D">
        <w:rPr>
          <w:lang w:eastAsia="ko-KR"/>
        </w:rPr>
        <w:t>equests</w:t>
      </w:r>
      <w:r w:rsidR="001D1358">
        <w:rPr>
          <w:lang w:eastAsia="ko-KR"/>
        </w:rPr>
        <w:t xml:space="preserve"> for new channel bandwidths</w:t>
      </w:r>
      <w:r w:rsidR="0028193D">
        <w:rPr>
          <w:lang w:eastAsia="ko-KR"/>
        </w:rPr>
        <w:t>.</w:t>
      </w:r>
      <w:r w:rsidR="001D1358">
        <w:rPr>
          <w:lang w:eastAsia="ko-KR"/>
        </w:rPr>
        <w:t xml:space="preserve"> As a result, 7</w:t>
      </w:r>
      <w:r w:rsidR="0007291C">
        <w:rPr>
          <w:lang w:eastAsia="ko-KR"/>
        </w:rPr>
        <w:t xml:space="preserve"> MHz</w:t>
      </w:r>
      <w:r w:rsidR="001D1358">
        <w:rPr>
          <w:lang w:eastAsia="ko-KR"/>
        </w:rPr>
        <w:t xml:space="preserve"> </w:t>
      </w:r>
      <w:r w:rsidR="003431B6">
        <w:rPr>
          <w:lang w:eastAsia="ko-KR"/>
        </w:rPr>
        <w:t xml:space="preserve">was dropped from the </w:t>
      </w:r>
      <w:r w:rsidR="00E06CA5">
        <w:rPr>
          <w:lang w:eastAsia="ko-KR"/>
        </w:rPr>
        <w:t xml:space="preserve">approved version of the </w:t>
      </w:r>
      <w:r w:rsidR="003431B6">
        <w:rPr>
          <w:lang w:eastAsia="ko-KR"/>
        </w:rPr>
        <w:t xml:space="preserve">WID </w:t>
      </w:r>
      <w:r w:rsidR="00E06CA5">
        <w:rPr>
          <w:lang w:eastAsia="ko-KR"/>
        </w:rPr>
        <w:fldChar w:fldCharType="begin"/>
      </w:r>
      <w:r w:rsidR="00E06CA5">
        <w:rPr>
          <w:lang w:eastAsia="ko-KR"/>
        </w:rPr>
        <w:instrText xml:space="preserve"> REF _Ref129613212 \r \h </w:instrText>
      </w:r>
      <w:r w:rsidR="00E06CA5">
        <w:rPr>
          <w:lang w:eastAsia="ko-KR"/>
        </w:rPr>
      </w:r>
      <w:r w:rsidR="00E06CA5">
        <w:rPr>
          <w:lang w:eastAsia="ko-KR"/>
        </w:rPr>
        <w:fldChar w:fldCharType="separate"/>
      </w:r>
      <w:r w:rsidR="00E06CA5">
        <w:rPr>
          <w:lang w:eastAsia="ko-KR"/>
        </w:rPr>
        <w:t>[2]</w:t>
      </w:r>
      <w:r w:rsidR="00E06CA5">
        <w:rPr>
          <w:lang w:eastAsia="ko-KR"/>
        </w:rPr>
        <w:fldChar w:fldCharType="end"/>
      </w:r>
      <w:r w:rsidR="00E06CA5">
        <w:rPr>
          <w:lang w:eastAsia="ko-KR"/>
        </w:rPr>
        <w:t xml:space="preserve">. </w:t>
      </w:r>
    </w:p>
    <w:p w14:paraId="7EE7DEB1" w14:textId="35857147" w:rsidR="00E06CA5" w:rsidRDefault="00E06CA5" w:rsidP="00037460">
      <w:pPr>
        <w:pStyle w:val="Header"/>
        <w:spacing w:after="120"/>
        <w:jc w:val="both"/>
        <w:rPr>
          <w:lang w:eastAsia="ko-KR"/>
        </w:rPr>
      </w:pPr>
      <w:r>
        <w:rPr>
          <w:lang w:eastAsia="ko-KR"/>
        </w:rPr>
        <w:t>After further discussions</w:t>
      </w:r>
      <w:r w:rsidR="0007291C">
        <w:rPr>
          <w:lang w:eastAsia="ko-KR"/>
        </w:rPr>
        <w:t xml:space="preserve"> in RAN</w:t>
      </w:r>
      <w:r>
        <w:rPr>
          <w:lang w:eastAsia="ko-KR"/>
        </w:rPr>
        <w:t xml:space="preserve">, a new </w:t>
      </w:r>
      <w:r w:rsidR="00365D5C">
        <w:rPr>
          <w:lang w:eastAsia="ko-KR"/>
        </w:rPr>
        <w:t>Study</w:t>
      </w:r>
      <w:r>
        <w:rPr>
          <w:lang w:eastAsia="ko-KR"/>
        </w:rPr>
        <w:t xml:space="preserve"> Item was created</w:t>
      </w:r>
      <w:r w:rsidR="00C2466E">
        <w:rPr>
          <w:lang w:eastAsia="ko-KR"/>
        </w:rPr>
        <w:t>: “Study on e</w:t>
      </w:r>
      <w:r w:rsidR="00365D5C" w:rsidRPr="00365D5C">
        <w:rPr>
          <w:lang w:eastAsia="ko-KR"/>
        </w:rPr>
        <w:t>fficient utilization of licensed spectrum that is not aligned with existing NR channel bandwidths</w:t>
      </w:r>
      <w:r w:rsidR="00365D5C">
        <w:rPr>
          <w:lang w:eastAsia="ko-KR"/>
        </w:rPr>
        <w:t xml:space="preserve">.” </w:t>
      </w:r>
      <w:r w:rsidR="00273E3A">
        <w:rPr>
          <w:lang w:eastAsia="ko-KR"/>
        </w:rPr>
        <w:fldChar w:fldCharType="begin"/>
      </w:r>
      <w:r w:rsidR="00273E3A">
        <w:rPr>
          <w:lang w:eastAsia="ko-KR"/>
        </w:rPr>
        <w:instrText xml:space="preserve"> REF _Ref129613359 \r \h </w:instrText>
      </w:r>
      <w:r w:rsidR="00273E3A">
        <w:rPr>
          <w:lang w:eastAsia="ko-KR"/>
        </w:rPr>
      </w:r>
      <w:r w:rsidR="00273E3A">
        <w:rPr>
          <w:lang w:eastAsia="ko-KR"/>
        </w:rPr>
        <w:fldChar w:fldCharType="separate"/>
      </w:r>
      <w:r w:rsidR="00273E3A">
        <w:rPr>
          <w:lang w:eastAsia="ko-KR"/>
        </w:rPr>
        <w:t>[3]</w:t>
      </w:r>
      <w:r w:rsidR="00273E3A">
        <w:rPr>
          <w:lang w:eastAsia="ko-KR"/>
        </w:rPr>
        <w:fldChar w:fldCharType="end"/>
      </w:r>
      <w:r w:rsidR="00365D5C">
        <w:rPr>
          <w:lang w:eastAsia="ko-KR"/>
        </w:rPr>
        <w:t xml:space="preserve"> </w:t>
      </w:r>
    </w:p>
    <w:p w14:paraId="7D3E33E4" w14:textId="7EAFB649" w:rsidR="001B7EF5" w:rsidRDefault="00273E3A" w:rsidP="00037460">
      <w:pPr>
        <w:pStyle w:val="Header"/>
        <w:spacing w:after="120"/>
        <w:jc w:val="both"/>
        <w:rPr>
          <w:lang w:eastAsia="ko-KR"/>
        </w:rPr>
      </w:pPr>
      <w:r>
        <w:rPr>
          <w:lang w:eastAsia="ko-KR"/>
        </w:rPr>
        <w:t>The Study Item considered several techniques for handling irregular channel bandwidths, and subsequent work is being proposed in Work Item to follow up the Study Item</w:t>
      </w:r>
      <w:r w:rsidR="00850364">
        <w:rPr>
          <w:lang w:eastAsia="ko-KR"/>
        </w:rPr>
        <w:t xml:space="preserve"> </w:t>
      </w:r>
      <w:r w:rsidR="00982D5D">
        <w:rPr>
          <w:lang w:eastAsia="ko-KR"/>
        </w:rPr>
        <w:fldChar w:fldCharType="begin"/>
      </w:r>
      <w:r w:rsidR="00982D5D">
        <w:rPr>
          <w:lang w:eastAsia="ko-KR"/>
        </w:rPr>
        <w:instrText xml:space="preserve"> REF _Ref129613579 \r \h </w:instrText>
      </w:r>
      <w:r w:rsidR="00982D5D">
        <w:rPr>
          <w:lang w:eastAsia="ko-KR"/>
        </w:rPr>
      </w:r>
      <w:r w:rsidR="00982D5D">
        <w:rPr>
          <w:lang w:eastAsia="ko-KR"/>
        </w:rPr>
        <w:fldChar w:fldCharType="separate"/>
      </w:r>
      <w:r w:rsidR="00982D5D">
        <w:rPr>
          <w:lang w:eastAsia="ko-KR"/>
        </w:rPr>
        <w:t>[4]</w:t>
      </w:r>
      <w:r w:rsidR="00982D5D">
        <w:rPr>
          <w:lang w:eastAsia="ko-KR"/>
        </w:rPr>
        <w:fldChar w:fldCharType="end"/>
      </w:r>
      <w:r w:rsidR="00850364">
        <w:rPr>
          <w:lang w:eastAsia="ko-KR"/>
        </w:rPr>
        <w:t xml:space="preserve">. While we support that new Work Item, the SI TR shows that these techniques would not be </w:t>
      </w:r>
      <w:r w:rsidR="006F4D44">
        <w:rPr>
          <w:lang w:eastAsia="ko-KR"/>
        </w:rPr>
        <w:t>efficient</w:t>
      </w:r>
      <w:r w:rsidR="00850364">
        <w:rPr>
          <w:lang w:eastAsia="ko-KR"/>
        </w:rPr>
        <w:t xml:space="preserve"> for 6 and 7 MHz channel bandwidths due to the need for separate SSBs in offset time slots</w:t>
      </w:r>
      <w:r w:rsidR="00224F58">
        <w:rPr>
          <w:lang w:eastAsia="ko-KR"/>
        </w:rPr>
        <w:t xml:space="preserve"> </w:t>
      </w:r>
      <w:r w:rsidR="00224F58">
        <w:rPr>
          <w:lang w:eastAsia="ko-KR"/>
        </w:rPr>
        <w:fldChar w:fldCharType="begin"/>
      </w:r>
      <w:r w:rsidR="00224F58">
        <w:rPr>
          <w:lang w:eastAsia="ko-KR"/>
        </w:rPr>
        <w:instrText xml:space="preserve"> REF _Ref129613828 \r \h </w:instrText>
      </w:r>
      <w:r w:rsidR="00224F58">
        <w:rPr>
          <w:lang w:eastAsia="ko-KR"/>
        </w:rPr>
      </w:r>
      <w:r w:rsidR="00224F58">
        <w:rPr>
          <w:lang w:eastAsia="ko-KR"/>
        </w:rPr>
        <w:fldChar w:fldCharType="separate"/>
      </w:r>
      <w:r w:rsidR="00224F58">
        <w:rPr>
          <w:lang w:eastAsia="ko-KR"/>
        </w:rPr>
        <w:t>[5]</w:t>
      </w:r>
      <w:r w:rsidR="00224F58">
        <w:rPr>
          <w:lang w:eastAsia="ko-KR"/>
        </w:rPr>
        <w:fldChar w:fldCharType="end"/>
      </w:r>
      <w:r w:rsidR="00850364">
        <w:rPr>
          <w:lang w:eastAsia="ko-KR"/>
        </w:rPr>
        <w:t>.</w:t>
      </w:r>
      <w:r w:rsidR="00224F58">
        <w:rPr>
          <w:lang w:eastAsia="ko-KR"/>
        </w:rPr>
        <w:t xml:space="preserve"> As a </w:t>
      </w:r>
      <w:r w:rsidR="00973AC8">
        <w:rPr>
          <w:lang w:eastAsia="ko-KR"/>
        </w:rPr>
        <w:t>result,</w:t>
      </w:r>
      <w:r w:rsidR="00224F58">
        <w:rPr>
          <w:lang w:eastAsia="ko-KR"/>
        </w:rPr>
        <w:t xml:space="preserve"> </w:t>
      </w:r>
      <w:r w:rsidR="00973AC8">
        <w:rPr>
          <w:lang w:eastAsia="ko-KR"/>
        </w:rPr>
        <w:t>w</w:t>
      </w:r>
      <w:r w:rsidR="00224F58">
        <w:rPr>
          <w:lang w:eastAsia="ko-KR"/>
        </w:rPr>
        <w:t>e are proposing a parallel follow-on Work Item that creates 6 and 7 MHz channel bandwidths</w:t>
      </w:r>
      <w:r w:rsidR="00973AC8">
        <w:rPr>
          <w:lang w:eastAsia="ko-KR"/>
        </w:rPr>
        <w:t xml:space="preserve"> </w:t>
      </w:r>
      <w:r w:rsidR="006F4D44">
        <w:rPr>
          <w:lang w:eastAsia="ko-KR"/>
        </w:rPr>
        <w:fldChar w:fldCharType="begin"/>
      </w:r>
      <w:r w:rsidR="006F4D44">
        <w:rPr>
          <w:lang w:eastAsia="ko-KR"/>
        </w:rPr>
        <w:instrText xml:space="preserve"> REF _Ref129615321 \r \h </w:instrText>
      </w:r>
      <w:r w:rsidR="006F4D44">
        <w:rPr>
          <w:lang w:eastAsia="ko-KR"/>
        </w:rPr>
      </w:r>
      <w:r w:rsidR="006F4D44">
        <w:rPr>
          <w:lang w:eastAsia="ko-KR"/>
        </w:rPr>
        <w:fldChar w:fldCharType="separate"/>
      </w:r>
      <w:r w:rsidR="006F4D44">
        <w:rPr>
          <w:lang w:eastAsia="ko-KR"/>
        </w:rPr>
        <w:t>[6]</w:t>
      </w:r>
      <w:r w:rsidR="006F4D44">
        <w:rPr>
          <w:lang w:eastAsia="ko-KR"/>
        </w:rPr>
        <w:fldChar w:fldCharType="end"/>
      </w:r>
      <w:r w:rsidR="00224F58">
        <w:rPr>
          <w:lang w:eastAsia="ko-KR"/>
        </w:rPr>
        <w:t xml:space="preserve">. </w:t>
      </w:r>
    </w:p>
    <w:p w14:paraId="49D36657" w14:textId="2C3B996F" w:rsidR="00037460" w:rsidRPr="00AE34B8" w:rsidRDefault="0046628C" w:rsidP="00037460">
      <w:pPr>
        <w:keepNext/>
        <w:keepLines/>
        <w:numPr>
          <w:ilvl w:val="0"/>
          <w:numId w:val="1"/>
        </w:numPr>
        <w:pBdr>
          <w:top w:val="single" w:sz="12" w:space="3" w:color="auto"/>
        </w:pBdr>
        <w:spacing w:before="240"/>
        <w:jc w:val="both"/>
        <w:outlineLvl w:val="0"/>
        <w:rPr>
          <w:rFonts w:ascii="Arial" w:hAnsi="Arial"/>
          <w:sz w:val="36"/>
          <w:lang w:eastAsia="ko-KR"/>
        </w:rPr>
      </w:pPr>
      <w:r>
        <w:rPr>
          <w:rFonts w:ascii="Arial" w:hAnsi="Arial"/>
          <w:sz w:val="36"/>
          <w:lang w:eastAsia="ko-KR"/>
        </w:rPr>
        <w:t>Discussion</w:t>
      </w:r>
    </w:p>
    <w:p w14:paraId="1E26DE3E" w14:textId="3ADE33F8" w:rsidR="000C51E5" w:rsidRDefault="007A5AA9" w:rsidP="007A5AA9">
      <w:pPr>
        <w:pStyle w:val="Header"/>
        <w:spacing w:after="120"/>
        <w:jc w:val="both"/>
        <w:rPr>
          <w:rFonts w:cs="Arial"/>
          <w:szCs w:val="18"/>
        </w:rPr>
      </w:pPr>
      <w:r w:rsidRPr="007A5AA9">
        <w:rPr>
          <w:rFonts w:cs="Arial"/>
          <w:szCs w:val="18"/>
        </w:rPr>
        <w:t>The Study Item “Study on efficient utilization of licensed spectrum that is not aligned with existing NR channel bandwidths” (FS_NR_</w:t>
      </w:r>
      <w:proofErr w:type="gramStart"/>
      <w:r w:rsidRPr="007A5AA9">
        <w:rPr>
          <w:rFonts w:cs="Arial"/>
          <w:szCs w:val="18"/>
        </w:rPr>
        <w:t>eff</w:t>
      </w:r>
      <w:proofErr w:type="gramEnd"/>
      <w:r w:rsidRPr="007A5AA9">
        <w:rPr>
          <w:rFonts w:cs="Arial"/>
          <w:szCs w:val="18"/>
        </w:rPr>
        <w:t xml:space="preserve">_BW_util) studied several techniques for efficiently utilizing spectrum that is not allocated in increments of 5 MHz. While the overlapping carrier techniques are practical for channel bandwidths above 8 MHz, they are not efficient for 6 and 7 MHz channel bandwidths because a single SSB cannot handle the offset carrier and two SSBs will not fit in the same slot as described in the SI TR 38.844. </w:t>
      </w:r>
      <w:r w:rsidR="000C51E5">
        <w:rPr>
          <w:rFonts w:cs="Arial"/>
          <w:szCs w:val="18"/>
        </w:rPr>
        <w:t>From TR</w:t>
      </w:r>
      <w:r w:rsidR="00D763A9">
        <w:rPr>
          <w:rFonts w:cs="Arial"/>
          <w:szCs w:val="18"/>
        </w:rPr>
        <w:t xml:space="preserve"> 38.844</w:t>
      </w:r>
      <w:r w:rsidR="000C51E5">
        <w:rPr>
          <w:rFonts w:cs="Arial"/>
          <w:szCs w:val="18"/>
        </w:rPr>
        <w:t>:</w:t>
      </w:r>
    </w:p>
    <w:p w14:paraId="6519AE12" w14:textId="77777777" w:rsidR="000C51E5" w:rsidRPr="000C51E5" w:rsidRDefault="000C51E5" w:rsidP="000C51E5">
      <w:pPr>
        <w:rPr>
          <w:rFonts w:ascii="Arial" w:eastAsia="MS Mincho" w:hAnsi="Arial"/>
          <w:b/>
        </w:rPr>
      </w:pPr>
      <w:r w:rsidRPr="000C51E5">
        <w:rPr>
          <w:rFonts w:ascii="Arial" w:eastAsia="MS Mincho" w:hAnsi="Arial"/>
          <w:b/>
        </w:rPr>
        <w:t xml:space="preserve">Table 6.2.1.2-3: Summary of how many SSB/CORESET#0 needed for different channel bandwidths. </w:t>
      </w:r>
    </w:p>
    <w:tbl>
      <w:tblPr>
        <w:tblStyle w:val="TableGrid2"/>
        <w:tblW w:w="0" w:type="auto"/>
        <w:jc w:val="center"/>
        <w:tblInd w:w="0" w:type="dxa"/>
        <w:tblLook w:val="04A0" w:firstRow="1" w:lastRow="0" w:firstColumn="1" w:lastColumn="0" w:noHBand="0" w:noVBand="1"/>
      </w:tblPr>
      <w:tblGrid>
        <w:gridCol w:w="1281"/>
        <w:gridCol w:w="1707"/>
        <w:gridCol w:w="2126"/>
      </w:tblGrid>
      <w:tr w:rsidR="000C51E5" w:rsidRPr="000C51E5" w14:paraId="5A0E869C" w14:textId="77777777" w:rsidTr="00450B54">
        <w:trPr>
          <w:jc w:val="center"/>
        </w:trPr>
        <w:tc>
          <w:tcPr>
            <w:tcW w:w="1281" w:type="dxa"/>
            <w:tcBorders>
              <w:top w:val="single" w:sz="4" w:space="0" w:color="auto"/>
              <w:left w:val="single" w:sz="4" w:space="0" w:color="auto"/>
              <w:bottom w:val="single" w:sz="4" w:space="0" w:color="auto"/>
              <w:right w:val="single" w:sz="4" w:space="0" w:color="auto"/>
            </w:tcBorders>
            <w:hideMark/>
          </w:tcPr>
          <w:p w14:paraId="2537CAEC" w14:textId="77777777" w:rsidR="000C51E5" w:rsidRPr="000C51E5" w:rsidRDefault="000C51E5" w:rsidP="000C51E5">
            <w:pPr>
              <w:keepNext/>
              <w:keepLines/>
              <w:spacing w:after="0"/>
              <w:jc w:val="center"/>
              <w:rPr>
                <w:rFonts w:ascii="Arial" w:eastAsia="MS Mincho" w:hAnsi="Arial"/>
                <w:b/>
                <w:sz w:val="18"/>
              </w:rPr>
            </w:pPr>
            <w:r w:rsidRPr="000C51E5">
              <w:rPr>
                <w:rFonts w:ascii="Arial" w:eastAsia="MS Mincho" w:hAnsi="Arial"/>
                <w:b/>
                <w:sz w:val="18"/>
              </w:rPr>
              <w:t>Channel (MHz)</w:t>
            </w:r>
          </w:p>
        </w:tc>
        <w:tc>
          <w:tcPr>
            <w:tcW w:w="1707" w:type="dxa"/>
            <w:tcBorders>
              <w:top w:val="single" w:sz="4" w:space="0" w:color="auto"/>
              <w:left w:val="single" w:sz="4" w:space="0" w:color="auto"/>
              <w:bottom w:val="single" w:sz="4" w:space="0" w:color="auto"/>
              <w:right w:val="single" w:sz="4" w:space="0" w:color="auto"/>
            </w:tcBorders>
            <w:hideMark/>
          </w:tcPr>
          <w:p w14:paraId="6870862A" w14:textId="77777777" w:rsidR="000C51E5" w:rsidRPr="000C51E5" w:rsidRDefault="000C51E5" w:rsidP="000C51E5">
            <w:pPr>
              <w:keepNext/>
              <w:keepLines/>
              <w:spacing w:after="0"/>
              <w:jc w:val="center"/>
              <w:rPr>
                <w:rFonts w:ascii="Arial" w:eastAsia="MS Mincho" w:hAnsi="Arial"/>
                <w:b/>
                <w:sz w:val="18"/>
              </w:rPr>
            </w:pPr>
            <w:r w:rsidRPr="000C51E5">
              <w:rPr>
                <w:rFonts w:ascii="Arial" w:eastAsia="MS Mincho" w:hAnsi="Arial"/>
                <w:b/>
                <w:sz w:val="18"/>
              </w:rPr>
              <w:t>Number of SSB/CORESET#0</w:t>
            </w:r>
          </w:p>
        </w:tc>
        <w:tc>
          <w:tcPr>
            <w:tcW w:w="2126" w:type="dxa"/>
            <w:tcBorders>
              <w:top w:val="single" w:sz="4" w:space="0" w:color="auto"/>
              <w:left w:val="single" w:sz="4" w:space="0" w:color="auto"/>
              <w:bottom w:val="single" w:sz="4" w:space="0" w:color="auto"/>
              <w:right w:val="single" w:sz="4" w:space="0" w:color="auto"/>
            </w:tcBorders>
            <w:hideMark/>
          </w:tcPr>
          <w:p w14:paraId="3FD7EF92" w14:textId="77777777" w:rsidR="000C51E5" w:rsidRPr="000C51E5" w:rsidRDefault="000C51E5" w:rsidP="000C51E5">
            <w:pPr>
              <w:keepNext/>
              <w:keepLines/>
              <w:spacing w:after="0"/>
              <w:jc w:val="center"/>
              <w:rPr>
                <w:rFonts w:ascii="Arial" w:eastAsia="MS Mincho" w:hAnsi="Arial"/>
                <w:b/>
                <w:sz w:val="18"/>
              </w:rPr>
            </w:pPr>
            <w:r w:rsidRPr="000C51E5">
              <w:rPr>
                <w:rFonts w:ascii="Arial" w:eastAsia="MS Mincho" w:hAnsi="Arial"/>
                <w:b/>
                <w:sz w:val="18"/>
              </w:rPr>
              <w:t>Time multiplexing for 2 SSBs is needed</w:t>
            </w:r>
          </w:p>
        </w:tc>
      </w:tr>
      <w:tr w:rsidR="000C51E5" w:rsidRPr="000C51E5" w14:paraId="42FA0F99" w14:textId="77777777" w:rsidTr="00450B54">
        <w:trPr>
          <w:jc w:val="center"/>
        </w:trPr>
        <w:tc>
          <w:tcPr>
            <w:tcW w:w="1281" w:type="dxa"/>
            <w:tcBorders>
              <w:top w:val="single" w:sz="4" w:space="0" w:color="auto"/>
              <w:left w:val="single" w:sz="4" w:space="0" w:color="auto"/>
              <w:bottom w:val="single" w:sz="4" w:space="0" w:color="auto"/>
              <w:right w:val="single" w:sz="4" w:space="0" w:color="auto"/>
            </w:tcBorders>
            <w:hideMark/>
          </w:tcPr>
          <w:p w14:paraId="7A4EEEF4" w14:textId="77777777" w:rsidR="000C51E5" w:rsidRPr="000C51E5" w:rsidRDefault="000C51E5" w:rsidP="000C51E5">
            <w:pPr>
              <w:keepNext/>
              <w:keepLines/>
              <w:spacing w:after="0"/>
              <w:jc w:val="center"/>
              <w:rPr>
                <w:rFonts w:ascii="Arial" w:eastAsia="MS Mincho" w:hAnsi="Arial"/>
                <w:sz w:val="18"/>
              </w:rPr>
            </w:pPr>
            <w:r w:rsidRPr="000C51E5">
              <w:rPr>
                <w:rFonts w:ascii="Arial" w:eastAsia="MS Mincho" w:hAnsi="Arial"/>
                <w:sz w:val="18"/>
              </w:rPr>
              <w:t>6</w:t>
            </w:r>
          </w:p>
        </w:tc>
        <w:tc>
          <w:tcPr>
            <w:tcW w:w="1707" w:type="dxa"/>
            <w:tcBorders>
              <w:top w:val="single" w:sz="4" w:space="0" w:color="auto"/>
              <w:left w:val="single" w:sz="4" w:space="0" w:color="auto"/>
              <w:bottom w:val="single" w:sz="4" w:space="0" w:color="auto"/>
              <w:right w:val="single" w:sz="4" w:space="0" w:color="auto"/>
            </w:tcBorders>
            <w:hideMark/>
          </w:tcPr>
          <w:p w14:paraId="4131F024" w14:textId="77777777" w:rsidR="000C51E5" w:rsidRPr="000C51E5" w:rsidRDefault="000C51E5" w:rsidP="000C51E5">
            <w:pPr>
              <w:keepNext/>
              <w:keepLines/>
              <w:spacing w:after="0"/>
              <w:jc w:val="center"/>
              <w:rPr>
                <w:rFonts w:ascii="Arial" w:eastAsia="MS Mincho" w:hAnsi="Arial"/>
                <w:sz w:val="18"/>
              </w:rPr>
            </w:pPr>
            <w:r w:rsidRPr="000C51E5">
              <w:rPr>
                <w:rFonts w:ascii="Arial" w:eastAsia="MS Mincho" w:hAnsi="Arial"/>
                <w:sz w:val="18"/>
              </w:rPr>
              <w:t>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33D66554" w14:textId="77777777" w:rsidR="000C51E5" w:rsidRPr="000C51E5" w:rsidRDefault="000C51E5" w:rsidP="000C51E5">
            <w:pPr>
              <w:keepNext/>
              <w:keepLines/>
              <w:spacing w:after="0"/>
              <w:jc w:val="center"/>
              <w:rPr>
                <w:rFonts w:ascii="Arial" w:eastAsia="MS Mincho" w:hAnsi="Arial"/>
                <w:sz w:val="18"/>
                <w:highlight w:val="yellow"/>
              </w:rPr>
            </w:pPr>
            <w:r w:rsidRPr="000C51E5">
              <w:rPr>
                <w:rFonts w:ascii="Arial" w:eastAsia="MS Mincho" w:hAnsi="Arial"/>
                <w:sz w:val="18"/>
                <w:highlight w:val="yellow"/>
              </w:rPr>
              <w:t>yes</w:t>
            </w:r>
          </w:p>
        </w:tc>
      </w:tr>
      <w:tr w:rsidR="000C51E5" w:rsidRPr="000C51E5" w14:paraId="2FEDC48A" w14:textId="77777777" w:rsidTr="00450B54">
        <w:trPr>
          <w:jc w:val="center"/>
        </w:trPr>
        <w:tc>
          <w:tcPr>
            <w:tcW w:w="1281" w:type="dxa"/>
            <w:tcBorders>
              <w:top w:val="single" w:sz="4" w:space="0" w:color="auto"/>
              <w:left w:val="single" w:sz="4" w:space="0" w:color="auto"/>
              <w:bottom w:val="single" w:sz="4" w:space="0" w:color="auto"/>
              <w:right w:val="single" w:sz="4" w:space="0" w:color="auto"/>
            </w:tcBorders>
            <w:hideMark/>
          </w:tcPr>
          <w:p w14:paraId="0E353062" w14:textId="77777777" w:rsidR="000C51E5" w:rsidRPr="000C51E5" w:rsidRDefault="000C51E5" w:rsidP="000C51E5">
            <w:pPr>
              <w:keepNext/>
              <w:keepLines/>
              <w:spacing w:after="0"/>
              <w:jc w:val="center"/>
              <w:rPr>
                <w:rFonts w:ascii="Arial" w:eastAsia="MS Mincho" w:hAnsi="Arial"/>
                <w:sz w:val="18"/>
              </w:rPr>
            </w:pPr>
            <w:r w:rsidRPr="000C51E5">
              <w:rPr>
                <w:rFonts w:ascii="Arial" w:eastAsia="MS Mincho" w:hAnsi="Arial"/>
                <w:sz w:val="18"/>
              </w:rPr>
              <w:t>7</w:t>
            </w:r>
          </w:p>
        </w:tc>
        <w:tc>
          <w:tcPr>
            <w:tcW w:w="1707" w:type="dxa"/>
            <w:tcBorders>
              <w:top w:val="single" w:sz="4" w:space="0" w:color="auto"/>
              <w:left w:val="single" w:sz="4" w:space="0" w:color="auto"/>
              <w:bottom w:val="single" w:sz="4" w:space="0" w:color="auto"/>
              <w:right w:val="single" w:sz="4" w:space="0" w:color="auto"/>
            </w:tcBorders>
            <w:hideMark/>
          </w:tcPr>
          <w:p w14:paraId="298DE43D" w14:textId="77777777" w:rsidR="000C51E5" w:rsidRPr="000C51E5" w:rsidRDefault="000C51E5" w:rsidP="000C51E5">
            <w:pPr>
              <w:keepNext/>
              <w:keepLines/>
              <w:spacing w:after="0"/>
              <w:jc w:val="center"/>
              <w:rPr>
                <w:rFonts w:ascii="Arial" w:eastAsia="MS Mincho" w:hAnsi="Arial"/>
                <w:sz w:val="18"/>
              </w:rPr>
            </w:pPr>
            <w:r w:rsidRPr="000C51E5">
              <w:rPr>
                <w:rFonts w:ascii="Arial" w:eastAsia="MS Mincho" w:hAnsi="Arial"/>
                <w:sz w:val="18"/>
              </w:rPr>
              <w:t>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4379BA52" w14:textId="77777777" w:rsidR="000C51E5" w:rsidRPr="000C51E5" w:rsidRDefault="000C51E5" w:rsidP="000C51E5">
            <w:pPr>
              <w:keepNext/>
              <w:keepLines/>
              <w:spacing w:after="0"/>
              <w:jc w:val="center"/>
              <w:rPr>
                <w:rFonts w:ascii="Arial" w:eastAsia="MS Mincho" w:hAnsi="Arial"/>
                <w:sz w:val="18"/>
                <w:highlight w:val="yellow"/>
              </w:rPr>
            </w:pPr>
            <w:r w:rsidRPr="000C51E5">
              <w:rPr>
                <w:rFonts w:ascii="Arial" w:eastAsia="MS Mincho" w:hAnsi="Arial"/>
                <w:sz w:val="18"/>
                <w:highlight w:val="yellow"/>
              </w:rPr>
              <w:t>yes</w:t>
            </w:r>
          </w:p>
        </w:tc>
      </w:tr>
      <w:tr w:rsidR="000C51E5" w:rsidRPr="000C51E5" w14:paraId="2920C892" w14:textId="77777777" w:rsidTr="00450B54">
        <w:trPr>
          <w:jc w:val="center"/>
        </w:trPr>
        <w:tc>
          <w:tcPr>
            <w:tcW w:w="1281" w:type="dxa"/>
            <w:tcBorders>
              <w:top w:val="single" w:sz="4" w:space="0" w:color="auto"/>
              <w:left w:val="single" w:sz="4" w:space="0" w:color="auto"/>
              <w:bottom w:val="single" w:sz="4" w:space="0" w:color="auto"/>
              <w:right w:val="single" w:sz="4" w:space="0" w:color="auto"/>
            </w:tcBorders>
            <w:hideMark/>
          </w:tcPr>
          <w:p w14:paraId="4F99B96C" w14:textId="77777777" w:rsidR="000C51E5" w:rsidRPr="000C51E5" w:rsidRDefault="000C51E5" w:rsidP="000C51E5">
            <w:pPr>
              <w:keepNext/>
              <w:keepLines/>
              <w:spacing w:after="0"/>
              <w:jc w:val="center"/>
              <w:rPr>
                <w:rFonts w:ascii="Arial" w:eastAsia="MS Mincho" w:hAnsi="Arial"/>
                <w:sz w:val="18"/>
              </w:rPr>
            </w:pPr>
            <w:r w:rsidRPr="000C51E5">
              <w:rPr>
                <w:rFonts w:ascii="Arial" w:eastAsia="MS Mincho" w:hAnsi="Arial"/>
                <w:sz w:val="18"/>
              </w:rPr>
              <w:t>11</w:t>
            </w:r>
          </w:p>
        </w:tc>
        <w:tc>
          <w:tcPr>
            <w:tcW w:w="1707" w:type="dxa"/>
            <w:tcBorders>
              <w:top w:val="single" w:sz="4" w:space="0" w:color="auto"/>
              <w:left w:val="single" w:sz="4" w:space="0" w:color="auto"/>
              <w:bottom w:val="single" w:sz="4" w:space="0" w:color="auto"/>
              <w:right w:val="single" w:sz="4" w:space="0" w:color="auto"/>
            </w:tcBorders>
            <w:hideMark/>
          </w:tcPr>
          <w:p w14:paraId="576B5586" w14:textId="77777777" w:rsidR="000C51E5" w:rsidRPr="000C51E5" w:rsidRDefault="000C51E5" w:rsidP="000C51E5">
            <w:pPr>
              <w:keepNext/>
              <w:keepLines/>
              <w:spacing w:after="0"/>
              <w:jc w:val="center"/>
              <w:rPr>
                <w:rFonts w:ascii="Arial" w:eastAsia="MS Mincho" w:hAnsi="Arial"/>
                <w:sz w:val="18"/>
              </w:rPr>
            </w:pPr>
            <w:r w:rsidRPr="000C51E5">
              <w:rPr>
                <w:rFonts w:ascii="Arial" w:eastAsia="MS Mincho"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4BBCE818" w14:textId="77777777" w:rsidR="000C51E5" w:rsidRPr="000C51E5" w:rsidRDefault="000C51E5" w:rsidP="000C51E5">
            <w:pPr>
              <w:keepNext/>
              <w:keepLines/>
              <w:spacing w:after="0"/>
              <w:jc w:val="center"/>
              <w:rPr>
                <w:rFonts w:ascii="Arial" w:eastAsia="MS Mincho" w:hAnsi="Arial"/>
                <w:sz w:val="18"/>
              </w:rPr>
            </w:pPr>
            <w:r w:rsidRPr="000C51E5">
              <w:rPr>
                <w:rFonts w:ascii="Arial" w:eastAsia="MS Mincho" w:hAnsi="Arial"/>
                <w:sz w:val="18"/>
              </w:rPr>
              <w:t>no</w:t>
            </w:r>
          </w:p>
        </w:tc>
      </w:tr>
      <w:tr w:rsidR="000C51E5" w:rsidRPr="000C51E5" w14:paraId="37F97872" w14:textId="77777777" w:rsidTr="00450B54">
        <w:trPr>
          <w:jc w:val="center"/>
        </w:trPr>
        <w:tc>
          <w:tcPr>
            <w:tcW w:w="1281" w:type="dxa"/>
            <w:tcBorders>
              <w:top w:val="single" w:sz="4" w:space="0" w:color="auto"/>
              <w:left w:val="single" w:sz="4" w:space="0" w:color="auto"/>
              <w:bottom w:val="single" w:sz="4" w:space="0" w:color="auto"/>
              <w:right w:val="single" w:sz="4" w:space="0" w:color="auto"/>
            </w:tcBorders>
            <w:hideMark/>
          </w:tcPr>
          <w:p w14:paraId="69BB596F" w14:textId="77777777" w:rsidR="000C51E5" w:rsidRPr="000C51E5" w:rsidRDefault="000C51E5" w:rsidP="000C51E5">
            <w:pPr>
              <w:keepNext/>
              <w:keepLines/>
              <w:spacing w:after="0"/>
              <w:jc w:val="center"/>
              <w:rPr>
                <w:rFonts w:ascii="Arial" w:eastAsia="MS Mincho" w:hAnsi="Arial"/>
                <w:sz w:val="18"/>
              </w:rPr>
            </w:pPr>
            <w:r w:rsidRPr="000C51E5">
              <w:rPr>
                <w:rFonts w:ascii="Arial" w:eastAsia="MS Mincho" w:hAnsi="Arial"/>
                <w:sz w:val="18"/>
              </w:rPr>
              <w:t>12</w:t>
            </w:r>
          </w:p>
        </w:tc>
        <w:tc>
          <w:tcPr>
            <w:tcW w:w="1707" w:type="dxa"/>
            <w:tcBorders>
              <w:top w:val="single" w:sz="4" w:space="0" w:color="auto"/>
              <w:left w:val="single" w:sz="4" w:space="0" w:color="auto"/>
              <w:bottom w:val="single" w:sz="4" w:space="0" w:color="auto"/>
              <w:right w:val="single" w:sz="4" w:space="0" w:color="auto"/>
            </w:tcBorders>
            <w:hideMark/>
          </w:tcPr>
          <w:p w14:paraId="5362F3B4" w14:textId="77777777" w:rsidR="000C51E5" w:rsidRPr="000C51E5" w:rsidRDefault="000C51E5" w:rsidP="000C51E5">
            <w:pPr>
              <w:keepNext/>
              <w:keepLines/>
              <w:spacing w:after="0"/>
              <w:jc w:val="center"/>
              <w:rPr>
                <w:rFonts w:ascii="Arial" w:eastAsia="MS Mincho" w:hAnsi="Arial"/>
                <w:sz w:val="18"/>
              </w:rPr>
            </w:pPr>
            <w:r w:rsidRPr="000C51E5">
              <w:rPr>
                <w:rFonts w:ascii="Arial" w:eastAsia="MS Mincho"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162C2E50" w14:textId="77777777" w:rsidR="000C51E5" w:rsidRPr="000C51E5" w:rsidRDefault="000C51E5" w:rsidP="000C51E5">
            <w:pPr>
              <w:keepNext/>
              <w:keepLines/>
              <w:spacing w:after="0"/>
              <w:jc w:val="center"/>
              <w:rPr>
                <w:rFonts w:ascii="Arial" w:eastAsia="MS Mincho" w:hAnsi="Arial"/>
                <w:sz w:val="18"/>
              </w:rPr>
            </w:pPr>
            <w:r w:rsidRPr="000C51E5">
              <w:rPr>
                <w:rFonts w:ascii="Arial" w:eastAsia="MS Mincho" w:hAnsi="Arial"/>
                <w:sz w:val="18"/>
              </w:rPr>
              <w:t>no</w:t>
            </w:r>
          </w:p>
        </w:tc>
      </w:tr>
      <w:tr w:rsidR="000C51E5" w:rsidRPr="000C51E5" w14:paraId="619B9C8D" w14:textId="77777777" w:rsidTr="00450B54">
        <w:trPr>
          <w:jc w:val="center"/>
        </w:trPr>
        <w:tc>
          <w:tcPr>
            <w:tcW w:w="1281" w:type="dxa"/>
            <w:tcBorders>
              <w:top w:val="single" w:sz="4" w:space="0" w:color="auto"/>
              <w:left w:val="single" w:sz="4" w:space="0" w:color="auto"/>
              <w:bottom w:val="single" w:sz="4" w:space="0" w:color="auto"/>
              <w:right w:val="single" w:sz="4" w:space="0" w:color="auto"/>
            </w:tcBorders>
            <w:hideMark/>
          </w:tcPr>
          <w:p w14:paraId="788E8EE5" w14:textId="77777777" w:rsidR="000C51E5" w:rsidRPr="000C51E5" w:rsidRDefault="000C51E5" w:rsidP="000C51E5">
            <w:pPr>
              <w:keepNext/>
              <w:keepLines/>
              <w:spacing w:after="0"/>
              <w:jc w:val="center"/>
              <w:rPr>
                <w:rFonts w:ascii="Arial" w:eastAsia="MS Mincho" w:hAnsi="Arial"/>
                <w:sz w:val="18"/>
              </w:rPr>
            </w:pPr>
            <w:r w:rsidRPr="000C51E5">
              <w:rPr>
                <w:rFonts w:ascii="Arial" w:eastAsia="MS Mincho" w:hAnsi="Arial"/>
                <w:sz w:val="18"/>
              </w:rPr>
              <w:t>13</w:t>
            </w:r>
          </w:p>
        </w:tc>
        <w:tc>
          <w:tcPr>
            <w:tcW w:w="1707" w:type="dxa"/>
            <w:tcBorders>
              <w:top w:val="single" w:sz="4" w:space="0" w:color="auto"/>
              <w:left w:val="single" w:sz="4" w:space="0" w:color="auto"/>
              <w:bottom w:val="single" w:sz="4" w:space="0" w:color="auto"/>
              <w:right w:val="single" w:sz="4" w:space="0" w:color="auto"/>
            </w:tcBorders>
            <w:hideMark/>
          </w:tcPr>
          <w:p w14:paraId="100CCD19" w14:textId="77777777" w:rsidR="000C51E5" w:rsidRPr="000C51E5" w:rsidRDefault="000C51E5" w:rsidP="000C51E5">
            <w:pPr>
              <w:keepNext/>
              <w:keepLines/>
              <w:spacing w:after="0"/>
              <w:jc w:val="center"/>
              <w:rPr>
                <w:rFonts w:ascii="Arial" w:eastAsia="MS Mincho" w:hAnsi="Arial"/>
                <w:sz w:val="18"/>
              </w:rPr>
            </w:pPr>
            <w:r w:rsidRPr="000C51E5">
              <w:rPr>
                <w:rFonts w:ascii="Arial" w:eastAsia="MS Mincho"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5624ECC1" w14:textId="77777777" w:rsidR="000C51E5" w:rsidRPr="000C51E5" w:rsidRDefault="000C51E5" w:rsidP="000C51E5">
            <w:pPr>
              <w:keepNext/>
              <w:keepLines/>
              <w:spacing w:after="0"/>
              <w:jc w:val="center"/>
              <w:rPr>
                <w:rFonts w:ascii="Arial" w:eastAsia="MS Mincho" w:hAnsi="Arial"/>
                <w:sz w:val="18"/>
              </w:rPr>
            </w:pPr>
            <w:r w:rsidRPr="000C51E5">
              <w:rPr>
                <w:rFonts w:ascii="Arial" w:eastAsia="MS Mincho" w:hAnsi="Arial"/>
                <w:sz w:val="18"/>
              </w:rPr>
              <w:t>no</w:t>
            </w:r>
          </w:p>
        </w:tc>
      </w:tr>
    </w:tbl>
    <w:p w14:paraId="6803A4C4" w14:textId="77777777" w:rsidR="0023689C" w:rsidRDefault="0023689C" w:rsidP="007A5AA9">
      <w:pPr>
        <w:pStyle w:val="Header"/>
        <w:spacing w:after="120"/>
        <w:jc w:val="both"/>
        <w:rPr>
          <w:rFonts w:cs="Arial"/>
          <w:szCs w:val="18"/>
        </w:rPr>
      </w:pPr>
    </w:p>
    <w:p w14:paraId="3BE1EBA3" w14:textId="25C95EB3" w:rsidR="000C51E5" w:rsidRDefault="0023689C" w:rsidP="007A5AA9">
      <w:pPr>
        <w:pStyle w:val="Header"/>
        <w:spacing w:after="120"/>
        <w:jc w:val="both"/>
        <w:rPr>
          <w:rFonts w:cs="Arial"/>
          <w:szCs w:val="18"/>
        </w:rPr>
      </w:pPr>
      <w:r>
        <w:rPr>
          <w:rFonts w:cs="Arial"/>
          <w:szCs w:val="18"/>
        </w:rPr>
        <w:t>38.844 also contains the following note in reference to the use of time multiplexed SSBs:</w:t>
      </w:r>
    </w:p>
    <w:p w14:paraId="0AC3EE5C" w14:textId="77777777" w:rsidR="0023689C" w:rsidRDefault="0023689C" w:rsidP="0023689C">
      <w:pPr>
        <w:pStyle w:val="NO"/>
        <w:rPr>
          <w:rFonts w:eastAsia="MS Mincho"/>
          <w:noProof/>
        </w:rPr>
      </w:pPr>
      <w:r w:rsidRPr="000E623D">
        <w:rPr>
          <w:rFonts w:eastAsia="MS Mincho"/>
          <w:i/>
          <w:iCs/>
          <w:noProof/>
        </w:rPr>
        <w:t>NOTE:</w:t>
      </w:r>
      <w:r w:rsidRPr="000E623D">
        <w:rPr>
          <w:rFonts w:eastAsia="MS Mincho"/>
          <w:i/>
          <w:iCs/>
          <w:noProof/>
        </w:rPr>
        <w:tab/>
        <w:t>It may create the challenge of aligning SSBs in the time and frequency domain so that they do not overlap thus complicating the gNB scheduling, i.e. for</w:t>
      </w:r>
      <w:r w:rsidRPr="00722340">
        <w:rPr>
          <w:rFonts w:eastAsia="MS Mincho"/>
          <w:noProof/>
        </w:rPr>
        <w:t xml:space="preserve"> this approach complexity increases to coordinate the overlapping SSB</w:t>
      </w:r>
      <w:r>
        <w:rPr>
          <w:rFonts w:eastAsia="MS Mincho"/>
          <w:noProof/>
        </w:rPr>
        <w:t>s</w:t>
      </w:r>
      <w:r w:rsidRPr="00722340">
        <w:rPr>
          <w:rFonts w:eastAsia="MS Mincho"/>
          <w:noProof/>
        </w:rPr>
        <w:t xml:space="preserve"> for different UEs. </w:t>
      </w:r>
    </w:p>
    <w:p w14:paraId="0B9C6FBB" w14:textId="48152EB8" w:rsidR="000E623D" w:rsidRPr="000E623D" w:rsidRDefault="000E623D" w:rsidP="007A5AA9">
      <w:pPr>
        <w:pStyle w:val="Header"/>
        <w:spacing w:after="120"/>
        <w:jc w:val="both"/>
      </w:pPr>
      <w:r>
        <w:t>38.844 also says:</w:t>
      </w:r>
    </w:p>
    <w:p w14:paraId="6CEBE8CC" w14:textId="12DEE24D" w:rsidR="0023689C" w:rsidRPr="000E623D" w:rsidRDefault="000E623D" w:rsidP="007A5AA9">
      <w:pPr>
        <w:pStyle w:val="Header"/>
        <w:spacing w:after="120"/>
        <w:jc w:val="both"/>
        <w:rPr>
          <w:rFonts w:cs="Arial"/>
          <w:i/>
          <w:iCs/>
          <w:szCs w:val="18"/>
        </w:rPr>
      </w:pPr>
      <w:r w:rsidRPr="000E623D">
        <w:rPr>
          <w:i/>
          <w:iCs/>
        </w:rPr>
        <w:t xml:space="preserve">For scenarios with less than 10 MHz, </w:t>
      </w:r>
      <w:r w:rsidRPr="00A26FE8">
        <w:rPr>
          <w:i/>
          <w:iCs/>
          <w:highlight w:val="yellow"/>
        </w:rPr>
        <w:t>second SSB is not excluded but not recommended due to significant additional overhead (duplicated SSB transmission as well as other radio resources such as PDCCH, CSI-RS, PDSCH (for SIB), CSI for Tracking, etc.).</w:t>
      </w:r>
      <w:r w:rsidRPr="000E623D">
        <w:rPr>
          <w:i/>
          <w:iCs/>
        </w:rPr>
        <w:t xml:space="preserve"> However, second SSB could enable or improve the legacy UEs' use of the further PRBs provided by the additional RF carrier in spectrum scenarios with less than 10 MHz.</w:t>
      </w:r>
    </w:p>
    <w:p w14:paraId="321C043E" w14:textId="65D7E565" w:rsidR="007A5AA9" w:rsidRPr="007A5AA9" w:rsidRDefault="007A5AA9" w:rsidP="007A5AA9">
      <w:pPr>
        <w:pStyle w:val="Header"/>
        <w:spacing w:after="120"/>
        <w:jc w:val="both"/>
        <w:rPr>
          <w:rFonts w:cs="Arial"/>
          <w:szCs w:val="18"/>
        </w:rPr>
      </w:pPr>
      <w:r w:rsidRPr="007A5AA9">
        <w:rPr>
          <w:rFonts w:cs="Arial"/>
          <w:szCs w:val="18"/>
        </w:rPr>
        <w:lastRenderedPageBreak/>
        <w:t xml:space="preserve">If multiple time slots were used for SSBs for 6 and 7 MHz channel BWs, the additional overhead would nearly offset the benefit of the external bandwidth above 5 MHz. Since these are critical coverage bands, it is essential to efficiently utilize the spectrum. It is also not clear if time offset SSBs would result in additional problems that would further delay a solution. Also, the PRB blanking technique might be useful for capacity bands, but because of the danger of blocking caused by a neighbour network in the blanked PRBs, </w:t>
      </w:r>
      <w:r w:rsidR="007629FB">
        <w:rPr>
          <w:rFonts w:cs="Arial"/>
          <w:szCs w:val="18"/>
        </w:rPr>
        <w:t>it</w:t>
      </w:r>
      <w:r w:rsidRPr="007A5AA9">
        <w:rPr>
          <w:rFonts w:cs="Arial"/>
          <w:szCs w:val="18"/>
        </w:rPr>
        <w:t xml:space="preserve"> would not be appropriate </w:t>
      </w:r>
    </w:p>
    <w:p w14:paraId="46BF999F" w14:textId="77777777" w:rsidR="00183111" w:rsidRDefault="007A5AA9" w:rsidP="007A5AA9">
      <w:pPr>
        <w:pStyle w:val="Header"/>
        <w:spacing w:after="120"/>
        <w:jc w:val="both"/>
        <w:rPr>
          <w:rFonts w:cs="Arial"/>
          <w:szCs w:val="18"/>
        </w:rPr>
      </w:pPr>
      <w:r w:rsidRPr="007A5AA9">
        <w:rPr>
          <w:rFonts w:cs="Arial"/>
          <w:szCs w:val="18"/>
        </w:rPr>
        <w:t>Therefore, as a follow on to the FS_NR_eff_BW_util SI, it is important that in addition to a Work Item to standardize the techniques studied in the SI, 6 MHz channel bandwidth should be introduced for n12 and n85, and 7 MHz channel bandwidth should be introduced for n5 and n26</w:t>
      </w:r>
      <w:r w:rsidR="006C77AA">
        <w:rPr>
          <w:rFonts w:cs="Arial"/>
          <w:szCs w:val="18"/>
        </w:rPr>
        <w:t xml:space="preserve"> </w:t>
      </w:r>
      <w:r w:rsidR="00C253F3">
        <w:rPr>
          <w:rFonts w:cs="Arial"/>
          <w:szCs w:val="18"/>
        </w:rPr>
        <w:fldChar w:fldCharType="begin"/>
      </w:r>
      <w:r w:rsidR="00C253F3">
        <w:rPr>
          <w:rFonts w:cs="Arial"/>
          <w:szCs w:val="18"/>
        </w:rPr>
        <w:instrText xml:space="preserve"> REF _Ref129615321 \r \h </w:instrText>
      </w:r>
      <w:r w:rsidR="00C253F3">
        <w:rPr>
          <w:rFonts w:cs="Arial"/>
          <w:szCs w:val="18"/>
        </w:rPr>
      </w:r>
      <w:r w:rsidR="00C253F3">
        <w:rPr>
          <w:rFonts w:cs="Arial"/>
          <w:szCs w:val="18"/>
        </w:rPr>
        <w:fldChar w:fldCharType="separate"/>
      </w:r>
      <w:r w:rsidR="00C253F3">
        <w:rPr>
          <w:rFonts w:cs="Arial"/>
          <w:szCs w:val="18"/>
        </w:rPr>
        <w:t>[6]</w:t>
      </w:r>
      <w:r w:rsidR="00C253F3">
        <w:rPr>
          <w:rFonts w:cs="Arial"/>
          <w:szCs w:val="18"/>
        </w:rPr>
        <w:fldChar w:fldCharType="end"/>
      </w:r>
      <w:r w:rsidRPr="007A5AA9">
        <w:rPr>
          <w:rFonts w:cs="Arial"/>
          <w:szCs w:val="18"/>
        </w:rPr>
        <w:t xml:space="preserve">. Wider irregular channel bandwidths can take advantage of one or more of the techniques studied in the </w:t>
      </w:r>
      <w:r w:rsidR="00C253F3">
        <w:rPr>
          <w:rFonts w:cs="Arial"/>
          <w:szCs w:val="18"/>
        </w:rPr>
        <w:t>Study</w:t>
      </w:r>
      <w:r w:rsidRPr="007A5AA9">
        <w:rPr>
          <w:rFonts w:cs="Arial"/>
          <w:szCs w:val="18"/>
        </w:rPr>
        <w:t xml:space="preserve"> Item</w:t>
      </w:r>
      <w:r w:rsidR="00C253F3">
        <w:rPr>
          <w:rFonts w:cs="Arial"/>
          <w:szCs w:val="18"/>
        </w:rPr>
        <w:t xml:space="preserve"> and proposed in the other follow-on Work Item </w:t>
      </w:r>
      <w:r w:rsidR="00183111">
        <w:rPr>
          <w:rFonts w:cs="Arial"/>
          <w:szCs w:val="18"/>
        </w:rPr>
        <w:fldChar w:fldCharType="begin"/>
      </w:r>
      <w:r w:rsidR="00183111">
        <w:rPr>
          <w:rFonts w:cs="Arial"/>
          <w:szCs w:val="18"/>
        </w:rPr>
        <w:instrText xml:space="preserve"> REF _Ref129613579 \r \h </w:instrText>
      </w:r>
      <w:r w:rsidR="00183111">
        <w:rPr>
          <w:rFonts w:cs="Arial"/>
          <w:szCs w:val="18"/>
        </w:rPr>
      </w:r>
      <w:r w:rsidR="00183111">
        <w:rPr>
          <w:rFonts w:cs="Arial"/>
          <w:szCs w:val="18"/>
        </w:rPr>
        <w:fldChar w:fldCharType="separate"/>
      </w:r>
      <w:r w:rsidR="00183111">
        <w:rPr>
          <w:rFonts w:cs="Arial"/>
          <w:szCs w:val="18"/>
        </w:rPr>
        <w:t>[4]</w:t>
      </w:r>
      <w:r w:rsidR="00183111">
        <w:rPr>
          <w:rFonts w:cs="Arial"/>
          <w:szCs w:val="18"/>
        </w:rPr>
        <w:fldChar w:fldCharType="end"/>
      </w:r>
      <w:r w:rsidRPr="007A5AA9">
        <w:rPr>
          <w:rFonts w:cs="Arial"/>
          <w:szCs w:val="18"/>
        </w:rPr>
        <w:t xml:space="preserve">. </w:t>
      </w:r>
    </w:p>
    <w:p w14:paraId="6453FA7C" w14:textId="73F9913A" w:rsidR="002A724D" w:rsidRDefault="007A5AA9" w:rsidP="007A5AA9">
      <w:pPr>
        <w:pStyle w:val="Header"/>
        <w:spacing w:after="120"/>
        <w:jc w:val="both"/>
        <w:rPr>
          <w:rFonts w:cs="Arial"/>
          <w:szCs w:val="18"/>
        </w:rPr>
      </w:pPr>
      <w:r w:rsidRPr="007A5AA9">
        <w:rPr>
          <w:rFonts w:cs="Arial"/>
          <w:szCs w:val="18"/>
        </w:rPr>
        <w:t>Th</w:t>
      </w:r>
      <w:r w:rsidR="00183111">
        <w:rPr>
          <w:rFonts w:cs="Arial"/>
          <w:szCs w:val="18"/>
        </w:rPr>
        <w:t>e 6 and 7 MHz</w:t>
      </w:r>
      <w:r w:rsidRPr="007A5AA9">
        <w:rPr>
          <w:rFonts w:cs="Arial"/>
          <w:szCs w:val="18"/>
        </w:rPr>
        <w:t xml:space="preserve"> WI is not intended to be a basket WI, but example bands are included. Since n5 is a subset of n26 and n12 is a subset of n85, </w:t>
      </w:r>
      <w:r w:rsidR="00183111">
        <w:rPr>
          <w:rFonts w:cs="Arial"/>
          <w:szCs w:val="18"/>
        </w:rPr>
        <w:t>7 MHz for n5 and n26 and 6 MHz for n85 and n12 are included</w:t>
      </w:r>
      <w:r w:rsidRPr="007A5AA9">
        <w:rPr>
          <w:rFonts w:cs="Arial"/>
          <w:szCs w:val="18"/>
        </w:rPr>
        <w:t>.</w:t>
      </w:r>
    </w:p>
    <w:p w14:paraId="6EF186C4" w14:textId="3440F774" w:rsidR="00037460" w:rsidRPr="00516A94" w:rsidRDefault="00516A94" w:rsidP="00037460">
      <w:pPr>
        <w:pStyle w:val="Header"/>
        <w:spacing w:after="120"/>
        <w:jc w:val="both"/>
        <w:rPr>
          <w:b/>
          <w:bCs/>
        </w:rPr>
      </w:pPr>
      <w:r w:rsidRPr="00516A94">
        <w:rPr>
          <w:b/>
          <w:bCs/>
        </w:rPr>
        <w:t xml:space="preserve">Proposal: Approve two follow-on Work Items for the </w:t>
      </w:r>
      <w:r w:rsidRPr="00516A94">
        <w:rPr>
          <w:b/>
          <w:bCs/>
        </w:rPr>
        <w:t>Study on Efficient utilization of licensed spectrum that is not aligned with existing NR channel bandwidth</w:t>
      </w:r>
      <w:r>
        <w:rPr>
          <w:b/>
          <w:bCs/>
        </w:rPr>
        <w:t>:</w:t>
      </w:r>
      <w:r w:rsidRPr="00516A94">
        <w:rPr>
          <w:b/>
          <w:bCs/>
        </w:rPr>
        <w:t xml:space="preserve"> one for adding 6 and 7 MHz channel bandwidths</w:t>
      </w:r>
      <w:r>
        <w:rPr>
          <w:b/>
          <w:bCs/>
        </w:rPr>
        <w:t xml:space="preserve"> </w:t>
      </w:r>
      <w:r>
        <w:rPr>
          <w:b/>
          <w:bCs/>
        </w:rPr>
        <w:fldChar w:fldCharType="begin"/>
      </w:r>
      <w:r>
        <w:rPr>
          <w:b/>
          <w:bCs/>
        </w:rPr>
        <w:instrText xml:space="preserve"> REF _Ref129615321 \r \h </w:instrText>
      </w:r>
      <w:r>
        <w:rPr>
          <w:b/>
          <w:bCs/>
        </w:rPr>
      </w:r>
      <w:r>
        <w:rPr>
          <w:b/>
          <w:bCs/>
        </w:rPr>
        <w:fldChar w:fldCharType="separate"/>
      </w:r>
      <w:r>
        <w:rPr>
          <w:b/>
          <w:bCs/>
        </w:rPr>
        <w:t>[6]</w:t>
      </w:r>
      <w:r>
        <w:rPr>
          <w:b/>
          <w:bCs/>
        </w:rPr>
        <w:fldChar w:fldCharType="end"/>
      </w:r>
      <w:r w:rsidRPr="00516A94">
        <w:rPr>
          <w:b/>
          <w:bCs/>
        </w:rPr>
        <w:t>, and one for specifying the requirements for the techniques studied in</w:t>
      </w:r>
      <w:r>
        <w:rPr>
          <w:b/>
          <w:bCs/>
        </w:rPr>
        <w:t xml:space="preserve"> </w:t>
      </w:r>
      <w:r w:rsidRPr="00516A94">
        <w:rPr>
          <w:b/>
          <w:bCs/>
        </w:rPr>
        <w:t>th</w:t>
      </w:r>
      <w:r>
        <w:rPr>
          <w:b/>
          <w:bCs/>
        </w:rPr>
        <w:t>e</w:t>
      </w:r>
      <w:r w:rsidRPr="00516A94">
        <w:rPr>
          <w:b/>
          <w:bCs/>
        </w:rPr>
        <w:t xml:space="preserve"> Study Item</w:t>
      </w:r>
      <w:r>
        <w:rPr>
          <w:b/>
          <w:bCs/>
        </w:rPr>
        <w:t xml:space="preserve"> </w:t>
      </w:r>
      <w:r>
        <w:rPr>
          <w:b/>
          <w:bCs/>
        </w:rPr>
        <w:fldChar w:fldCharType="begin"/>
      </w:r>
      <w:r>
        <w:rPr>
          <w:b/>
          <w:bCs/>
        </w:rPr>
        <w:instrText xml:space="preserve"> REF _Ref129613579 \r \h </w:instrText>
      </w:r>
      <w:r>
        <w:rPr>
          <w:b/>
          <w:bCs/>
        </w:rPr>
      </w:r>
      <w:r>
        <w:rPr>
          <w:b/>
          <w:bCs/>
        </w:rPr>
        <w:fldChar w:fldCharType="separate"/>
      </w:r>
      <w:r>
        <w:rPr>
          <w:b/>
          <w:bCs/>
        </w:rPr>
        <w:t>[4]</w:t>
      </w:r>
      <w:r>
        <w:rPr>
          <w:b/>
          <w:bCs/>
        </w:rPr>
        <w:fldChar w:fldCharType="end"/>
      </w:r>
      <w:r w:rsidRPr="00516A94">
        <w:rPr>
          <w:b/>
          <w:bCs/>
        </w:rPr>
        <w:t xml:space="preserve">. </w:t>
      </w:r>
    </w:p>
    <w:p w14:paraId="11DA1147" w14:textId="10EE93E0" w:rsidR="008C1F60" w:rsidRPr="00AE34B8" w:rsidRDefault="00F7293D" w:rsidP="008C1F60">
      <w:pPr>
        <w:keepNext/>
        <w:keepLines/>
        <w:numPr>
          <w:ilvl w:val="0"/>
          <w:numId w:val="1"/>
        </w:numPr>
        <w:pBdr>
          <w:top w:val="single" w:sz="12" w:space="3" w:color="auto"/>
        </w:pBdr>
        <w:spacing w:before="240"/>
        <w:jc w:val="both"/>
        <w:outlineLvl w:val="0"/>
        <w:rPr>
          <w:rFonts w:ascii="Arial" w:hAnsi="Arial"/>
          <w:sz w:val="36"/>
          <w:lang w:eastAsia="ko-KR"/>
        </w:rPr>
      </w:pPr>
      <w:r>
        <w:rPr>
          <w:rFonts w:ascii="Arial" w:hAnsi="Arial"/>
          <w:sz w:val="36"/>
          <w:lang w:eastAsia="ko-KR"/>
        </w:rPr>
        <w:t>Conclusion</w:t>
      </w:r>
    </w:p>
    <w:p w14:paraId="23B6BA3A" w14:textId="77777777" w:rsidR="00516A94" w:rsidRPr="00516A94" w:rsidRDefault="00516A94" w:rsidP="00516A94">
      <w:pPr>
        <w:pStyle w:val="Header"/>
        <w:spacing w:after="120"/>
        <w:jc w:val="both"/>
        <w:rPr>
          <w:b/>
          <w:bCs/>
        </w:rPr>
      </w:pPr>
      <w:r w:rsidRPr="00516A94">
        <w:rPr>
          <w:b/>
          <w:bCs/>
        </w:rPr>
        <w:t>Proposal: Approve two follow-on Work Items for the Study on Efficient utilization of licensed spectrum that is not aligned with existing NR channel bandwidth</w:t>
      </w:r>
      <w:r>
        <w:rPr>
          <w:b/>
          <w:bCs/>
        </w:rPr>
        <w:t>:</w:t>
      </w:r>
      <w:r w:rsidRPr="00516A94">
        <w:rPr>
          <w:b/>
          <w:bCs/>
        </w:rPr>
        <w:t xml:space="preserve"> one for adding 6 and 7 MHz channel bandwidths</w:t>
      </w:r>
      <w:r>
        <w:rPr>
          <w:b/>
          <w:bCs/>
        </w:rPr>
        <w:t xml:space="preserve"> </w:t>
      </w:r>
      <w:r>
        <w:rPr>
          <w:b/>
          <w:bCs/>
        </w:rPr>
        <w:fldChar w:fldCharType="begin"/>
      </w:r>
      <w:r>
        <w:rPr>
          <w:b/>
          <w:bCs/>
        </w:rPr>
        <w:instrText xml:space="preserve"> REF _Ref129615321 \r \h </w:instrText>
      </w:r>
      <w:r>
        <w:rPr>
          <w:b/>
          <w:bCs/>
        </w:rPr>
      </w:r>
      <w:r>
        <w:rPr>
          <w:b/>
          <w:bCs/>
        </w:rPr>
        <w:fldChar w:fldCharType="separate"/>
      </w:r>
      <w:r>
        <w:rPr>
          <w:b/>
          <w:bCs/>
        </w:rPr>
        <w:t>[6]</w:t>
      </w:r>
      <w:r>
        <w:rPr>
          <w:b/>
          <w:bCs/>
        </w:rPr>
        <w:fldChar w:fldCharType="end"/>
      </w:r>
      <w:r w:rsidRPr="00516A94">
        <w:rPr>
          <w:b/>
          <w:bCs/>
        </w:rPr>
        <w:t>, and one for specifying the requirements for the techniques studied in</w:t>
      </w:r>
      <w:r>
        <w:rPr>
          <w:b/>
          <w:bCs/>
        </w:rPr>
        <w:t xml:space="preserve"> </w:t>
      </w:r>
      <w:r w:rsidRPr="00516A94">
        <w:rPr>
          <w:b/>
          <w:bCs/>
        </w:rPr>
        <w:t>th</w:t>
      </w:r>
      <w:r>
        <w:rPr>
          <w:b/>
          <w:bCs/>
        </w:rPr>
        <w:t>e</w:t>
      </w:r>
      <w:r w:rsidRPr="00516A94">
        <w:rPr>
          <w:b/>
          <w:bCs/>
        </w:rPr>
        <w:t xml:space="preserve"> Study Item</w:t>
      </w:r>
      <w:r>
        <w:rPr>
          <w:b/>
          <w:bCs/>
        </w:rPr>
        <w:t xml:space="preserve"> </w:t>
      </w:r>
      <w:r>
        <w:rPr>
          <w:b/>
          <w:bCs/>
        </w:rPr>
        <w:fldChar w:fldCharType="begin"/>
      </w:r>
      <w:r>
        <w:rPr>
          <w:b/>
          <w:bCs/>
        </w:rPr>
        <w:instrText xml:space="preserve"> REF _Ref129613579 \r \h </w:instrText>
      </w:r>
      <w:r>
        <w:rPr>
          <w:b/>
          <w:bCs/>
        </w:rPr>
      </w:r>
      <w:r>
        <w:rPr>
          <w:b/>
          <w:bCs/>
        </w:rPr>
        <w:fldChar w:fldCharType="separate"/>
      </w:r>
      <w:r>
        <w:rPr>
          <w:b/>
          <w:bCs/>
        </w:rPr>
        <w:t>[4]</w:t>
      </w:r>
      <w:r>
        <w:rPr>
          <w:b/>
          <w:bCs/>
        </w:rPr>
        <w:fldChar w:fldCharType="end"/>
      </w:r>
      <w:r w:rsidRPr="00516A94">
        <w:rPr>
          <w:b/>
          <w:bCs/>
        </w:rPr>
        <w:t xml:space="preserve">. </w:t>
      </w:r>
    </w:p>
    <w:p w14:paraId="1D524E0D" w14:textId="7988FF91" w:rsidR="003431B6" w:rsidRDefault="003431B6" w:rsidP="003431B6">
      <w:pPr>
        <w:overflowPunct w:val="0"/>
        <w:autoSpaceDE w:val="0"/>
        <w:autoSpaceDN w:val="0"/>
        <w:adjustRightInd w:val="0"/>
        <w:spacing w:before="120" w:after="120" w:line="276" w:lineRule="auto"/>
        <w:jc w:val="both"/>
        <w:textAlignment w:val="baseline"/>
        <w:rPr>
          <w:rFonts w:eastAsia="Yu Mincho"/>
          <w:b/>
          <w:bCs/>
          <w:iCs/>
          <w:lang w:val="en-US" w:eastAsia="en-GB"/>
        </w:rPr>
      </w:pPr>
    </w:p>
    <w:p w14:paraId="1705C57C" w14:textId="21DEE161" w:rsidR="003431B6" w:rsidRPr="00B758A7" w:rsidRDefault="003431B6" w:rsidP="003431B6">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4</w:t>
      </w:r>
      <w:r>
        <w:rPr>
          <w:rFonts w:ascii="Arial" w:eastAsia="Times New Roman" w:hAnsi="Arial"/>
          <w:sz w:val="36"/>
          <w:lang w:val="en-US"/>
        </w:rPr>
        <w:t>.</w:t>
      </w:r>
      <w:r w:rsidRPr="00B758A7">
        <w:rPr>
          <w:rFonts w:ascii="Arial" w:eastAsia="Times New Roman" w:hAnsi="Arial"/>
          <w:sz w:val="36"/>
          <w:lang w:val="en-US"/>
        </w:rPr>
        <w:tab/>
        <w:t>References</w:t>
      </w:r>
    </w:p>
    <w:p w14:paraId="6BDEB313" w14:textId="437FAE18" w:rsidR="003431B6" w:rsidRDefault="003431B6" w:rsidP="003431B6">
      <w:pPr>
        <w:numPr>
          <w:ilvl w:val="0"/>
          <w:numId w:val="5"/>
        </w:numPr>
        <w:rPr>
          <w:rFonts w:eastAsia="Times New Roman"/>
          <w:lang w:val="en-US"/>
        </w:rPr>
      </w:pPr>
      <w:bookmarkStart w:id="1" w:name="_Ref23945478"/>
      <w:r w:rsidRPr="00B0192F">
        <w:rPr>
          <w:rFonts w:eastAsia="Times New Roman"/>
          <w:lang w:val="en-US"/>
        </w:rPr>
        <w:t>RP-191873, “New WID: Introduction of NR Band n26,” Sprin</w:t>
      </w:r>
      <w:r>
        <w:rPr>
          <w:rFonts w:eastAsia="Times New Roman"/>
          <w:lang w:val="en-US"/>
        </w:rPr>
        <w:t>t</w:t>
      </w:r>
      <w:r w:rsidRPr="00B0192F">
        <w:rPr>
          <w:rFonts w:eastAsia="Times New Roman"/>
          <w:lang w:val="en-US"/>
        </w:rPr>
        <w:t xml:space="preserve">, AT&amp;T, </w:t>
      </w:r>
      <w:r>
        <w:rPr>
          <w:rFonts w:eastAsia="Times New Roman"/>
          <w:lang w:val="en-US"/>
        </w:rPr>
        <w:t>D</w:t>
      </w:r>
      <w:r w:rsidRPr="00B0192F">
        <w:rPr>
          <w:rFonts w:eastAsia="Times New Roman"/>
          <w:lang w:val="en-US"/>
        </w:rPr>
        <w:t>ish Network</w:t>
      </w:r>
      <w:bookmarkEnd w:id="1"/>
    </w:p>
    <w:p w14:paraId="0DDC36D8" w14:textId="77777777" w:rsidR="00E06CA5" w:rsidRPr="00E06CA5" w:rsidRDefault="00E06CA5" w:rsidP="00E06CA5">
      <w:pPr>
        <w:pStyle w:val="ListParagraph"/>
        <w:numPr>
          <w:ilvl w:val="0"/>
          <w:numId w:val="5"/>
        </w:numPr>
        <w:ind w:firstLineChars="0"/>
        <w:rPr>
          <w:lang w:val="en-US" w:eastAsia="en-US"/>
        </w:rPr>
      </w:pPr>
      <w:bookmarkStart w:id="2" w:name="_Ref129613212"/>
      <w:r w:rsidRPr="00E06CA5">
        <w:rPr>
          <w:lang w:val="en-US" w:eastAsia="en-US"/>
        </w:rPr>
        <w:t>RP-192273, “New WID on Introduction of NR Band n26,” Sprint, AT&amp;T, Dish Network</w:t>
      </w:r>
      <w:bookmarkEnd w:id="2"/>
    </w:p>
    <w:p w14:paraId="1446B8F8" w14:textId="162BB4B9" w:rsidR="003431B6" w:rsidRDefault="00CC2DA8" w:rsidP="003431B6">
      <w:pPr>
        <w:numPr>
          <w:ilvl w:val="0"/>
          <w:numId w:val="5"/>
        </w:numPr>
        <w:rPr>
          <w:rFonts w:eastAsia="Times New Roman"/>
          <w:lang w:val="en-US"/>
        </w:rPr>
      </w:pPr>
      <w:bookmarkStart w:id="3" w:name="_Ref129613359"/>
      <w:r w:rsidRPr="00CC2DA8">
        <w:rPr>
          <w:rFonts w:eastAsia="Times New Roman"/>
          <w:lang w:val="en-US"/>
        </w:rPr>
        <w:t>RP-222618</w:t>
      </w:r>
      <w:r>
        <w:rPr>
          <w:rFonts w:eastAsia="Times New Roman"/>
          <w:lang w:val="en-US"/>
        </w:rPr>
        <w:t xml:space="preserve">, </w:t>
      </w:r>
      <w:r w:rsidR="00273E3A">
        <w:rPr>
          <w:rFonts w:eastAsia="Times New Roman"/>
          <w:lang w:val="en-US"/>
        </w:rPr>
        <w:t>“</w:t>
      </w:r>
      <w:r w:rsidR="00273E3A" w:rsidRPr="00273E3A">
        <w:rPr>
          <w:rFonts w:eastAsia="Times New Roman"/>
          <w:lang w:val="en-US"/>
        </w:rPr>
        <w:t>Revised SID: Study on Efficient utilization of licensed spectrum that is not aligned with existing NR channel bandwidths</w:t>
      </w:r>
      <w:r w:rsidR="00273E3A">
        <w:rPr>
          <w:rFonts w:eastAsia="Times New Roman"/>
          <w:lang w:val="en-US"/>
        </w:rPr>
        <w:t>,” T-Mobile, Ericsson</w:t>
      </w:r>
      <w:bookmarkEnd w:id="3"/>
    </w:p>
    <w:p w14:paraId="25C0D87A" w14:textId="2B01FD51" w:rsidR="00940C22" w:rsidRDefault="00940C22" w:rsidP="003431B6">
      <w:pPr>
        <w:numPr>
          <w:ilvl w:val="0"/>
          <w:numId w:val="5"/>
        </w:numPr>
        <w:rPr>
          <w:rFonts w:eastAsia="Times New Roman"/>
          <w:lang w:val="en-US"/>
        </w:rPr>
      </w:pPr>
      <w:bookmarkStart w:id="4" w:name="_Ref129613579"/>
      <w:r w:rsidRPr="00940C22">
        <w:rPr>
          <w:rFonts w:eastAsia="Times New Roman"/>
          <w:lang w:val="en-US"/>
        </w:rPr>
        <w:t>RP-230494</w:t>
      </w:r>
      <w:r w:rsidR="00982D5D">
        <w:rPr>
          <w:rFonts w:eastAsia="Times New Roman"/>
          <w:lang w:val="en-US"/>
        </w:rPr>
        <w:t>, “</w:t>
      </w:r>
      <w:r w:rsidR="00982D5D" w:rsidRPr="00982D5D">
        <w:rPr>
          <w:rFonts w:eastAsia="Times New Roman"/>
          <w:lang w:val="en-US"/>
        </w:rPr>
        <w:t>New WID: Efficient utilization of licensed spectrum that is not aligned with existing NR channel bandwidths</w:t>
      </w:r>
      <w:r w:rsidR="00982D5D">
        <w:rPr>
          <w:rFonts w:eastAsia="Times New Roman"/>
          <w:lang w:val="en-US"/>
        </w:rPr>
        <w:t>,” Ericsson</w:t>
      </w:r>
      <w:bookmarkEnd w:id="4"/>
    </w:p>
    <w:p w14:paraId="065FD5EF" w14:textId="1C3FA87B" w:rsidR="00850364" w:rsidRDefault="00850364" w:rsidP="003431B6">
      <w:pPr>
        <w:numPr>
          <w:ilvl w:val="0"/>
          <w:numId w:val="5"/>
        </w:numPr>
        <w:rPr>
          <w:rFonts w:eastAsia="Times New Roman"/>
          <w:lang w:val="en-US"/>
        </w:rPr>
      </w:pPr>
      <w:bookmarkStart w:id="5" w:name="_Ref129613828"/>
      <w:r>
        <w:rPr>
          <w:rFonts w:eastAsia="Times New Roman"/>
          <w:lang w:val="en-US"/>
        </w:rPr>
        <w:t>TR 38.844, “</w:t>
      </w:r>
      <w:r w:rsidR="00224F58" w:rsidRPr="00224F58">
        <w:rPr>
          <w:rFonts w:eastAsia="Times New Roman"/>
          <w:lang w:val="en-US"/>
        </w:rPr>
        <w:t>Study on Efficient utilization of licensed spectrum that is not aligned with existing NR channel bandwidth</w:t>
      </w:r>
      <w:r w:rsidR="00224F58">
        <w:rPr>
          <w:rFonts w:eastAsia="Times New Roman"/>
          <w:lang w:val="en-US"/>
        </w:rPr>
        <w:t>”</w:t>
      </w:r>
      <w:bookmarkEnd w:id="5"/>
    </w:p>
    <w:p w14:paraId="512F43EF" w14:textId="2098D8E0" w:rsidR="00FA6B28" w:rsidRPr="00B0192F" w:rsidRDefault="00C253F3" w:rsidP="003431B6">
      <w:pPr>
        <w:numPr>
          <w:ilvl w:val="0"/>
          <w:numId w:val="5"/>
        </w:numPr>
        <w:rPr>
          <w:rFonts w:eastAsia="Times New Roman"/>
          <w:lang w:val="en-US"/>
        </w:rPr>
      </w:pPr>
      <w:bookmarkStart w:id="6" w:name="_Ref129615321"/>
      <w:r w:rsidRPr="00C253F3">
        <w:rPr>
          <w:rFonts w:eastAsia="Times New Roman"/>
          <w:lang w:val="en-US"/>
        </w:rPr>
        <w:t>RP-230683</w:t>
      </w:r>
      <w:r>
        <w:rPr>
          <w:rFonts w:eastAsia="Times New Roman"/>
          <w:lang w:val="en-US"/>
        </w:rPr>
        <w:t>, “</w:t>
      </w:r>
      <w:r w:rsidRPr="00C253F3">
        <w:rPr>
          <w:rFonts w:eastAsia="Times New Roman"/>
          <w:lang w:val="en-US"/>
        </w:rPr>
        <w:t>New WID for 6 and 7 MHz channel bandwidths</w:t>
      </w:r>
      <w:r>
        <w:rPr>
          <w:rFonts w:eastAsia="Times New Roman"/>
          <w:lang w:val="en-US"/>
        </w:rPr>
        <w:t>.” T-Mobile USA</w:t>
      </w:r>
      <w:bookmarkEnd w:id="6"/>
    </w:p>
    <w:p w14:paraId="17C15C62" w14:textId="77777777" w:rsidR="003431B6" w:rsidRPr="006129DC" w:rsidRDefault="003431B6" w:rsidP="003431B6">
      <w:pPr>
        <w:overflowPunct w:val="0"/>
        <w:autoSpaceDE w:val="0"/>
        <w:autoSpaceDN w:val="0"/>
        <w:adjustRightInd w:val="0"/>
        <w:spacing w:before="120" w:after="120" w:line="276" w:lineRule="auto"/>
        <w:jc w:val="both"/>
        <w:textAlignment w:val="baseline"/>
        <w:rPr>
          <w:rFonts w:eastAsia="Yu Mincho"/>
          <w:b/>
          <w:bCs/>
          <w:iCs/>
          <w:lang w:val="en-US" w:eastAsia="en-GB"/>
        </w:rPr>
      </w:pPr>
    </w:p>
    <w:sectPr w:rsidR="003431B6" w:rsidRPr="006129D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1FC1D" w14:textId="77777777" w:rsidR="00956464" w:rsidRDefault="00956464" w:rsidP="00F42F78">
      <w:pPr>
        <w:spacing w:after="0"/>
      </w:pPr>
      <w:r>
        <w:separator/>
      </w:r>
    </w:p>
  </w:endnote>
  <w:endnote w:type="continuationSeparator" w:id="0">
    <w:p w14:paraId="37D797C6" w14:textId="77777777" w:rsidR="00956464" w:rsidRDefault="00956464" w:rsidP="00F42F78">
      <w:pPr>
        <w:spacing w:after="0"/>
      </w:pPr>
      <w:r>
        <w:continuationSeparator/>
      </w:r>
    </w:p>
  </w:endnote>
  <w:endnote w:type="continuationNotice" w:id="1">
    <w:p w14:paraId="76A225A6" w14:textId="77777777" w:rsidR="00956464" w:rsidRDefault="009564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5F8AA" w14:textId="77777777" w:rsidR="00956464" w:rsidRDefault="00956464" w:rsidP="00F42F78">
      <w:pPr>
        <w:spacing w:after="0"/>
      </w:pPr>
      <w:r>
        <w:separator/>
      </w:r>
    </w:p>
  </w:footnote>
  <w:footnote w:type="continuationSeparator" w:id="0">
    <w:p w14:paraId="15C5F74A" w14:textId="77777777" w:rsidR="00956464" w:rsidRDefault="00956464" w:rsidP="00F42F78">
      <w:pPr>
        <w:spacing w:after="0"/>
      </w:pPr>
      <w:r>
        <w:continuationSeparator/>
      </w:r>
    </w:p>
  </w:footnote>
  <w:footnote w:type="continuationNotice" w:id="1">
    <w:p w14:paraId="059B940B" w14:textId="77777777" w:rsidR="00956464" w:rsidRDefault="009564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24E45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F1F03D6"/>
    <w:multiLevelType w:val="hybridMultilevel"/>
    <w:tmpl w:val="91D88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6F32AB3"/>
    <w:multiLevelType w:val="hybridMultilevel"/>
    <w:tmpl w:val="A710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0609634">
    <w:abstractNumId w:val="1"/>
  </w:num>
  <w:num w:numId="2" w16cid:durableId="1272709233">
    <w:abstractNumId w:val="2"/>
  </w:num>
  <w:num w:numId="3" w16cid:durableId="808210799">
    <w:abstractNumId w:val="4"/>
  </w:num>
  <w:num w:numId="4" w16cid:durableId="530611995">
    <w:abstractNumId w:val="0"/>
  </w:num>
  <w:num w:numId="5" w16cid:durableId="20223127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8EF"/>
    <w:rsid w:val="000156D6"/>
    <w:rsid w:val="00015CA0"/>
    <w:rsid w:val="000349FC"/>
    <w:rsid w:val="00037460"/>
    <w:rsid w:val="0007291C"/>
    <w:rsid w:val="000C51E5"/>
    <w:rsid w:val="000D5E97"/>
    <w:rsid w:val="000E623D"/>
    <w:rsid w:val="00145F6E"/>
    <w:rsid w:val="00183111"/>
    <w:rsid w:val="001B7EF5"/>
    <w:rsid w:val="001D1358"/>
    <w:rsid w:val="001D7090"/>
    <w:rsid w:val="00214C52"/>
    <w:rsid w:val="00224F58"/>
    <w:rsid w:val="0023689C"/>
    <w:rsid w:val="00271592"/>
    <w:rsid w:val="00273E3A"/>
    <w:rsid w:val="0028193D"/>
    <w:rsid w:val="002918F6"/>
    <w:rsid w:val="002A1E7B"/>
    <w:rsid w:val="002A724D"/>
    <w:rsid w:val="003164BD"/>
    <w:rsid w:val="003431B6"/>
    <w:rsid w:val="003530A5"/>
    <w:rsid w:val="00365D5C"/>
    <w:rsid w:val="003770B5"/>
    <w:rsid w:val="00427823"/>
    <w:rsid w:val="0043573D"/>
    <w:rsid w:val="0046628C"/>
    <w:rsid w:val="004678D5"/>
    <w:rsid w:val="00490655"/>
    <w:rsid w:val="004A6AD5"/>
    <w:rsid w:val="004D4B2F"/>
    <w:rsid w:val="004E76D3"/>
    <w:rsid w:val="00506EEC"/>
    <w:rsid w:val="00506F73"/>
    <w:rsid w:val="00506F8B"/>
    <w:rsid w:val="00516A94"/>
    <w:rsid w:val="00534242"/>
    <w:rsid w:val="005A18AD"/>
    <w:rsid w:val="005D0FCC"/>
    <w:rsid w:val="00606CCD"/>
    <w:rsid w:val="006129DC"/>
    <w:rsid w:val="00623F1D"/>
    <w:rsid w:val="006268E9"/>
    <w:rsid w:val="00655243"/>
    <w:rsid w:val="006C77AA"/>
    <w:rsid w:val="006F2C70"/>
    <w:rsid w:val="006F4D44"/>
    <w:rsid w:val="00702970"/>
    <w:rsid w:val="007219C1"/>
    <w:rsid w:val="007629FB"/>
    <w:rsid w:val="007A5AA9"/>
    <w:rsid w:val="007B46E4"/>
    <w:rsid w:val="007B4AE8"/>
    <w:rsid w:val="007C5262"/>
    <w:rsid w:val="008123C0"/>
    <w:rsid w:val="0084323B"/>
    <w:rsid w:val="00850364"/>
    <w:rsid w:val="00881DC1"/>
    <w:rsid w:val="008C1F60"/>
    <w:rsid w:val="008D72DC"/>
    <w:rsid w:val="008E4A43"/>
    <w:rsid w:val="008F1765"/>
    <w:rsid w:val="009302D8"/>
    <w:rsid w:val="00940C22"/>
    <w:rsid w:val="00956464"/>
    <w:rsid w:val="0096174A"/>
    <w:rsid w:val="00973AC8"/>
    <w:rsid w:val="00982D5D"/>
    <w:rsid w:val="0099337B"/>
    <w:rsid w:val="009A36EB"/>
    <w:rsid w:val="009B7F4E"/>
    <w:rsid w:val="009D2939"/>
    <w:rsid w:val="009E7629"/>
    <w:rsid w:val="00A239CD"/>
    <w:rsid w:val="00A248EF"/>
    <w:rsid w:val="00A26FE8"/>
    <w:rsid w:val="00A3130F"/>
    <w:rsid w:val="00A77A0B"/>
    <w:rsid w:val="00AC184C"/>
    <w:rsid w:val="00B14173"/>
    <w:rsid w:val="00B53641"/>
    <w:rsid w:val="00B60599"/>
    <w:rsid w:val="00B70268"/>
    <w:rsid w:val="00BB12BF"/>
    <w:rsid w:val="00BE255F"/>
    <w:rsid w:val="00BF5529"/>
    <w:rsid w:val="00C0196C"/>
    <w:rsid w:val="00C2466E"/>
    <w:rsid w:val="00C253F3"/>
    <w:rsid w:val="00CC2DA8"/>
    <w:rsid w:val="00CD5AAA"/>
    <w:rsid w:val="00D60E1B"/>
    <w:rsid w:val="00D7227B"/>
    <w:rsid w:val="00D763A9"/>
    <w:rsid w:val="00DE6C98"/>
    <w:rsid w:val="00DF29C4"/>
    <w:rsid w:val="00E01303"/>
    <w:rsid w:val="00E051A3"/>
    <w:rsid w:val="00E06CA5"/>
    <w:rsid w:val="00E24745"/>
    <w:rsid w:val="00E421FD"/>
    <w:rsid w:val="00E50893"/>
    <w:rsid w:val="00E63427"/>
    <w:rsid w:val="00E67F4A"/>
    <w:rsid w:val="00E71F3A"/>
    <w:rsid w:val="00E84A4E"/>
    <w:rsid w:val="00ED6DA7"/>
    <w:rsid w:val="00EE1720"/>
    <w:rsid w:val="00F00213"/>
    <w:rsid w:val="00F210B6"/>
    <w:rsid w:val="00F42F78"/>
    <w:rsid w:val="00F7293D"/>
    <w:rsid w:val="00F756DB"/>
    <w:rsid w:val="00FA0E15"/>
    <w:rsid w:val="00FA1BAA"/>
    <w:rsid w:val="00FA6B28"/>
    <w:rsid w:val="00FC1F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F230E"/>
  <w15:chartTrackingRefBased/>
  <w15:docId w15:val="{001011F8-B95E-4063-ABFB-8D168280A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7460"/>
    <w:pPr>
      <w:spacing w:after="180" w:line="240" w:lineRule="auto"/>
    </w:pPr>
    <w:rPr>
      <w:rFonts w:ascii="Times New Roman" w:eastAsia="SimSu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37460"/>
    <w:pPr>
      <w:tabs>
        <w:tab w:val="center" w:pos="4680"/>
        <w:tab w:val="right" w:pos="9360"/>
      </w:tabs>
      <w:spacing w:after="0"/>
    </w:pPr>
  </w:style>
  <w:style w:type="character" w:customStyle="1" w:styleId="HeaderChar">
    <w:name w:val="Header Char"/>
    <w:basedOn w:val="DefaultParagraphFont"/>
    <w:link w:val="Header"/>
    <w:rsid w:val="00037460"/>
    <w:rPr>
      <w:rFonts w:ascii="Times New Roman" w:eastAsia="SimSun" w:hAnsi="Times New Roman" w:cs="Times New Roman"/>
      <w:sz w:val="20"/>
      <w:szCs w:val="20"/>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037460"/>
    <w:pPr>
      <w:overflowPunct w:val="0"/>
      <w:autoSpaceDE w:val="0"/>
      <w:autoSpaceDN w:val="0"/>
      <w:adjustRightInd w:val="0"/>
      <w:ind w:firstLineChars="200" w:firstLine="420"/>
      <w:textAlignment w:val="baseline"/>
    </w:pPr>
    <w:rPr>
      <w:rFonts w:eastAsia="Times New Roman"/>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037460"/>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semiHidden/>
    <w:unhideWhenUsed/>
    <w:rsid w:val="004678D5"/>
    <w:pPr>
      <w:tabs>
        <w:tab w:val="center" w:pos="4680"/>
        <w:tab w:val="right" w:pos="9360"/>
      </w:tabs>
      <w:spacing w:after="0"/>
    </w:pPr>
  </w:style>
  <w:style w:type="character" w:customStyle="1" w:styleId="FooterChar">
    <w:name w:val="Footer Char"/>
    <w:basedOn w:val="DefaultParagraphFont"/>
    <w:link w:val="Footer"/>
    <w:uiPriority w:val="99"/>
    <w:semiHidden/>
    <w:rsid w:val="004678D5"/>
    <w:rPr>
      <w:rFonts w:ascii="Times New Roman" w:eastAsia="SimSun" w:hAnsi="Times New Roman" w:cs="Times New Roman"/>
      <w:sz w:val="20"/>
      <w:szCs w:val="20"/>
      <w:lang w:val="en-GB"/>
    </w:rPr>
  </w:style>
  <w:style w:type="paragraph" w:styleId="Revision">
    <w:name w:val="Revision"/>
    <w:hidden/>
    <w:uiPriority w:val="99"/>
    <w:semiHidden/>
    <w:rsid w:val="008D72DC"/>
    <w:pPr>
      <w:spacing w:after="0" w:line="240" w:lineRule="auto"/>
    </w:pPr>
    <w:rPr>
      <w:rFonts w:ascii="Times New Roman" w:eastAsia="SimSun" w:hAnsi="Times New Roman" w:cs="Times New Roman"/>
      <w:sz w:val="20"/>
      <w:szCs w:val="20"/>
      <w:lang w:val="en-GB"/>
    </w:rPr>
  </w:style>
  <w:style w:type="table" w:customStyle="1" w:styleId="TableGrid2">
    <w:name w:val="Table Grid2"/>
    <w:basedOn w:val="TableNormal"/>
    <w:next w:val="TableGrid"/>
    <w:rsid w:val="000C51E5"/>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C51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23689C"/>
    <w:pPr>
      <w:keepLines/>
      <w:ind w:left="1135" w:hanging="851"/>
    </w:pPr>
    <w:rPr>
      <w:rFonts w:eastAsia="Times New Roman"/>
    </w:rPr>
  </w:style>
  <w:style w:type="paragraph" w:customStyle="1" w:styleId="CRCoverPage">
    <w:name w:val="CR Cover Page"/>
    <w:rsid w:val="00FA1BAA"/>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09EB6-64E1-492F-BC36-A4CC31705E96}">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Template>
  <TotalTime>59</TotalTime>
  <Pages>2</Pages>
  <Words>854</Words>
  <Characters>4868</Characters>
  <Application>Microsoft Office Word</Application>
  <DocSecurity>0</DocSecurity>
  <Lines>40</Lines>
  <Paragraphs>11</Paragraphs>
  <ScaleCrop>false</ScaleCrop>
  <Company/>
  <LinksUpToDate>false</LinksUpToDate>
  <CharactersWithSpaces>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TMUS</dc:creator>
  <cp:keywords/>
  <dc:description/>
  <cp:lastModifiedBy>TMUS</cp:lastModifiedBy>
  <cp:revision>39</cp:revision>
  <dcterms:created xsi:type="dcterms:W3CDTF">2023-03-13T19:03:00Z</dcterms:created>
  <dcterms:modified xsi:type="dcterms:W3CDTF">2023-03-13T20:11:00Z</dcterms:modified>
</cp:coreProperties>
</file>