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557A5" w:rsidRDefault="00E557A5">
      <w:pPr>
        <w:widowControl w:val="0"/>
        <w:pBdr>
          <w:top w:val="nil"/>
          <w:left w:val="nil"/>
          <w:bottom w:val="nil"/>
          <w:right w:val="nil"/>
          <w:between w:val="nil"/>
        </w:pBdr>
        <w:spacing w:before="0" w:line="276" w:lineRule="auto"/>
        <w:rPr>
          <w:rFonts w:ascii="Arial" w:eastAsia="Arial" w:hAnsi="Arial" w:cs="Arial"/>
          <w:color w:val="000000"/>
          <w:sz w:val="22"/>
          <w:szCs w:val="22"/>
        </w:rPr>
      </w:pPr>
    </w:p>
    <w:tbl>
      <w:tblPr>
        <w:tblStyle w:val="a"/>
        <w:tblW w:w="9889" w:type="dxa"/>
        <w:tblLayout w:type="fixed"/>
        <w:tblLook w:val="0000" w:firstRow="0" w:lastRow="0" w:firstColumn="0" w:lastColumn="0" w:noHBand="0" w:noVBand="0"/>
      </w:tblPr>
      <w:tblGrid>
        <w:gridCol w:w="6487"/>
        <w:gridCol w:w="3402"/>
      </w:tblGrid>
      <w:tr w:rsidR="00E557A5">
        <w:trPr>
          <w:cantSplit/>
        </w:trPr>
        <w:tc>
          <w:tcPr>
            <w:tcW w:w="6487" w:type="dxa"/>
            <w:vAlign w:val="center"/>
          </w:tcPr>
          <w:p w:rsidR="00E557A5" w:rsidRDefault="007A6FD0">
            <w:pPr>
              <w:shd w:val="clear" w:color="auto" w:fill="FFFFFF"/>
              <w:spacing w:before="0"/>
              <w:rPr>
                <w:rFonts w:ascii="Verdana" w:eastAsia="Verdana" w:hAnsi="Verdana" w:cs="Verdana"/>
                <w:b/>
                <w:sz w:val="26"/>
                <w:szCs w:val="26"/>
              </w:rPr>
            </w:pPr>
            <w:r>
              <w:rPr>
                <w:rFonts w:ascii="Verdana" w:eastAsia="Verdana" w:hAnsi="Verdana" w:cs="Verdana"/>
                <w:b/>
                <w:sz w:val="26"/>
                <w:szCs w:val="26"/>
              </w:rPr>
              <w:t>Radiocommunication Study Groups</w:t>
            </w:r>
          </w:p>
        </w:tc>
        <w:tc>
          <w:tcPr>
            <w:tcW w:w="3402" w:type="dxa"/>
          </w:tcPr>
          <w:p w:rsidR="00E557A5" w:rsidRDefault="007A6FD0">
            <w:pPr>
              <w:shd w:val="clear" w:color="auto" w:fill="FFFFFF"/>
              <w:spacing w:before="0"/>
            </w:pPr>
            <w:bookmarkStart w:id="0" w:name="bookmark=id.gjdgxs" w:colFirst="0" w:colLast="0"/>
            <w:bookmarkEnd w:id="0"/>
            <w:r>
              <w:rPr>
                <w:noProof/>
              </w:rPr>
              <w:drawing>
                <wp:inline distT="0" distB="0" distL="0" distR="0" wp14:anchorId="6BB8F328" wp14:editId="315541C3">
                  <wp:extent cx="771186" cy="771186"/>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771186" cy="771186"/>
                          </a:xfrm>
                          <a:prstGeom prst="rect">
                            <a:avLst/>
                          </a:prstGeom>
                          <a:ln/>
                        </pic:spPr>
                      </pic:pic>
                    </a:graphicData>
                  </a:graphic>
                </wp:inline>
              </w:drawing>
            </w:r>
          </w:p>
        </w:tc>
      </w:tr>
      <w:tr w:rsidR="00E557A5">
        <w:trPr>
          <w:cantSplit/>
        </w:trPr>
        <w:tc>
          <w:tcPr>
            <w:tcW w:w="6487" w:type="dxa"/>
            <w:tcBorders>
              <w:bottom w:val="single" w:sz="12" w:space="0" w:color="000000"/>
            </w:tcBorders>
          </w:tcPr>
          <w:p w:rsidR="00E557A5" w:rsidRDefault="00E557A5">
            <w:pPr>
              <w:shd w:val="clear" w:color="auto" w:fill="FFFFFF"/>
              <w:spacing w:before="0" w:after="48"/>
              <w:rPr>
                <w:rFonts w:ascii="Verdana" w:eastAsia="Verdana" w:hAnsi="Verdana" w:cs="Verdana"/>
                <w:b/>
                <w:sz w:val="22"/>
                <w:szCs w:val="22"/>
              </w:rPr>
            </w:pPr>
          </w:p>
        </w:tc>
        <w:tc>
          <w:tcPr>
            <w:tcW w:w="3402" w:type="dxa"/>
            <w:tcBorders>
              <w:bottom w:val="single" w:sz="12" w:space="0" w:color="000000"/>
            </w:tcBorders>
          </w:tcPr>
          <w:p w:rsidR="00E557A5" w:rsidRDefault="00E557A5">
            <w:pPr>
              <w:shd w:val="clear" w:color="auto" w:fill="FFFFFF"/>
              <w:spacing w:before="0" w:after="48"/>
              <w:rPr>
                <w:sz w:val="22"/>
                <w:szCs w:val="22"/>
              </w:rPr>
            </w:pPr>
          </w:p>
        </w:tc>
      </w:tr>
      <w:tr w:rsidR="00E557A5">
        <w:trPr>
          <w:cantSplit/>
        </w:trPr>
        <w:tc>
          <w:tcPr>
            <w:tcW w:w="6487" w:type="dxa"/>
            <w:tcBorders>
              <w:top w:val="single" w:sz="12" w:space="0" w:color="000000"/>
            </w:tcBorders>
          </w:tcPr>
          <w:p w:rsidR="00E557A5" w:rsidRDefault="00E557A5">
            <w:pPr>
              <w:shd w:val="clear" w:color="auto" w:fill="FFFFFF"/>
              <w:spacing w:before="0" w:after="48"/>
              <w:rPr>
                <w:rFonts w:ascii="Verdana" w:eastAsia="Verdana" w:hAnsi="Verdana" w:cs="Verdana"/>
                <w:sz w:val="22"/>
                <w:szCs w:val="22"/>
              </w:rPr>
            </w:pPr>
          </w:p>
        </w:tc>
        <w:tc>
          <w:tcPr>
            <w:tcW w:w="3402" w:type="dxa"/>
            <w:tcBorders>
              <w:top w:val="single" w:sz="12" w:space="0" w:color="000000"/>
            </w:tcBorders>
          </w:tcPr>
          <w:p w:rsidR="00E557A5" w:rsidRDefault="00E557A5">
            <w:pPr>
              <w:shd w:val="clear" w:color="auto" w:fill="FFFFFF"/>
              <w:spacing w:before="0" w:after="48"/>
            </w:pPr>
          </w:p>
        </w:tc>
      </w:tr>
      <w:tr w:rsidR="00E557A5">
        <w:trPr>
          <w:cantSplit/>
        </w:trPr>
        <w:tc>
          <w:tcPr>
            <w:tcW w:w="6487" w:type="dxa"/>
            <w:vMerge w:val="restart"/>
          </w:tcPr>
          <w:p w:rsidR="00E557A5" w:rsidRDefault="007A6FD0">
            <w:pPr>
              <w:shd w:val="clear" w:color="auto" w:fill="FFFFFF"/>
              <w:spacing w:before="0" w:after="240"/>
              <w:ind w:left="1134" w:hanging="1134"/>
              <w:rPr>
                <w:rFonts w:ascii="Verdana" w:eastAsia="Verdana" w:hAnsi="Verdana" w:cs="Verdana"/>
                <w:sz w:val="20"/>
                <w:szCs w:val="20"/>
              </w:rPr>
            </w:pPr>
            <w:bookmarkStart w:id="1" w:name="bookmark=id.30j0zll" w:colFirst="0" w:colLast="0"/>
            <w:bookmarkStart w:id="2" w:name="bookmark=id.1fob9te" w:colFirst="0" w:colLast="0"/>
            <w:bookmarkEnd w:id="1"/>
            <w:bookmarkEnd w:id="2"/>
            <w:r>
              <w:rPr>
                <w:rFonts w:ascii="Verdana" w:eastAsia="Verdana" w:hAnsi="Verdana" w:cs="Verdana"/>
                <w:sz w:val="20"/>
                <w:szCs w:val="20"/>
              </w:rPr>
              <w:t>Received:</w:t>
            </w:r>
            <w:r>
              <w:rPr>
                <w:rFonts w:ascii="Verdana" w:eastAsia="Verdana" w:hAnsi="Verdana" w:cs="Verdana"/>
                <w:sz w:val="20"/>
                <w:szCs w:val="20"/>
              </w:rPr>
              <w:tab/>
              <w:t xml:space="preserve"> </w:t>
            </w:r>
          </w:p>
          <w:p w:rsidR="00E557A5" w:rsidRDefault="007A6FD0">
            <w:pPr>
              <w:shd w:val="clear" w:color="auto" w:fill="FFFFFF"/>
              <w:spacing w:before="0" w:after="240"/>
              <w:ind w:left="1134" w:hanging="1134"/>
              <w:rPr>
                <w:rFonts w:ascii="Verdana" w:eastAsia="Verdana" w:hAnsi="Verdana" w:cs="Verdana"/>
                <w:sz w:val="20"/>
                <w:szCs w:val="20"/>
              </w:rPr>
            </w:pPr>
            <w:r>
              <w:rPr>
                <w:rFonts w:ascii="Verdana" w:eastAsia="Verdana" w:hAnsi="Verdana" w:cs="Verdana"/>
                <w:sz w:val="20"/>
                <w:szCs w:val="20"/>
              </w:rPr>
              <w:t>Subject:</w:t>
            </w:r>
            <w:r>
              <w:rPr>
                <w:rFonts w:ascii="Verdana" w:eastAsia="Verdana" w:hAnsi="Verdana" w:cs="Verdana"/>
                <w:sz w:val="20"/>
                <w:szCs w:val="20"/>
              </w:rPr>
              <w:tab/>
            </w:r>
          </w:p>
        </w:tc>
        <w:tc>
          <w:tcPr>
            <w:tcW w:w="3402" w:type="dxa"/>
          </w:tcPr>
          <w:p w:rsidR="00E557A5" w:rsidRDefault="007A6FD0">
            <w:pPr>
              <w:shd w:val="clear" w:color="auto" w:fill="FFFFFF"/>
              <w:spacing w:before="0"/>
              <w:rPr>
                <w:rFonts w:ascii="Verdana" w:eastAsia="Verdana" w:hAnsi="Verdana" w:cs="Verdana"/>
                <w:sz w:val="20"/>
                <w:szCs w:val="20"/>
              </w:rPr>
            </w:pPr>
            <w:r>
              <w:rPr>
                <w:rFonts w:ascii="Verdana" w:eastAsia="Verdana" w:hAnsi="Verdana" w:cs="Verdana"/>
                <w:b/>
                <w:sz w:val="20"/>
                <w:szCs w:val="20"/>
              </w:rPr>
              <w:t>Document XX/-E</w:t>
            </w:r>
          </w:p>
        </w:tc>
      </w:tr>
      <w:tr w:rsidR="00E557A5">
        <w:trPr>
          <w:cantSplit/>
        </w:trPr>
        <w:tc>
          <w:tcPr>
            <w:tcW w:w="6487" w:type="dxa"/>
            <w:vMerge/>
          </w:tcPr>
          <w:p w:rsidR="00E557A5" w:rsidRDefault="00E557A5">
            <w:pPr>
              <w:widowControl w:val="0"/>
              <w:pBdr>
                <w:top w:val="nil"/>
                <w:left w:val="nil"/>
                <w:bottom w:val="nil"/>
                <w:right w:val="nil"/>
                <w:between w:val="nil"/>
              </w:pBdr>
              <w:spacing w:before="0" w:line="276" w:lineRule="auto"/>
              <w:rPr>
                <w:rFonts w:ascii="Verdana" w:eastAsia="Verdana" w:hAnsi="Verdana" w:cs="Verdana"/>
                <w:sz w:val="20"/>
                <w:szCs w:val="20"/>
              </w:rPr>
            </w:pPr>
          </w:p>
        </w:tc>
        <w:tc>
          <w:tcPr>
            <w:tcW w:w="3402" w:type="dxa"/>
          </w:tcPr>
          <w:p w:rsidR="00E557A5" w:rsidRDefault="007A6FD0">
            <w:pPr>
              <w:shd w:val="clear" w:color="auto" w:fill="FFFFFF"/>
              <w:spacing w:before="0"/>
              <w:rPr>
                <w:rFonts w:ascii="Verdana" w:eastAsia="Verdana" w:hAnsi="Verdana" w:cs="Verdana"/>
                <w:sz w:val="20"/>
                <w:szCs w:val="20"/>
              </w:rPr>
            </w:pPr>
            <w:r>
              <w:rPr>
                <w:rFonts w:ascii="Verdana" w:eastAsia="Verdana" w:hAnsi="Verdana" w:cs="Verdana"/>
                <w:b/>
                <w:sz w:val="20"/>
                <w:szCs w:val="20"/>
              </w:rPr>
              <w:t>Date 25 January 2022</w:t>
            </w:r>
          </w:p>
        </w:tc>
      </w:tr>
      <w:tr w:rsidR="00E557A5">
        <w:trPr>
          <w:cantSplit/>
        </w:trPr>
        <w:tc>
          <w:tcPr>
            <w:tcW w:w="6487" w:type="dxa"/>
            <w:vMerge/>
          </w:tcPr>
          <w:p w:rsidR="00E557A5" w:rsidRDefault="00E557A5">
            <w:pPr>
              <w:widowControl w:val="0"/>
              <w:pBdr>
                <w:top w:val="nil"/>
                <w:left w:val="nil"/>
                <w:bottom w:val="nil"/>
                <w:right w:val="nil"/>
                <w:between w:val="nil"/>
              </w:pBdr>
              <w:spacing w:before="0" w:line="276" w:lineRule="auto"/>
              <w:rPr>
                <w:rFonts w:ascii="Verdana" w:eastAsia="Verdana" w:hAnsi="Verdana" w:cs="Verdana"/>
                <w:sz w:val="20"/>
                <w:szCs w:val="20"/>
              </w:rPr>
            </w:pPr>
          </w:p>
        </w:tc>
        <w:tc>
          <w:tcPr>
            <w:tcW w:w="3402" w:type="dxa"/>
          </w:tcPr>
          <w:p w:rsidR="00E557A5" w:rsidRDefault="007A6FD0">
            <w:pPr>
              <w:shd w:val="clear" w:color="auto" w:fill="FFFFFF"/>
              <w:spacing w:before="0"/>
              <w:rPr>
                <w:rFonts w:ascii="Verdana" w:eastAsia="Verdana" w:hAnsi="Verdana" w:cs="Verdana"/>
                <w:b/>
                <w:sz w:val="20"/>
                <w:szCs w:val="20"/>
              </w:rPr>
            </w:pPr>
            <w:r>
              <w:rPr>
                <w:rFonts w:ascii="Verdana" w:eastAsia="Verdana" w:hAnsi="Verdana" w:cs="Verdana"/>
                <w:b/>
                <w:sz w:val="20"/>
                <w:szCs w:val="20"/>
              </w:rPr>
              <w:t>Original: English</w:t>
            </w:r>
          </w:p>
          <w:p w:rsidR="00E557A5" w:rsidRDefault="007A6FD0">
            <w:pPr>
              <w:shd w:val="clear" w:color="auto" w:fill="FFFFFF"/>
              <w:spacing w:before="0"/>
              <w:rPr>
                <w:rFonts w:ascii="Verdana" w:eastAsia="Verdana" w:hAnsi="Verdana" w:cs="Verdana"/>
                <w:sz w:val="20"/>
                <w:szCs w:val="20"/>
              </w:rPr>
            </w:pPr>
            <w:r>
              <w:rPr>
                <w:rFonts w:ascii="Verdana" w:eastAsia="Verdana" w:hAnsi="Verdana" w:cs="Verdana"/>
                <w:b/>
                <w:sz w:val="20"/>
                <w:szCs w:val="20"/>
              </w:rPr>
              <w:t>TECHNOLOGY ASPECTS</w:t>
            </w:r>
          </w:p>
        </w:tc>
      </w:tr>
      <w:tr w:rsidR="00E557A5">
        <w:trPr>
          <w:cantSplit/>
        </w:trPr>
        <w:tc>
          <w:tcPr>
            <w:tcW w:w="9889" w:type="dxa"/>
            <w:gridSpan w:val="2"/>
          </w:tcPr>
          <w:p w:rsidR="00E557A5" w:rsidRDefault="007A6FD0">
            <w:pPr>
              <w:pBdr>
                <w:top w:val="nil"/>
                <w:left w:val="nil"/>
                <w:bottom w:val="nil"/>
                <w:right w:val="nil"/>
                <w:between w:val="nil"/>
              </w:pBdr>
              <w:spacing w:before="840"/>
              <w:jc w:val="center"/>
              <w:rPr>
                <w:b/>
                <w:color w:val="000000"/>
                <w:sz w:val="28"/>
                <w:szCs w:val="28"/>
              </w:rPr>
            </w:pPr>
            <w:bookmarkStart w:id="3" w:name="bookmark=id.3znysh7" w:colFirst="0" w:colLast="0"/>
            <w:bookmarkEnd w:id="3"/>
            <w:r>
              <w:rPr>
                <w:b/>
                <w:color w:val="000000"/>
                <w:sz w:val="28"/>
                <w:szCs w:val="28"/>
              </w:rPr>
              <w:t>Telecommunications Standards Development Society, India</w:t>
            </w:r>
          </w:p>
        </w:tc>
      </w:tr>
      <w:tr w:rsidR="00E557A5">
        <w:trPr>
          <w:cantSplit/>
        </w:trPr>
        <w:tc>
          <w:tcPr>
            <w:tcW w:w="9889" w:type="dxa"/>
            <w:gridSpan w:val="2"/>
          </w:tcPr>
          <w:p w:rsidR="00E557A5" w:rsidRDefault="007A6FD0">
            <w:pPr>
              <w:pBdr>
                <w:top w:val="nil"/>
                <w:left w:val="nil"/>
                <w:bottom w:val="nil"/>
                <w:right w:val="nil"/>
                <w:between w:val="nil"/>
              </w:pBdr>
              <w:tabs>
                <w:tab w:val="left" w:pos="567"/>
                <w:tab w:val="left" w:pos="1701"/>
                <w:tab w:val="left" w:pos="2835"/>
              </w:tabs>
              <w:spacing w:before="240"/>
              <w:jc w:val="center"/>
              <w:rPr>
                <w:smallCaps/>
                <w:color w:val="000000"/>
                <w:sz w:val="28"/>
                <w:szCs w:val="28"/>
              </w:rPr>
            </w:pPr>
            <w:bookmarkStart w:id="4" w:name="bookmark=id.2et92p0" w:colFirst="0" w:colLast="0"/>
            <w:bookmarkEnd w:id="4"/>
            <w:r>
              <w:rPr>
                <w:smallCaps/>
                <w:color w:val="000000"/>
                <w:sz w:val="28"/>
                <w:szCs w:val="28"/>
              </w:rPr>
              <w:t xml:space="preserve">TSDSI Response to ITU-R WP 5D Liaison Statement TITLED: </w:t>
            </w:r>
          </w:p>
        </w:tc>
      </w:tr>
      <w:tr w:rsidR="00E557A5">
        <w:trPr>
          <w:cantSplit/>
        </w:trPr>
        <w:tc>
          <w:tcPr>
            <w:tcW w:w="9889" w:type="dxa"/>
            <w:gridSpan w:val="2"/>
          </w:tcPr>
          <w:p w:rsidR="00E557A5" w:rsidRDefault="007A6FD0">
            <w:pPr>
              <w:pBdr>
                <w:top w:val="nil"/>
                <w:left w:val="nil"/>
                <w:bottom w:val="nil"/>
                <w:right w:val="nil"/>
                <w:between w:val="nil"/>
              </w:pBdr>
              <w:tabs>
                <w:tab w:val="left" w:pos="567"/>
                <w:tab w:val="left" w:pos="1701"/>
                <w:tab w:val="left" w:pos="2835"/>
              </w:tabs>
              <w:spacing w:before="240"/>
              <w:jc w:val="center"/>
              <w:rPr>
                <w:smallCaps/>
                <w:color w:val="000000"/>
                <w:sz w:val="28"/>
                <w:szCs w:val="28"/>
              </w:rPr>
            </w:pPr>
            <w:bookmarkStart w:id="5" w:name="bookmark=id.tyjcwt" w:colFirst="0" w:colLast="0"/>
            <w:bookmarkEnd w:id="5"/>
            <w:r>
              <w:rPr>
                <w:smallCaps/>
                <w:color w:val="000000"/>
                <w:sz w:val="28"/>
                <w:szCs w:val="28"/>
              </w:rPr>
              <w:t>“</w:t>
            </w:r>
            <w:hyperlink r:id="rId7">
              <w:r>
                <w:rPr>
                  <w:smallCaps/>
                  <w:color w:val="000000"/>
                  <w:sz w:val="28"/>
                  <w:szCs w:val="28"/>
                </w:rPr>
                <w:t>Liaison Statement to the external organizations on the schedule for updating Recommendation ITU-R M.2150 to Revision ‘AFTER YEAR 2021’</w:t>
              </w:r>
            </w:hyperlink>
            <w:r>
              <w:rPr>
                <w:smallCaps/>
                <w:color w:val="000000"/>
                <w:sz w:val="28"/>
                <w:szCs w:val="28"/>
              </w:rPr>
              <w:t>”</w:t>
            </w:r>
          </w:p>
        </w:tc>
      </w:tr>
    </w:tbl>
    <w:p w:rsidR="00E557A5" w:rsidRDefault="00E557A5">
      <w:pPr>
        <w:jc w:val="both"/>
      </w:pPr>
      <w:bookmarkStart w:id="6" w:name="bookmark=id.3dy6vkm" w:colFirst="0" w:colLast="0"/>
      <w:bookmarkEnd w:id="6"/>
    </w:p>
    <w:p w:rsidR="00E557A5" w:rsidRDefault="007A6FD0">
      <w:pPr>
        <w:jc w:val="both"/>
      </w:pPr>
      <w:r>
        <w:t xml:space="preserve">TSDSI is thankful to ITU-R Study Group 5 Working Party 5D for their liaison statement extending invitation for submission of proposals for the update of recommendation M.2150. As per the mentioned schedule, TSDSI as a GCS proponent was required to submit its intent for providing update to 5Gi in the WP5D#40e meeting. </w:t>
      </w:r>
    </w:p>
    <w:p w:rsidR="00E557A5" w:rsidRDefault="007A6FD0">
      <w:pPr>
        <w:jc w:val="both"/>
      </w:pPr>
      <w:r>
        <w:t>In this regard, TSDSI would like to inform WP5D of the following:</w:t>
      </w:r>
    </w:p>
    <w:p w:rsidR="00E557A5" w:rsidRDefault="007A6FD0">
      <w:pPr>
        <w:numPr>
          <w:ilvl w:val="0"/>
          <w:numId w:val="1"/>
        </w:numPr>
        <w:pBdr>
          <w:top w:val="nil"/>
          <w:left w:val="nil"/>
          <w:bottom w:val="nil"/>
          <w:right w:val="nil"/>
          <w:between w:val="nil"/>
        </w:pBdr>
        <w:jc w:val="both"/>
        <w:rPr>
          <w:color w:val="000000"/>
        </w:rPr>
      </w:pPr>
      <w:r>
        <w:rPr>
          <w:color w:val="000000"/>
        </w:rPr>
        <w:t>TSDSI members submitted a proposal (</w:t>
      </w:r>
      <w:hyperlink r:id="rId8">
        <w:r>
          <w:rPr>
            <w:color w:val="0000FF"/>
            <w:u w:val="single"/>
          </w:rPr>
          <w:t>RP-213532</w:t>
        </w:r>
      </w:hyperlink>
      <w:r>
        <w:rPr>
          <w:color w:val="000000"/>
        </w:rPr>
        <w:t>) during the 3GPP TSG RAN plenary #94e meeting held in December 2021, where a way forward for enabling the merger of 5Gi into 3GPP 5G specifications in Release 17 was agreed.</w:t>
      </w:r>
    </w:p>
    <w:p w:rsidR="00E557A5" w:rsidRDefault="007A6FD0">
      <w:pPr>
        <w:numPr>
          <w:ilvl w:val="0"/>
          <w:numId w:val="1"/>
        </w:numPr>
        <w:pBdr>
          <w:top w:val="nil"/>
          <w:left w:val="nil"/>
          <w:bottom w:val="nil"/>
          <w:right w:val="nil"/>
          <w:between w:val="nil"/>
        </w:pBdr>
        <w:spacing w:before="0"/>
        <w:jc w:val="both"/>
        <w:rPr>
          <w:color w:val="000000"/>
        </w:rPr>
      </w:pPr>
      <w:r>
        <w:rPr>
          <w:color w:val="000000"/>
        </w:rPr>
        <w:t xml:space="preserve">The proposal is expected to be finally approved, earliest in the next TSG RAN plenary (#95e) to be held during March 2022. </w:t>
      </w:r>
    </w:p>
    <w:p w:rsidR="00E557A5" w:rsidRDefault="007A6FD0">
      <w:pPr>
        <w:jc w:val="both"/>
      </w:pPr>
      <w:r>
        <w:t>This merger will allow 3GPP 5G to better support all markets with a single solution. TSDSI would hence like to inform WP5D of the following:</w:t>
      </w:r>
    </w:p>
    <w:p w:rsidR="00E557A5" w:rsidRDefault="007A6FD0">
      <w:pPr>
        <w:numPr>
          <w:ilvl w:val="0"/>
          <w:numId w:val="2"/>
        </w:numPr>
        <w:pBdr>
          <w:top w:val="nil"/>
          <w:left w:val="nil"/>
          <w:bottom w:val="nil"/>
          <w:right w:val="nil"/>
          <w:between w:val="nil"/>
        </w:pBdr>
        <w:jc w:val="both"/>
        <w:rPr>
          <w:color w:val="000000"/>
        </w:rPr>
      </w:pPr>
      <w:r>
        <w:rPr>
          <w:color w:val="000000"/>
        </w:rPr>
        <w:t>TSDSI does not intend to submit proposals to WP5D for any further updates of 5Gi.</w:t>
      </w:r>
    </w:p>
    <w:p w:rsidR="00E557A5" w:rsidRDefault="007A6FD0">
      <w:pPr>
        <w:numPr>
          <w:ilvl w:val="0"/>
          <w:numId w:val="2"/>
        </w:numPr>
        <w:pBdr>
          <w:top w:val="nil"/>
          <w:left w:val="nil"/>
          <w:bottom w:val="nil"/>
          <w:right w:val="nil"/>
          <w:between w:val="nil"/>
        </w:pBdr>
        <w:spacing w:before="0"/>
        <w:jc w:val="both"/>
        <w:rPr>
          <w:color w:val="000000"/>
        </w:rPr>
      </w:pPr>
      <w:r>
        <w:rPr>
          <w:color w:val="000000"/>
        </w:rPr>
        <w:t>TSDSI as an organizational partner of 3GPP will continue to transpose the 3GPP specifications and make available the GCS transposition references to ITU-R for revision of M.2150.</w:t>
      </w:r>
    </w:p>
    <w:p w:rsidR="00E557A5" w:rsidRDefault="007A6FD0">
      <w:pPr>
        <w:jc w:val="both"/>
      </w:pPr>
      <w:r>
        <w:t>TSDSI thanks WP5D for all the support provided to TSDSI during the process of qualification of 5Gi leading to its incorporation in the recommendation M.2150. TSDSI looks forward to continuous interactions with WP5D.</w:t>
      </w:r>
    </w:p>
    <w:p w:rsidR="007A6FD0" w:rsidRDefault="007A6FD0">
      <w:pPr>
        <w:jc w:val="both"/>
      </w:pPr>
    </w:p>
    <w:p w:rsidR="007A6FD0" w:rsidRPr="007A6FD0" w:rsidRDefault="007A6FD0">
      <w:pPr>
        <w:jc w:val="both"/>
      </w:pPr>
      <w:r w:rsidRPr="007A6FD0">
        <w:rPr>
          <w:b/>
          <w:bCs/>
        </w:rPr>
        <w:t>Contact:</w:t>
      </w:r>
      <w:r>
        <w:rPr>
          <w:b/>
          <w:bCs/>
        </w:rPr>
        <w:t xml:space="preserve"> </w:t>
      </w:r>
      <w:r>
        <w:t>TSDSI Secretariat, A.K. Mittal, Advisor TSDSI (akmittal@tsdsi.in)</w:t>
      </w:r>
    </w:p>
    <w:p w:rsidR="00E557A5" w:rsidRDefault="00E557A5">
      <w:pPr>
        <w:jc w:val="both"/>
      </w:pPr>
    </w:p>
    <w:sectPr w:rsidR="00E557A5">
      <w:pgSz w:w="11907" w:h="16834"/>
      <w:pgMar w:top="993" w:right="1134" w:bottom="1418" w:left="1134" w:header="720" w:footer="720"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501B65"/>
    <w:multiLevelType w:val="multilevel"/>
    <w:tmpl w:val="423660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881836"/>
    <w:multiLevelType w:val="multilevel"/>
    <w:tmpl w:val="F7C4E0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7A5"/>
    <w:rsid w:val="002C4023"/>
    <w:rsid w:val="007A6FD0"/>
    <w:rsid w:val="00BC015A"/>
    <w:rsid w:val="00E557A5"/>
    <w:rsid w:val="00F02814"/>
    <w:rsid w:val="00F36F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9ED04"/>
  <w15:docId w15:val="{308EE174-C3FC-4521-A09D-D2D5A631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IN" w:eastAsia="en-IN" w:bidi="ar-SA"/>
      </w:rPr>
    </w:rPrDefault>
    <w:pPrDefault>
      <w:pPr>
        <w:tabs>
          <w:tab w:val="left" w:pos="1134"/>
          <w:tab w:val="left" w:pos="1871"/>
          <w:tab w:val="left" w:pos="2268"/>
        </w:tabs>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8F"/>
    <w:pPr>
      <w:overflowPunct w:val="0"/>
      <w:autoSpaceDE w:val="0"/>
      <w:autoSpaceDN w:val="0"/>
      <w:adjustRightInd w:val="0"/>
      <w:textAlignment w:val="baseline"/>
    </w:pPr>
    <w:rPr>
      <w:lang w:val="en-GB" w:eastAsia="en-US"/>
    </w:rPr>
  </w:style>
  <w:style w:type="paragraph" w:styleId="Heading1">
    <w:name w:val="heading 1"/>
    <w:basedOn w:val="Normal"/>
    <w:next w:val="Normal"/>
    <w:uiPriority w:val="9"/>
    <w:qFormat/>
    <w:rsid w:val="008F208F"/>
    <w:pPr>
      <w:keepNext/>
      <w:keepLines/>
      <w:spacing w:before="280"/>
      <w:ind w:left="1134" w:hanging="1134"/>
      <w:outlineLvl w:val="0"/>
    </w:pPr>
    <w:rPr>
      <w:b/>
      <w:sz w:val="28"/>
    </w:rPr>
  </w:style>
  <w:style w:type="paragraph" w:styleId="Heading2">
    <w:name w:val="heading 2"/>
    <w:basedOn w:val="Heading1"/>
    <w:next w:val="Normal"/>
    <w:uiPriority w:val="9"/>
    <w:semiHidden/>
    <w:unhideWhenUsed/>
    <w:qFormat/>
    <w:rsid w:val="008F208F"/>
    <w:pPr>
      <w:spacing w:before="200"/>
      <w:outlineLvl w:val="1"/>
    </w:pPr>
    <w:rPr>
      <w:sz w:val="24"/>
    </w:rPr>
  </w:style>
  <w:style w:type="paragraph" w:styleId="Heading3">
    <w:name w:val="heading 3"/>
    <w:basedOn w:val="Heading1"/>
    <w:next w:val="Normal"/>
    <w:uiPriority w:val="9"/>
    <w:semiHidden/>
    <w:unhideWhenUsed/>
    <w:qFormat/>
    <w:rsid w:val="008F208F"/>
    <w:pPr>
      <w:tabs>
        <w:tab w:val="clear" w:pos="1134"/>
      </w:tabs>
      <w:spacing w:before="200"/>
      <w:outlineLvl w:val="2"/>
    </w:pPr>
    <w:rPr>
      <w:sz w:val="24"/>
    </w:rPr>
  </w:style>
  <w:style w:type="paragraph" w:styleId="Heading4">
    <w:name w:val="heading 4"/>
    <w:basedOn w:val="Heading3"/>
    <w:next w:val="Normal"/>
    <w:uiPriority w:val="9"/>
    <w:semiHidden/>
    <w:unhideWhenUsed/>
    <w:qFormat/>
    <w:rsid w:val="008F208F"/>
    <w:pPr>
      <w:outlineLvl w:val="3"/>
    </w:pPr>
  </w:style>
  <w:style w:type="paragraph" w:styleId="Heading5">
    <w:name w:val="heading 5"/>
    <w:basedOn w:val="Heading4"/>
    <w:next w:val="Normal"/>
    <w:uiPriority w:val="9"/>
    <w:semiHidden/>
    <w:unhideWhenUsed/>
    <w:qFormat/>
    <w:rsid w:val="008F208F"/>
    <w:pPr>
      <w:outlineLvl w:val="4"/>
    </w:pPr>
  </w:style>
  <w:style w:type="paragraph" w:styleId="Heading6">
    <w:name w:val="heading 6"/>
    <w:basedOn w:val="Heading4"/>
    <w:next w:val="Normal"/>
    <w:uiPriority w:val="9"/>
    <w:semiHidden/>
    <w:unhideWhenUsed/>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9C1B02"/>
    <w:pPr>
      <w:ind w:left="720"/>
      <w:contextualSpacing/>
    </w:pPr>
  </w:style>
  <w:style w:type="table" w:customStyle="1" w:styleId="TableGrid1">
    <w:name w:val="Table Grid1"/>
    <w:basedOn w:val="TableNormal"/>
    <w:next w:val="TableGrid"/>
    <w:uiPriority w:val="39"/>
    <w:rsid w:val="007F6BC2"/>
    <w:rPr>
      <w:rFonts w:asciiTheme="minorHAnsi" w:eastAsia="SimSu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F6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A10BE"/>
    <w:rPr>
      <w:color w:val="0000FF" w:themeColor="hyperlink"/>
      <w:u w:val="single"/>
    </w:rPr>
  </w:style>
  <w:style w:type="paragraph" w:styleId="Revision">
    <w:name w:val="Revision"/>
    <w:hidden/>
    <w:uiPriority w:val="99"/>
    <w:semiHidden/>
    <w:rsid w:val="003955B6"/>
    <w:rPr>
      <w:lang w:val="en-GB" w:eastAsia="en-US"/>
    </w:rPr>
  </w:style>
  <w:style w:type="character" w:styleId="FollowedHyperlink">
    <w:name w:val="FollowedHyperlink"/>
    <w:basedOn w:val="DefaultParagraphFont"/>
    <w:semiHidden/>
    <w:unhideWhenUsed/>
    <w:rsid w:val="00595130"/>
    <w:rPr>
      <w:color w:val="800080"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4e/Docs/RP-213532.zip" TargetMode="External"/><Relationship Id="rId3" Type="http://schemas.openxmlformats.org/officeDocument/2006/relationships/styles" Target="styles.xml"/><Relationship Id="rId7" Type="http://schemas.openxmlformats.org/officeDocument/2006/relationships/hyperlink" Target="https://members.tsdsi.in/index.php/f/18424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DwzfH8hOmQBKwv5+QelrdruyrA==">AMUW2mUyeq80AySHbRJHAXQKgycMMPsHfO9vooBPYdKyltvUcbBzLAXyl7zwITsYrb08YpnsKDR2CVG6XckbZEMHt2zfozLhNzECnuZ5s6ZcCJvpF2hXcOFgPNWvesOLKk0atWWlPMsvP8Ya8TiZIJ9291lJJ9sbscfml6Ddzk1u6HNE2bnLnUCnUAHQv496du0i+EG7FmQDHLPj/ph//4wZn57ZBRUfGw==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1678</Characters>
  <Application>Microsoft Office Word</Application>
  <DocSecurity>0</DocSecurity>
  <Lines>13</Lines>
  <Paragraphs>3</Paragraphs>
  <ScaleCrop>false</ScaleCrop>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R5-216899</cp:lastModifiedBy>
  <cp:revision>1</cp:revision>
  <dcterms:created xsi:type="dcterms:W3CDTF">2022-01-26T17:23:00Z</dcterms:created>
  <dcterms:modified xsi:type="dcterms:W3CDTF">2022-01-26T17:23:00Z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