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rsidR="00BA7E55" w:rsidRDefault="00BA7E55" w:rsidP="00BD5D06">
      <w:pPr>
        <w:pStyle w:val="TdocHeader2"/>
        <w:rPr>
          <w:rFonts w:eastAsia="ＭＳ 明朝"/>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5F4858">
      <w:pPr>
        <w:spacing w:before="120" w:after="120"/>
        <w:rPr>
          <w:lang w:val="en-US"/>
        </w:rPr>
      </w:pPr>
      <w:r>
        <w:rPr>
          <w:noProof/>
          <w:lang w:val="en-US" w:eastAsia="ja-JP"/>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rsidP="00DC0639">
      <w:pPr>
        <w:pStyle w:val="af1"/>
        <w:numPr>
          <w:ilvl w:val="0"/>
          <w:numId w:val="2"/>
        </w:numPr>
        <w:jc w:val="both"/>
        <w:rPr>
          <w:lang w:eastAsia="ko-KR"/>
        </w:rPr>
      </w:pPr>
      <w:r>
        <w:t>Intra-UE multiplexing and prioritization enhancements [1], [2], [3], [5]</w:t>
      </w:r>
    </w:p>
    <w:p w:rsidR="00BA7E55" w:rsidRDefault="0056256C" w:rsidP="00DC0639">
      <w:pPr>
        <w:pStyle w:val="af1"/>
        <w:numPr>
          <w:ilvl w:val="0"/>
          <w:numId w:val="2"/>
        </w:numPr>
        <w:jc w:val="both"/>
        <w:rPr>
          <w:lang w:eastAsia="ko-KR"/>
        </w:rPr>
      </w:pPr>
      <w:r>
        <w:rPr>
          <w:lang w:val="en-US"/>
        </w:rPr>
        <w:t>UE feedback enhancements for HARQ-ACK [2], [3]</w:t>
      </w:r>
    </w:p>
    <w:p w:rsidR="00BA7E55" w:rsidRDefault="0056256C" w:rsidP="00DC0639">
      <w:pPr>
        <w:pStyle w:val="af1"/>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f1"/>
        <w:numPr>
          <w:ilvl w:val="0"/>
          <w:numId w:val="2"/>
        </w:numPr>
        <w:jc w:val="both"/>
        <w:rPr>
          <w:lang w:eastAsia="ko-KR"/>
        </w:rPr>
      </w:pPr>
      <w:r>
        <w:t>Enhancements for support of time synchronization [1], [2], [5], [6]</w:t>
      </w:r>
    </w:p>
    <w:p w:rsidR="00BA7E55" w:rsidRDefault="0056256C" w:rsidP="00DC0639">
      <w:pPr>
        <w:pStyle w:val="af1"/>
        <w:numPr>
          <w:ilvl w:val="0"/>
          <w:numId w:val="2"/>
        </w:numPr>
        <w:jc w:val="both"/>
        <w:rPr>
          <w:lang w:eastAsia="ko-KR"/>
        </w:rPr>
      </w:pPr>
      <w:r>
        <w:t>Enhancements based on new QoS related parameters [1]</w:t>
      </w:r>
    </w:p>
    <w:p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f1"/>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f1"/>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游明朝"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pStyle w:val="af1"/>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f1"/>
              <w:numPr>
                <w:ilvl w:val="1"/>
                <w:numId w:val="6"/>
              </w:numPr>
              <w:spacing w:before="120" w:after="120"/>
              <w:contextualSpacing w:val="0"/>
              <w:rPr>
                <w:rFonts w:eastAsia="Times New Roman"/>
              </w:rPr>
            </w:pPr>
            <w:r>
              <w:rPr>
                <w:rFonts w:eastAsia="Times New Roman"/>
              </w:rPr>
              <w:t>Objective level</w:t>
            </w:r>
          </w:p>
          <w:p w:rsidR="00BA7E55" w:rsidRDefault="0056256C">
            <w:pPr>
              <w:pStyle w:val="af1"/>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f1"/>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rsidR="00BA7E55" w:rsidRDefault="0056256C">
            <w:pPr>
              <w:pStyle w:val="af1"/>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f1"/>
              <w:numPr>
                <w:ilvl w:val="1"/>
                <w:numId w:val="6"/>
              </w:numPr>
              <w:spacing w:before="120" w:after="120"/>
              <w:contextualSpacing w:val="0"/>
              <w:rPr>
                <w:rFonts w:eastAsia="Times New Roman"/>
              </w:rPr>
            </w:pPr>
            <w:r>
              <w:rPr>
                <w:rFonts w:eastAsia="Times New Roman"/>
              </w:rPr>
              <w:t>Sub-objective level</w:t>
            </w:r>
          </w:p>
          <w:p w:rsidR="00BA7E55" w:rsidRDefault="0056256C">
            <w:pPr>
              <w:pStyle w:val="af1"/>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f1"/>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f1"/>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f1"/>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f1"/>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f1"/>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rsidR="00BA7E55" w:rsidRDefault="0056256C" w:rsidP="00C07309">
            <w:pPr>
              <w:pStyle w:val="af1"/>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rsidR="00BA7E55" w:rsidRDefault="0056256C">
            <w:pPr>
              <w:pStyle w:val="af1"/>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f1"/>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sz w:val="20"/>
                <w:szCs w:val="20"/>
              </w:rPr>
            </w:pPr>
            <w:r>
              <w:rPr>
                <w:rStyle w:val="ae"/>
                <w:rFonts w:ascii="Times New Roman" w:eastAsia="Microsoft YaHei" w:hAnsi="Times New Roman" w:cs="Times New Roman" w:hint="eastAsia"/>
                <w:b w:val="0"/>
                <w:sz w:val="20"/>
                <w:szCs w:val="20"/>
              </w:rPr>
              <w:t>We are fine to d</w:t>
            </w:r>
            <w:r>
              <w:rPr>
                <w:rStyle w:val="ae"/>
                <w:rFonts w:ascii="Times New Roman" w:eastAsia="Microsoft YaHei" w:hAnsi="Times New Roman" w:cs="Times New Roman"/>
                <w:b w:val="0"/>
                <w:sz w:val="20"/>
                <w:szCs w:val="20"/>
              </w:rPr>
              <w:t>own-scop</w:t>
            </w:r>
            <w:r>
              <w:rPr>
                <w:rStyle w:val="ae"/>
                <w:rFonts w:ascii="Times New Roman" w:eastAsia="Microsoft YaHei" w:hAnsi="Times New Roman" w:cs="Times New Roman" w:hint="eastAsia"/>
                <w:b w:val="0"/>
                <w:sz w:val="20"/>
                <w:szCs w:val="20"/>
              </w:rPr>
              <w:t>e</w:t>
            </w:r>
            <w:r>
              <w:rPr>
                <w:rStyle w:val="ae"/>
                <w:rFonts w:ascii="Times New Roman" w:eastAsia="Microsoft YaHei" w:hAnsi="Times New Roman" w:cs="Times New Roman"/>
                <w:b w:val="0"/>
                <w:sz w:val="20"/>
                <w:szCs w:val="20"/>
              </w:rPr>
              <w:t xml:space="preserve"> this </w:t>
            </w:r>
            <w:r>
              <w:rPr>
                <w:rStyle w:val="ae"/>
                <w:rFonts w:ascii="Times New Roman" w:eastAsia="Microsoft YaHei" w:hAnsi="Times New Roman" w:cs="Times New Roman" w:hint="eastAsia"/>
                <w:b w:val="0"/>
                <w:sz w:val="20"/>
                <w:szCs w:val="20"/>
              </w:rPr>
              <w:t>topic to ensure completion of RAN1 work in time. W</w:t>
            </w:r>
            <w:r>
              <w:rPr>
                <w:rStyle w:val="ae"/>
                <w:rFonts w:ascii="Times New Roman" w:eastAsia="Microsoft YaHei" w:hAnsi="Times New Roman" w:cs="Times New Roman"/>
                <w:b w:val="0"/>
                <w:sz w:val="20"/>
                <w:szCs w:val="20"/>
              </w:rPr>
              <w:t xml:space="preserve">e suggest </w:t>
            </w:r>
            <w:r>
              <w:rPr>
                <w:rStyle w:val="ae"/>
                <w:rFonts w:ascii="Times New Roman" w:eastAsia="Microsoft YaHei" w:hAnsi="Times New Roman" w:cs="Times New Roman" w:hint="eastAsia"/>
                <w:b w:val="0"/>
                <w:sz w:val="20"/>
                <w:szCs w:val="20"/>
              </w:rPr>
              <w:t xml:space="preserve">dropping </w:t>
            </w:r>
            <w:r>
              <w:rPr>
                <w:rStyle w:val="ae"/>
                <w:rFonts w:ascii="Times New Roman" w:eastAsia="Microsoft YaHei" w:hAnsi="Times New Roman" w:cs="Times New Roman"/>
                <w:b w:val="0"/>
                <w:sz w:val="20"/>
                <w:szCs w:val="20"/>
              </w:rPr>
              <w:t>"simultaneous PUCCH/PUSCH of different PHY priorities " and "overlapping CG and DG PUSCH enhancements"</w:t>
            </w:r>
            <w:r>
              <w:rPr>
                <w:rStyle w:val="ae"/>
                <w:rFonts w:ascii="Times New Roman" w:eastAsia="Microsoft YaHei" w:hAnsi="Times New Roman" w:cs="Times New Roman" w:hint="eastAsia"/>
                <w:b w:val="0"/>
                <w:sz w:val="20"/>
                <w:szCs w:val="20"/>
              </w:rPr>
              <w:t xml:space="preserve">. Because these two features only targets limited scenarios and not fully discussed yet. </w:t>
            </w:r>
          </w:p>
          <w:p w:rsidR="00BA7E55" w:rsidRDefault="00BA7E55">
            <w:pPr>
              <w:pStyle w:val="Web"/>
              <w:shd w:val="clear" w:color="auto" w:fill="FFFFFF"/>
              <w:spacing w:before="120" w:beforeAutospacing="0" w:after="120" w:afterAutospacing="0"/>
              <w:rPr>
                <w:rStyle w:val="ae"/>
                <w:rFonts w:ascii="Times New Roman" w:eastAsia="Microsoft YaHei" w:hAnsi="Times New Roman" w:cs="Times New Roman"/>
                <w:b w:val="0"/>
                <w:sz w:val="20"/>
                <w:szCs w:val="20"/>
              </w:rPr>
            </w:pPr>
          </w:p>
          <w:p w:rsidR="00BA7E55" w:rsidRDefault="0056256C">
            <w:pPr>
              <w:pStyle w:val="Web"/>
              <w:shd w:val="clear" w:color="auto" w:fill="FFFFFF"/>
              <w:spacing w:before="120" w:beforeAutospacing="0" w:after="120" w:afterAutospacing="0"/>
              <w:rPr>
                <w:rFonts w:ascii="Times New Roman" w:hAnsi="Times New Roman" w:cs="Times New Roman"/>
                <w:sz w:val="20"/>
                <w:szCs w:val="20"/>
                <w:lang w:eastAsia="ko-KR"/>
              </w:rPr>
            </w:pPr>
            <w:r>
              <w:rPr>
                <w:rStyle w:val="ae"/>
                <w:rFonts w:ascii="Times New Roman" w:eastAsia="Microsoft YaHei" w:hAnsi="Times New Roman" w:cs="Times New Roman" w:hint="eastAsia"/>
                <w:b w:val="0"/>
                <w:sz w:val="20"/>
                <w:szCs w:val="20"/>
              </w:rPr>
              <w:t xml:space="preserve">For the multiplexing behavior </w:t>
            </w:r>
            <w:r>
              <w:rPr>
                <w:rStyle w:val="af"/>
                <w:rFonts w:ascii="Times New Roman" w:eastAsia="Microsoft YaHei" w:hAnsi="Times New Roman" w:cs="Times New Roman"/>
                <w:bCs/>
                <w:i w:val="0"/>
                <w:iCs w:val="0"/>
                <w:sz w:val="20"/>
                <w:szCs w:val="20"/>
              </w:rPr>
              <w:t>among HARQ-ACK/SR/CSI and PUSCH for traffic with different priorities</w:t>
            </w:r>
            <w:r>
              <w:rPr>
                <w:rStyle w:val="af"/>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f1"/>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1"/>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1"/>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rsidR="00BA7E55" w:rsidRDefault="0056256C">
            <w:pPr>
              <w:pStyle w:val="af1"/>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f1"/>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textAlignment w:val="center"/>
              <w:rPr>
                <w:rStyle w:val="ae"/>
                <w:rFonts w:ascii="Times New Roman" w:eastAsia="Microsoft YaHei" w:hAnsi="Times New Roman"/>
                <w:b w:val="0"/>
                <w:szCs w:val="20"/>
                <w:lang w:val="en-US" w:eastAsia="zh-CN"/>
              </w:rPr>
            </w:pPr>
            <w:r>
              <w:rPr>
                <w:lang w:eastAsia="ko-KR"/>
              </w:rPr>
              <w:t xml:space="preserve">We are fine to have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own-scoping</w:t>
            </w:r>
            <w:r>
              <w:rPr>
                <w:rStyle w:val="ae"/>
                <w:rFonts w:ascii="Times New Roman" w:eastAsia="Microsoft YaHei" w:hAnsi="Times New Roman"/>
                <w:b w:val="0"/>
                <w:szCs w:val="20"/>
                <w:lang w:val="en-US" w:eastAsia="zh-CN"/>
              </w:rPr>
              <w:t xml:space="preserve"> with the following views:</w:t>
            </w:r>
          </w:p>
          <w:p w:rsidR="00BA7E55" w:rsidRDefault="0056256C">
            <w:pPr>
              <w:pStyle w:val="af1"/>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rsidR="00BA7E55" w:rsidRDefault="0056256C">
            <w:pPr>
              <w:pStyle w:val="af1"/>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f1"/>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f1"/>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f1"/>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f1"/>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e"/>
                <w:rFonts w:ascii="Times New Roman" w:eastAsia="Microsoft YaHei" w:hAnsi="Times New Roman" w:hint="eastAsia"/>
                <w:b w:val="0"/>
                <w:szCs w:val="20"/>
                <w:lang w:val="en-US" w:eastAsia="zh-CN"/>
              </w:rPr>
              <w:t>d</w:t>
            </w:r>
            <w:r>
              <w:rPr>
                <w:rStyle w:val="ae"/>
                <w:rFonts w:ascii="Times New Roman" w:eastAsia="Microsoft YaHei"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f1"/>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f1"/>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f1"/>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f1"/>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f1"/>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f1"/>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f1"/>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rsidR="00BA7E55" w:rsidRDefault="0056256C">
            <w:pPr>
              <w:pStyle w:val="af1"/>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游明朝" w:hint="eastAsia"/>
                <w:lang w:eastAsia="ja-JP"/>
              </w:rPr>
              <w:t>P</w:t>
            </w:r>
            <w:r>
              <w:rPr>
                <w:rFonts w:eastAsia="游明朝"/>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游明朝" w:hint="eastAsia"/>
                <w:lang w:eastAsia="ja-JP"/>
              </w:rPr>
              <w:t>W</w:t>
            </w:r>
            <w:r>
              <w:rPr>
                <w:rFonts w:eastAsia="游明朝"/>
                <w:lang w:eastAsia="ja-JP"/>
              </w:rPr>
              <w:t xml:space="preserve">e don't agree to down-scoping of intra-UE multiplexing. This has been continued from Rel.16. We think "PHY prioritization of overlapping DG PUSCH and CG PUSCH of </w:t>
            </w:r>
            <w:r>
              <w:rPr>
                <w:rFonts w:eastAsia="游明朝"/>
                <w:lang w:eastAsia="ja-JP"/>
              </w:rPr>
              <w:lastRenderedPageBreak/>
              <w:t>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lastRenderedPageBreak/>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f1"/>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游明朝"/>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SimSun" w:cs="Times"/>
                <w:color w:val="000000"/>
                <w:szCs w:val="20"/>
                <w:lang w:eastAsia="zh-CN"/>
              </w:rPr>
            </w:pPr>
          </w:p>
          <w:p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游明朝" w:hint="eastAsia"/>
                <w:lang w:eastAsia="ja-JP"/>
              </w:rPr>
              <w:t>DOCOMO</w:t>
            </w:r>
          </w:p>
        </w:tc>
        <w:tc>
          <w:tcPr>
            <w:tcW w:w="7389" w:type="dxa"/>
            <w:vAlign w:val="center"/>
          </w:tcPr>
          <w:p w:rsidR="00BA7E55" w:rsidRDefault="0056256C">
            <w:pPr>
              <w:spacing w:before="120" w:after="120"/>
              <w:textAlignment w:val="center"/>
              <w:rPr>
                <w:lang w:eastAsia="zh-CN"/>
              </w:rPr>
            </w:pPr>
            <w:r>
              <w:rPr>
                <w:rFonts w:eastAsia="游明朝"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spacing w:before="120" w:after="120"/>
              <w:textAlignment w:val="center"/>
              <w:rPr>
                <w:rFonts w:eastAsia="游明朝"/>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rsidR="00BA7E55" w:rsidRDefault="0056256C">
            <w:pPr>
              <w:pStyle w:val="af1"/>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f1"/>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f1"/>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rFonts w:eastAsia="DengXian"/>
                <w:lang w:eastAsia="zh-CN"/>
              </w:rPr>
              <w:lastRenderedPageBreak/>
              <w:t>MediaTek</w:t>
            </w:r>
          </w:p>
        </w:tc>
        <w:tc>
          <w:tcPr>
            <w:tcW w:w="7389" w:type="dxa"/>
            <w:vAlign w:val="center"/>
          </w:tcPr>
          <w:p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1"/>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游明朝" w:hint="eastAsia"/>
                <w:lang w:eastAsia="ja-JP"/>
              </w:rPr>
              <w:lastRenderedPageBreak/>
              <w:t>P</w:t>
            </w:r>
            <w:r>
              <w:rPr>
                <w:rFonts w:eastAsia="游明朝"/>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游明朝" w:hint="eastAsia"/>
                <w:lang w:eastAsia="ja-JP"/>
              </w:rPr>
              <w:t>W</w:t>
            </w:r>
            <w:r>
              <w:rPr>
                <w:rFonts w:eastAsia="游明朝"/>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游明朝"/>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00"/>
        <w:jc w:val="both"/>
      </w:pPr>
      <w:r>
        <w:t>RAN1 made the following conclusion on delta-MCS in RAN1#106-e after discussing the topic in GTW sessions and over emails.</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pStyle w:val="af1"/>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f1"/>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f1"/>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Futurewei</w:t>
            </w:r>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游明朝"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游明朝" w:cs="Times"/>
                <w:szCs w:val="20"/>
                <w:lang w:eastAsia="ja-JP"/>
              </w:rPr>
            </w:pPr>
            <w:r>
              <w:rPr>
                <w:lang w:eastAsia="ko-KR"/>
              </w:rPr>
              <w:t>Intel</w:t>
            </w:r>
          </w:p>
        </w:tc>
        <w:tc>
          <w:tcPr>
            <w:tcW w:w="7389" w:type="dxa"/>
            <w:vAlign w:val="center"/>
          </w:tcPr>
          <w:p w:rsidR="00BA7E55" w:rsidRDefault="0056256C">
            <w:pPr>
              <w:pStyle w:val="af1"/>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f1"/>
              <w:numPr>
                <w:ilvl w:val="0"/>
                <w:numId w:val="6"/>
              </w:numPr>
              <w:spacing w:before="120" w:after="120"/>
              <w:contextualSpacing w:val="0"/>
              <w:rPr>
                <w:rFonts w:eastAsia="Times New Roman"/>
              </w:rPr>
            </w:pPr>
            <w:r>
              <w:rPr>
                <w:rFonts w:eastAsia="Times New Roman"/>
              </w:rPr>
              <w:lastRenderedPageBreak/>
              <w:t>It was based on both performance evaluation and concerns about implementation, testability, overhead, increased processing delay for HARQ-ACK, etc</w:t>
            </w:r>
          </w:p>
          <w:p w:rsidR="00BA7E55" w:rsidRDefault="0056256C">
            <w:pPr>
              <w:pStyle w:val="af1"/>
              <w:numPr>
                <w:ilvl w:val="0"/>
                <w:numId w:val="6"/>
              </w:numPr>
              <w:spacing w:before="120" w:after="120"/>
              <w:contextualSpacing w:val="0"/>
              <w:rPr>
                <w:rFonts w:eastAsia="Times New Roman"/>
              </w:rPr>
            </w:pPr>
            <w:r>
              <w:rPr>
                <w:rFonts w:eastAsia="Times New Roman"/>
              </w:rPr>
              <w:t>Based on the above,</w:t>
            </w:r>
          </w:p>
          <w:p w:rsidR="00BA7E55" w:rsidRDefault="0056256C">
            <w:pPr>
              <w:pStyle w:val="af1"/>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rsidR="00BA7E55" w:rsidRDefault="0056256C">
            <w:pPr>
              <w:pStyle w:val="af1"/>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f1"/>
              <w:numPr>
                <w:ilvl w:val="1"/>
                <w:numId w:val="6"/>
              </w:numPr>
              <w:spacing w:before="120" w:after="120"/>
              <w:contextualSpacing w:val="0"/>
              <w:rPr>
                <w:rFonts w:eastAsia="游明朝"/>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MediaTek</w:t>
            </w:r>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游明朝" w:hint="eastAsia"/>
                <w:lang w:eastAsia="ja-JP"/>
              </w:rPr>
              <w:lastRenderedPageBreak/>
              <w:t>P</w:t>
            </w:r>
            <w:r>
              <w:rPr>
                <w:rFonts w:eastAsia="游明朝"/>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游明朝"/>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f1"/>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f1"/>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rsidR="00BA7E55" w:rsidRDefault="0056256C">
            <w:pPr>
              <w:pStyle w:val="af1"/>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DengXian"/>
                <w:lang w:eastAsia="zh-CN"/>
              </w:rPr>
            </w:pPr>
          </w:p>
          <w:p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f1"/>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rsidR="00BA7E55" w:rsidRDefault="0056256C">
            <w:pPr>
              <w:pStyle w:val="af1"/>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DengXian"/>
                <w:lang w:val="en-US" w:eastAsia="zh-CN"/>
              </w:rPr>
            </w:pPr>
          </w:p>
          <w:p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sz w:val="20"/>
                <w:szCs w:val="20"/>
                <w:shd w:val="clear" w:color="auto" w:fill="FFFFFF"/>
              </w:rPr>
            </w:pPr>
            <w:r>
              <w:rPr>
                <w:rStyle w:val="ae"/>
                <w:rFonts w:ascii="Times New Roman" w:eastAsia="Microsoft YaHei" w:hAnsi="Times New Roman" w:cs="Times New Roman"/>
                <w:b w:val="0"/>
                <w:sz w:val="20"/>
                <w:szCs w:val="20"/>
                <w:shd w:val="clear" w:color="auto" w:fill="FFFFFF"/>
              </w:rPr>
              <w:t>We are not fine with the proposal.</w:t>
            </w:r>
            <w:r>
              <w:rPr>
                <w:rStyle w:val="ae"/>
                <w:rFonts w:ascii="Times New Roman" w:eastAsia="Microsoft YaHei" w:hAnsi="Times New Roman" w:cs="Times New Roman" w:hint="eastAsia"/>
                <w:b w:val="0"/>
                <w:sz w:val="20"/>
                <w:szCs w:val="20"/>
                <w:shd w:val="clear" w:color="auto" w:fill="FFFFFF"/>
              </w:rPr>
              <w:t xml:space="preserve"> </w:t>
            </w:r>
          </w:p>
          <w:p w:rsidR="00BA7E55" w:rsidRDefault="00BA7E55">
            <w:pPr>
              <w:pStyle w:val="Web"/>
              <w:shd w:val="clear" w:color="auto" w:fill="FFFFFF"/>
              <w:spacing w:before="120" w:beforeAutospacing="0" w:after="120" w:afterAutospacing="0"/>
              <w:rPr>
                <w:rStyle w:val="ae"/>
                <w:rFonts w:ascii="Times New Roman" w:eastAsia="Microsoft YaHei" w:hAnsi="Times New Roman" w:cs="Times New Roman"/>
                <w:b w:val="0"/>
                <w:sz w:val="20"/>
                <w:szCs w:val="20"/>
                <w:shd w:val="clear" w:color="auto" w:fill="FFFFFF"/>
              </w:rPr>
            </w:pPr>
          </w:p>
          <w:p w:rsidR="00BA7E55" w:rsidRDefault="0056256C">
            <w:pPr>
              <w:pStyle w:v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e"/>
                <w:rFonts w:ascii="Times New Roman" w:eastAsia="Microsoft YaHei" w:hAnsi="Times New Roman" w:cs="Times New Roman"/>
                <w:b w:val="0"/>
                <w:sz w:val="20"/>
                <w:szCs w:val="20"/>
                <w:shd w:val="clear" w:color="auto" w:fill="FFFFFF"/>
              </w:rPr>
              <w:t>’</w:t>
            </w:r>
            <w:r>
              <w:rPr>
                <w:rStyle w:val="ae"/>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Web"/>
              <w:shd w:val="clear" w:color="auto" w:fill="FFFFFF"/>
              <w:spacing w:before="120" w:beforeAutospacing="0" w:after="120" w:afterAutospacing="0"/>
              <w:rPr>
                <w:rStyle w:val="af"/>
                <w:rFonts w:ascii="Times New Roman" w:hAnsi="Times New Roman" w:cs="Times New Roman"/>
                <w:i w:val="0"/>
                <w:iCs w:val="0"/>
                <w:sz w:val="20"/>
                <w:szCs w:val="20"/>
                <w:shd w:val="clear" w:color="auto" w:fill="FFFFFF"/>
              </w:rPr>
            </w:pPr>
            <w:r>
              <w:rPr>
                <w:rStyle w:val="ae"/>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e"/>
                <w:rFonts w:ascii="Times New Roman" w:eastAsia="Microsoft YaHei" w:hAnsi="Times New Roman" w:cs="Times New Roman"/>
                <w:b w:val="0"/>
                <w:sz w:val="20"/>
                <w:szCs w:val="20"/>
                <w:shd w:val="clear" w:color="auto" w:fill="FFFFFF"/>
              </w:rPr>
              <w:t xml:space="preserve"> TA-based </w:t>
            </w:r>
            <w:r>
              <w:rPr>
                <w:rStyle w:val="ae"/>
                <w:rFonts w:ascii="Times New Roman" w:eastAsia="Microsoft YaHei" w:hAnsi="Times New Roman" w:cs="Times New Roman" w:hint="eastAsia"/>
                <w:b w:val="0"/>
                <w:sz w:val="20"/>
                <w:szCs w:val="20"/>
                <w:shd w:val="clear" w:color="auto" w:fill="FFFFFF"/>
              </w:rPr>
              <w:t>PDC</w:t>
            </w:r>
            <w:r>
              <w:rPr>
                <w:rStyle w:val="ae"/>
                <w:rFonts w:ascii="Times New Roman" w:eastAsia="Microsoft YaHei" w:hAnsi="Times New Roman" w:cs="Times New Roman"/>
                <w:b w:val="0"/>
                <w:sz w:val="20"/>
                <w:szCs w:val="20"/>
                <w:shd w:val="clear" w:color="auto" w:fill="FFFFFF"/>
              </w:rPr>
              <w:t xml:space="preserve"> is already supported </w:t>
            </w:r>
            <w:r>
              <w:rPr>
                <w:rStyle w:val="ae"/>
                <w:rFonts w:ascii="Times New Roman" w:eastAsia="Microsoft YaHei" w:hAnsi="Times New Roman" w:cs="Times New Roman" w:hint="eastAsia"/>
                <w:b w:val="0"/>
                <w:sz w:val="20"/>
                <w:szCs w:val="20"/>
                <w:shd w:val="clear" w:color="auto" w:fill="FFFFFF"/>
              </w:rPr>
              <w:t>in legacy and</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few additional spec effort for enhancements i</w:t>
            </w:r>
            <w:r>
              <w:rPr>
                <w:rStyle w:val="ae"/>
                <w:rFonts w:ascii="Times New Roman" w:eastAsia="Microsoft YaHei" w:hAnsi="Times New Roman" w:cs="Times New Roman"/>
                <w:b w:val="0"/>
                <w:sz w:val="20"/>
                <w:szCs w:val="20"/>
                <w:shd w:val="clear" w:color="auto" w:fill="FFFFFF"/>
              </w:rPr>
              <w:t>s needed. </w:t>
            </w:r>
            <w:r>
              <w:rPr>
                <w:rStyle w:val="ae"/>
                <w:rFonts w:ascii="Times New Roman" w:eastAsia="Microsoft YaHei" w:hAnsi="Times New Roman" w:cs="Times New Roman" w:hint="eastAsia"/>
                <w:b w:val="0"/>
                <w:sz w:val="20"/>
                <w:szCs w:val="20"/>
                <w:shd w:val="clear" w:color="auto" w:fill="FFFFFF"/>
              </w:rPr>
              <w:t xml:space="preserve">For example, we can simply </w:t>
            </w:r>
            <w:r>
              <w:rPr>
                <w:rStyle w:val="af"/>
                <w:rFonts w:ascii="Times New Roman" w:hAnsi="Times New Roman" w:cs="Times New Roman"/>
                <w:i w:val="0"/>
                <w:iCs w:val="0"/>
                <w:sz w:val="20"/>
                <w:szCs w:val="20"/>
                <w:shd w:val="clear" w:color="auto" w:fill="FFFFFF"/>
              </w:rPr>
              <w:t>reu</w:t>
            </w:r>
            <w:r>
              <w:rPr>
                <w:rStyle w:val="af"/>
                <w:rFonts w:ascii="Times New Roman" w:hAnsi="Times New Roman" w:cs="Times New Roman" w:hint="eastAsia"/>
                <w:i w:val="0"/>
                <w:iCs w:val="0"/>
                <w:sz w:val="20"/>
                <w:szCs w:val="20"/>
                <w:shd w:val="clear" w:color="auto" w:fill="FFFFFF"/>
              </w:rPr>
              <w:t>se</w:t>
            </w:r>
            <w:r>
              <w:rPr>
                <w:rStyle w:val="af"/>
                <w:rFonts w:ascii="Times New Roman" w:hAnsi="Times New Roman" w:cs="Times New Roman"/>
                <w:i w:val="0"/>
                <w:iCs w:val="0"/>
                <w:sz w:val="20"/>
                <w:szCs w:val="20"/>
                <w:shd w:val="clear" w:color="auto" w:fill="FFFFFF"/>
              </w:rPr>
              <w:t xml:space="preserve"> the mechanism specified in IAB, i.e., </w:t>
            </w:r>
            <w:r>
              <w:rPr>
                <w:rStyle w:val="af"/>
                <w:rFonts w:ascii="Times New Roman" w:hAnsi="Times New Roman" w:cs="Times New Roman" w:hint="eastAsia"/>
                <w:i w:val="0"/>
                <w:iCs w:val="0"/>
                <w:sz w:val="20"/>
                <w:szCs w:val="20"/>
                <w:shd w:val="clear" w:color="auto" w:fill="FFFFFF"/>
              </w:rPr>
              <w:t xml:space="preserve">introducing </w:t>
            </w:r>
            <w:r>
              <w:rPr>
                <w:rStyle w:val="af"/>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Web"/>
              <w:shd w:val="clear" w:color="auto" w:fill="FFFFFF"/>
              <w:spacing w:before="120" w:beforeAutospacing="0" w:after="120" w:afterAutospacing="0"/>
              <w:rPr>
                <w:rStyle w:val="af"/>
                <w:rFonts w:ascii="Times New Roman" w:hAnsi="Times New Roman" w:cs="Times New Roman"/>
                <w:i w:val="0"/>
                <w:iCs w:val="0"/>
                <w:sz w:val="20"/>
                <w:szCs w:val="20"/>
                <w:shd w:val="clear" w:color="auto" w:fill="FFFFFF"/>
              </w:rPr>
            </w:pPr>
          </w:p>
          <w:p w:rsidR="00BA7E55" w:rsidRDefault="0056256C">
            <w:pPr>
              <w:pStyle w:val="Web"/>
              <w:shd w:val="clear" w:color="auto" w:fill="FFFFFF"/>
              <w:spacing w:before="120" w:beforeAutospacing="0" w:after="120" w:afterAutospacing="0"/>
              <w:rPr>
                <w:rFonts w:ascii="Times New Roman" w:eastAsia="Batang" w:hAnsi="Times New Roman" w:cs="Times New Roman"/>
                <w:szCs w:val="20"/>
                <w:lang w:eastAsia="ko-KR"/>
              </w:rPr>
            </w:pPr>
            <w:r>
              <w:rPr>
                <w:rStyle w:val="ae"/>
                <w:rFonts w:ascii="Times New Roman" w:eastAsia="Microsoft YaHei" w:hAnsi="Times New Roman" w:cs="Times New Roman"/>
                <w:b w:val="0"/>
                <w:sz w:val="20"/>
                <w:szCs w:val="20"/>
                <w:shd w:val="clear" w:color="auto" w:fill="FFFFFF"/>
              </w:rPr>
              <w:t>For the RTT</w:t>
            </w:r>
            <w:r>
              <w:rPr>
                <w:rStyle w:val="ae"/>
                <w:rFonts w:ascii="Times New Roman" w:eastAsia="Microsoft YaHei" w:hAnsi="Times New Roman" w:cs="Times New Roman" w:hint="eastAsia"/>
                <w:b w:val="0"/>
                <w:sz w:val="20"/>
                <w:szCs w:val="20"/>
                <w:shd w:val="clear" w:color="auto" w:fill="FFFFFF"/>
              </w:rPr>
              <w:t>-</w:t>
            </w:r>
            <w:r>
              <w:rPr>
                <w:rStyle w:val="ae"/>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e"/>
                <w:rFonts w:ascii="Times New Roman" w:eastAsia="Microsoft YaHei" w:hAnsi="Times New Roman" w:cs="Times New Roman"/>
                <w:b w:val="0"/>
                <w:sz w:val="20"/>
                <w:szCs w:val="20"/>
                <w:shd w:val="clear" w:color="auto" w:fill="FFFFFF"/>
              </w:rPr>
              <w:t xml:space="preserve">t is </w:t>
            </w:r>
            <w:r>
              <w:rPr>
                <w:rStyle w:val="ae"/>
                <w:rFonts w:ascii="Times New Roman" w:eastAsia="Microsoft YaHei" w:hAnsi="Times New Roman" w:cs="Times New Roman" w:hint="eastAsia"/>
                <w:b w:val="0"/>
                <w:sz w:val="20"/>
                <w:szCs w:val="20"/>
                <w:shd w:val="clear" w:color="auto" w:fill="FFFFFF"/>
              </w:rPr>
              <w:t xml:space="preserve">too </w:t>
            </w:r>
            <w:r>
              <w:rPr>
                <w:rStyle w:val="ae"/>
                <w:rFonts w:ascii="Times New Roman" w:eastAsia="Microsoft YaHei" w:hAnsi="Times New Roman" w:cs="Times New Roman"/>
                <w:b w:val="0"/>
                <w:sz w:val="20"/>
                <w:szCs w:val="20"/>
                <w:shd w:val="clear" w:color="auto" w:fill="FFFFFF"/>
              </w:rPr>
              <w:t xml:space="preserve">controversial, even </w:t>
            </w:r>
            <w:r>
              <w:rPr>
                <w:rStyle w:val="ae"/>
                <w:rFonts w:ascii="Times New Roman" w:eastAsia="Microsoft YaHei" w:hAnsi="Times New Roman" w:cs="Times New Roman" w:hint="eastAsia"/>
                <w:b w:val="0"/>
                <w:sz w:val="20"/>
                <w:szCs w:val="20"/>
                <w:shd w:val="clear" w:color="auto" w:fill="FFFFFF"/>
              </w:rPr>
              <w:t>without</w:t>
            </w:r>
            <w:r>
              <w:rPr>
                <w:rStyle w:val="ae"/>
                <w:rFonts w:ascii="Times New Roman" w:eastAsia="Microsoft YaHei" w:hAnsi="Times New Roman" w:cs="Times New Roman"/>
                <w:b w:val="0"/>
                <w:sz w:val="20"/>
                <w:szCs w:val="20"/>
                <w:shd w:val="clear" w:color="auto" w:fill="FFFFFF"/>
              </w:rPr>
              <w:t xml:space="preserve"> any consensus on sending the LS to RAN</w:t>
            </w:r>
            <w:r>
              <w:rPr>
                <w:rStyle w:val="ae"/>
                <w:rFonts w:ascii="Times New Roman" w:eastAsia="Microsoft YaHei" w:hAnsi="Times New Roman" w:cs="Times New Roman"/>
                <w:b w:val="0"/>
                <w:sz w:val="20"/>
                <w:szCs w:val="20"/>
              </w:rPr>
              <w:t>4</w:t>
            </w:r>
            <w:r>
              <w:rPr>
                <w:rStyle w:val="ae"/>
                <w:rFonts w:ascii="Times New Roman" w:eastAsia="Microsoft YaHei" w:hAnsi="Times New Roman" w:cs="Times New Roman"/>
                <w:b w:val="0"/>
                <w:sz w:val="20"/>
                <w:szCs w:val="20"/>
                <w:shd w:val="clear" w:color="auto" w:fill="FFFFFF"/>
              </w:rPr>
              <w:t xml:space="preserve">. </w:t>
            </w:r>
            <w:r>
              <w:rPr>
                <w:rStyle w:val="ae"/>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e"/>
                <w:rFonts w:ascii="Times New Roman" w:eastAsia="Microsoft YaHei" w:hAnsi="Times New Roman" w:cs="Times New Roman"/>
                <w:b w:val="0"/>
                <w:sz w:val="20"/>
                <w:szCs w:val="20"/>
                <w:shd w:val="clear" w:color="auto" w:fill="FFFFFF"/>
              </w:rPr>
              <w:t xml:space="preserve">t is too premature </w:t>
            </w:r>
            <w:r>
              <w:rPr>
                <w:rStyle w:val="ae"/>
                <w:rFonts w:ascii="Times New Roman" w:eastAsia="Microsoft YaHei" w:hAnsi="Times New Roman" w:cs="Times New Roman" w:hint="eastAsia"/>
                <w:b w:val="0"/>
                <w:sz w:val="20"/>
                <w:szCs w:val="20"/>
                <w:shd w:val="clear" w:color="auto" w:fill="FFFFFF"/>
              </w:rPr>
              <w:t xml:space="preserve">and not reasonable </w:t>
            </w:r>
            <w:r>
              <w:rPr>
                <w:rStyle w:val="ae"/>
                <w:rFonts w:ascii="Times New Roman" w:eastAsia="Microsoft YaHei" w:hAnsi="Times New Roman" w:cs="Times New Roman"/>
                <w:b w:val="0"/>
                <w:sz w:val="20"/>
                <w:szCs w:val="20"/>
                <w:shd w:val="clear" w:color="auto" w:fill="FFFFFF"/>
              </w:rPr>
              <w:t xml:space="preserve">to </w:t>
            </w:r>
            <w:r>
              <w:rPr>
                <w:rStyle w:val="ae"/>
                <w:rFonts w:ascii="Times New Roman" w:eastAsia="Microsoft YaHei" w:hAnsi="Times New Roman" w:cs="Times New Roman" w:hint="eastAsia"/>
                <w:b w:val="0"/>
                <w:sz w:val="20"/>
                <w:szCs w:val="20"/>
                <w:shd w:val="clear" w:color="auto" w:fill="FFFFFF"/>
              </w:rPr>
              <w:t xml:space="preserve">decide </w:t>
            </w:r>
            <w:r>
              <w:rPr>
                <w:rStyle w:val="ae"/>
                <w:rFonts w:ascii="Times New Roman" w:eastAsia="Microsoft YaHei" w:hAnsi="Times New Roman" w:cs="Times New Roman"/>
                <w:b w:val="0"/>
                <w:sz w:val="20"/>
                <w:szCs w:val="20"/>
                <w:shd w:val="clear" w:color="auto" w:fill="FFFFFF"/>
              </w:rPr>
              <w:t xml:space="preserve">RTT based PDC as the </w:t>
            </w:r>
            <w:r>
              <w:rPr>
                <w:rStyle w:val="ae"/>
                <w:rFonts w:ascii="Times New Roman" w:eastAsia="Microsoft YaHei" w:hAnsi="Times New Roman" w:cs="Times New Roman" w:hint="eastAsia"/>
                <w:b w:val="0"/>
                <w:sz w:val="20"/>
                <w:szCs w:val="20"/>
                <w:shd w:val="clear" w:color="auto" w:fill="FFFFFF"/>
              </w:rPr>
              <w:t xml:space="preserve">only solution </w:t>
            </w:r>
            <w:r>
              <w:rPr>
                <w:rStyle w:val="ae"/>
                <w:rFonts w:ascii="Times New Roman" w:eastAsia="Microsoft YaHei" w:hAnsi="Times New Roman" w:cs="Times New Roman"/>
                <w:b w:val="0"/>
                <w:sz w:val="20"/>
                <w:szCs w:val="20"/>
                <w:shd w:val="clear" w:color="auto" w:fill="FFFFFF"/>
              </w:rPr>
              <w:t>for Rel-17</w:t>
            </w:r>
            <w:r>
              <w:rPr>
                <w:rStyle w:val="ae"/>
                <w:rFonts w:ascii="Times New Roman" w:eastAsia="Microsoft YaHei"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DengXian"/>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e"/>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rsidR="00BA7E55" w:rsidRDefault="0056256C">
            <w:pPr>
              <w:spacing w:before="120" w:after="120"/>
              <w:textAlignment w:val="center"/>
              <w:rPr>
                <w:rStyle w:val="af0"/>
                <w:rFonts w:eastAsia="SimSun"/>
                <w:lang w:val="en-US" w:eastAsia="zh-CN"/>
              </w:rPr>
            </w:pPr>
            <w:r>
              <w:rPr>
                <w:rStyle w:val="af0"/>
                <w:rFonts w:eastAsia="SimSun" w:hint="eastAsia"/>
                <w:lang w:val="en-US"/>
              </w:rPr>
              <w:t>Y</w:t>
            </w:r>
            <w:r>
              <w:rPr>
                <w:rStyle w:val="af0"/>
                <w:rFonts w:eastAsia="SimSun"/>
                <w:lang w:val="en-US"/>
              </w:rPr>
              <w:t>es, we have concern on above proposal.</w:t>
            </w:r>
            <w:r>
              <w:rPr>
                <w:rStyle w:val="af0"/>
                <w:rFonts w:eastAsia="SimSun" w:hint="eastAsia"/>
                <w:lang w:val="en-US" w:eastAsia="zh-CN"/>
              </w:rPr>
              <w:t xml:space="preserve"> </w:t>
            </w:r>
          </w:p>
          <w:p w:rsidR="00BA7E55" w:rsidRDefault="0056256C">
            <w:pPr>
              <w:spacing w:before="120" w:after="120"/>
              <w:textAlignment w:val="center"/>
              <w:rPr>
                <w:rFonts w:eastAsiaTheme="minorEastAsia"/>
              </w:rPr>
            </w:pPr>
            <w:r>
              <w:rPr>
                <w:rStyle w:val="af0"/>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f1"/>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932237">
            <w:pPr>
              <w:pStyle w:val="af1"/>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932237">
            <w:pPr>
              <w:pStyle w:val="af1"/>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MediaTek</w:t>
            </w:r>
          </w:p>
        </w:tc>
        <w:tc>
          <w:tcPr>
            <w:tcW w:w="7389" w:type="dxa"/>
            <w:vAlign w:val="center"/>
          </w:tcPr>
          <w:p w:rsidR="00BA7E55" w:rsidRDefault="0056256C">
            <w:pPr>
              <w:spacing w:before="120" w:after="120"/>
              <w:textAlignment w:val="center"/>
              <w:rPr>
                <w:lang w:eastAsia="ko-KR"/>
              </w:rPr>
            </w:pPr>
            <w:r>
              <w:rPr>
                <w:rStyle w:val="ae"/>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fully support the proposal.</w:t>
            </w:r>
          </w:p>
          <w:p w:rsidR="00BA7E55" w:rsidRDefault="0056256C">
            <w:pPr>
              <w:pStyle w:val="Web"/>
              <w:shd w:val="clear" w:color="auto" w:fill="FFFFFF"/>
              <w:spacing w:before="120" w:beforeAutospacing="0" w:after="120" w:afterAutospacing="0"/>
              <w:rPr>
                <w:rStyle w:val="ae"/>
                <w:rFonts w:ascii="Times New Roman" w:eastAsia="Microsoft YaHei" w:hAnsi="Times New Roman" w:cs="Times New Roman"/>
                <w:b w:val="0"/>
                <w:color w:val="7030A0"/>
                <w:sz w:val="20"/>
                <w:szCs w:val="20"/>
                <w:shd w:val="clear" w:color="auto" w:fill="FFFFFF"/>
              </w:rPr>
            </w:pPr>
            <w:r>
              <w:rPr>
                <w:rStyle w:val="ae"/>
                <w:rFonts w:ascii="Times New Roman" w:eastAsia="Microsoft YaHei" w:hAnsi="Times New Roman" w:cs="Times New Roman"/>
                <w:b w:val="0"/>
                <w:color w:val="7030A0"/>
                <w:sz w:val="20"/>
                <w:szCs w:val="20"/>
                <w:shd w:val="clear" w:color="auto" w:fill="FFFFFF"/>
              </w:rPr>
              <w:t>We had similar discussion previous RAN plenary.</w:t>
            </w:r>
            <w:r>
              <w:rPr>
                <w:rStyle w:val="ae"/>
                <w:rFonts w:ascii="Times New Roman" w:eastAsia="Microsoft YaHei" w:hAnsi="Times New Roman" w:cs="Times New Roman"/>
                <w:shd w:val="clear" w:color="auto" w:fill="FFFFFF"/>
              </w:rPr>
              <w:t xml:space="preserve"> </w:t>
            </w:r>
            <w:r>
              <w:rPr>
                <w:rStyle w:val="ae"/>
                <w:rFonts w:ascii="Times New Roman" w:eastAsia="Microsoft YaHei" w:hAnsi="Times New Roman" w:cs="Times New Roman"/>
                <w:b w:val="0"/>
                <w:bCs w:val="0"/>
                <w:color w:val="7030A0"/>
                <w:sz w:val="22"/>
                <w:szCs w:val="22"/>
                <w:shd w:val="clear" w:color="auto" w:fill="FFFFFF"/>
              </w:rPr>
              <w:t>Supporting</w:t>
            </w:r>
            <w:r>
              <w:rPr>
                <w:rStyle w:val="ae"/>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e"/>
                <w:rFonts w:ascii="Times New Roman" w:eastAsia="Microsoft YaHei" w:hAnsi="Times New Roman" w:cs="Times New Roman"/>
                <w:b w:val="0"/>
                <w:color w:val="7030A0"/>
                <w:sz w:val="20"/>
                <w:szCs w:val="20"/>
                <w:shd w:val="clear" w:color="auto" w:fill="FFFFFF"/>
              </w:rPr>
              <w:lastRenderedPageBreak/>
              <w:t>needed. In that way, we can complete the work with a useful outcome addressing different use cases.</w:t>
            </w:r>
          </w:p>
          <w:p w:rsidR="00BA7E55" w:rsidRDefault="0056256C">
            <w:pPr>
              <w:pStyle w:val="af1"/>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f1"/>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lastRenderedPageBreak/>
        <w:t>Enhancements based on new QoS related parameters</w:t>
      </w:r>
    </w:p>
    <w:p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ad"/>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Proposal 3: For the objective on New QoS parameter, RAN should provide the following guidance to RAN2:</w:t>
            </w:r>
          </w:p>
          <w:p w:rsidR="00BA7E55" w:rsidRDefault="0056256C">
            <w:pPr>
              <w:pStyle w:val="af1"/>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f1"/>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f1"/>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d"/>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Oppo’s.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游明朝"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游明朝"/>
                <w:lang w:eastAsia="ja-JP"/>
              </w:rPr>
            </w:pPr>
            <w:r>
              <w:rPr>
                <w:lang w:eastAsia="ko-KR"/>
              </w:rPr>
              <w:t>Intel</w:t>
            </w:r>
          </w:p>
        </w:tc>
        <w:tc>
          <w:tcPr>
            <w:tcW w:w="7389" w:type="dxa"/>
            <w:vAlign w:val="center"/>
          </w:tcPr>
          <w:p w:rsidR="00BA7E55" w:rsidRDefault="0056256C">
            <w:pPr>
              <w:spacing w:before="120" w:after="120"/>
              <w:textAlignment w:val="center"/>
              <w:rPr>
                <w:rFonts w:eastAsia="游明朝"/>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游明朝" w:hint="eastAsia"/>
                <w:lang w:eastAsia="ja-JP"/>
              </w:rPr>
              <w:lastRenderedPageBreak/>
              <w:t>P</w:t>
            </w:r>
            <w:r>
              <w:rPr>
                <w:rFonts w:eastAsia="游明朝"/>
                <w:lang w:eastAsia="ja-JP"/>
              </w:rPr>
              <w:t>anasonic</w:t>
            </w:r>
          </w:p>
        </w:tc>
        <w:tc>
          <w:tcPr>
            <w:tcW w:w="7389" w:type="dxa"/>
            <w:vAlign w:val="center"/>
          </w:tcPr>
          <w:p w:rsidR="00BA7E55" w:rsidRDefault="0056256C">
            <w:pPr>
              <w:spacing w:before="120" w:after="120"/>
              <w:rPr>
                <w:color w:val="7030A0"/>
                <w:lang w:eastAsia="ko-KR"/>
              </w:rPr>
            </w:pPr>
            <w:r>
              <w:rPr>
                <w:rFonts w:eastAsia="游明朝" w:hint="eastAsia"/>
                <w:lang w:eastAsia="ja-JP"/>
              </w:rPr>
              <w:t>W</w:t>
            </w:r>
            <w:r>
              <w:rPr>
                <w:rFonts w:eastAsia="游明朝"/>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00"/>
        <w:jc w:val="both"/>
      </w:pPr>
      <w:r>
        <w:t>The following alternatives for downscoping were identified during the initial round discussions. Each of the alternatives had good level of support in the initial phase.</w:t>
      </w:r>
    </w:p>
    <w:p w:rsidR="00BA7E55" w:rsidRDefault="0056256C" w:rsidP="00DC0639">
      <w:pPr>
        <w:pStyle w:val="af1"/>
        <w:numPr>
          <w:ilvl w:val="0"/>
          <w:numId w:val="23"/>
        </w:numPr>
        <w:jc w:val="both"/>
        <w:rPr>
          <w:lang w:val="en-US" w:eastAsia="ko-KR"/>
        </w:rPr>
      </w:pPr>
      <w:r>
        <w:rPr>
          <w:lang w:val="en-US" w:eastAsia="ko-KR"/>
        </w:rPr>
        <w:t>Downscope the support for simultaneous TX of PUCCH/PUSCH</w:t>
      </w:r>
    </w:p>
    <w:p w:rsidR="00BA7E55" w:rsidRDefault="0056256C" w:rsidP="00DC0639">
      <w:pPr>
        <w:pStyle w:val="af1"/>
        <w:numPr>
          <w:ilvl w:val="0"/>
          <w:numId w:val="23"/>
        </w:numPr>
        <w:jc w:val="both"/>
        <w:rPr>
          <w:lang w:val="en-US" w:eastAsia="ko-KR"/>
        </w:rPr>
      </w:pPr>
      <w:r>
        <w:rPr>
          <w:lang w:val="en-US" w:eastAsia="ko-KR"/>
        </w:rPr>
        <w:t>Downscope the support for PHY prioritization of overlapping DG-PUSCH/CG-PUSCH</w:t>
      </w:r>
    </w:p>
    <w:p w:rsidR="00BA7E55" w:rsidRDefault="0056256C" w:rsidP="00DC0639">
      <w:pPr>
        <w:pStyle w:val="af1"/>
        <w:numPr>
          <w:ilvl w:val="0"/>
          <w:numId w:val="23"/>
        </w:numPr>
        <w:jc w:val="both"/>
        <w:rPr>
          <w:lang w:val="en-US" w:eastAsia="ko-KR"/>
        </w:rPr>
      </w:pPr>
      <w:r>
        <w:rPr>
          <w:lang w:val="en-US" w:eastAsia="ko-KR"/>
        </w:rPr>
        <w:t>Downscope the support for both simultaneous TX of PUCCH/PUSCH and PHY prioritization of overlapping DG-PUSCH/CG-PUSCH</w:t>
      </w:r>
    </w:p>
    <w:p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d"/>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lang w:eastAsia="ko-KR"/>
              </w:rPr>
            </w:pPr>
            <w:r>
              <w:rPr>
                <w:rFonts w:eastAsia="游明朝" w:hint="eastAsia"/>
                <w:lang w:eastAsia="ja-JP"/>
              </w:rPr>
              <w:t xml:space="preserve">We are fine with </w:t>
            </w:r>
            <w:r>
              <w:rPr>
                <w:rFonts w:eastAsia="游明朝"/>
                <w:lang w:eastAsia="ja-JP"/>
              </w:rPr>
              <w:t>Alt-B but not with Alt-C. As remaining issues for simultaneous PUSCH/PUCCH Tx should be less, we think it is OK to keep it.</w:t>
            </w:r>
          </w:p>
        </w:tc>
      </w:tr>
      <w:tr w:rsidR="00BA7E55" w:rsidTr="00A40514">
        <w:trPr>
          <w:trHeight w:val="567"/>
        </w:trPr>
        <w:tc>
          <w:tcPr>
            <w:tcW w:w="1627" w:type="dxa"/>
            <w:vAlign w:val="center"/>
          </w:tcPr>
          <w:p w:rsidR="00BA7E55" w:rsidRDefault="0056256C">
            <w:pPr>
              <w:textAlignment w:val="center"/>
              <w:rPr>
                <w:rFonts w:eastAsia="游明朝"/>
                <w:lang w:eastAsia="ja-JP"/>
              </w:rPr>
            </w:pPr>
            <w:r>
              <w:rPr>
                <w:rFonts w:hint="eastAsia"/>
                <w:lang w:eastAsia="ko-KR"/>
              </w:rPr>
              <w:t>Samsung</w:t>
            </w:r>
          </w:p>
        </w:tc>
        <w:tc>
          <w:tcPr>
            <w:tcW w:w="7389" w:type="dxa"/>
            <w:vAlign w:val="center"/>
          </w:tcPr>
          <w:p w:rsidR="00BA7E55" w:rsidRDefault="0056256C">
            <w:pPr>
              <w:textAlignment w:val="center"/>
              <w:rPr>
                <w:rFonts w:eastAsia="游明朝"/>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lastRenderedPageBreak/>
              <w:t>Spreadtrum</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InterDigital</w:t>
            </w:r>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f1"/>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f1"/>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rsidR="00E71A1A" w:rsidRDefault="00E71A1A" w:rsidP="00E71A1A">
            <w:pPr>
              <w:textAlignment w:val="center"/>
              <w:rPr>
                <w:rFonts w:eastAsia="SimSun"/>
                <w:color w:val="7030A0"/>
                <w:lang w:val="en-US" w:eastAsia="zh-CN"/>
              </w:rPr>
            </w:pP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rsidR="00E71A1A" w:rsidRDefault="00E71A1A" w:rsidP="00E71A1A">
            <w:pPr>
              <w:pStyle w:val="af1"/>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SimSun"/>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游明朝"/>
                <w:lang w:val="en-US" w:eastAsia="ja-JP"/>
              </w:rPr>
            </w:pPr>
            <w:r w:rsidRPr="001D4275">
              <w:rPr>
                <w:rFonts w:eastAsia="游明朝" w:hint="eastAsia"/>
                <w:lang w:val="en-US" w:eastAsia="ja-JP"/>
              </w:rPr>
              <w:t>P</w:t>
            </w:r>
            <w:r w:rsidRPr="001D4275">
              <w:rPr>
                <w:rFonts w:eastAsia="游明朝"/>
                <w:lang w:val="en-US" w:eastAsia="ja-JP"/>
              </w:rPr>
              <w:t>anasonic</w:t>
            </w:r>
          </w:p>
        </w:tc>
        <w:tc>
          <w:tcPr>
            <w:tcW w:w="7389" w:type="dxa"/>
            <w:vAlign w:val="center"/>
          </w:tcPr>
          <w:p w:rsidR="001D4275" w:rsidRPr="001D4275" w:rsidRDefault="001D4275" w:rsidP="00E71A1A">
            <w:pPr>
              <w:textAlignment w:val="center"/>
              <w:rPr>
                <w:rFonts w:eastAsia="游明朝"/>
                <w:lang w:val="en-US" w:eastAsia="ja-JP"/>
              </w:rPr>
            </w:pPr>
            <w:r w:rsidRPr="001D4275">
              <w:rPr>
                <w:rFonts w:eastAsia="游明朝" w:hint="eastAsia"/>
                <w:lang w:val="en-US" w:eastAsia="ja-JP"/>
              </w:rPr>
              <w:t>W</w:t>
            </w:r>
            <w:r w:rsidRPr="001D4275">
              <w:rPr>
                <w:rFonts w:eastAsia="游明朝"/>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f1"/>
        <w:numPr>
          <w:ilvl w:val="0"/>
          <w:numId w:val="25"/>
        </w:numPr>
        <w:jc w:val="both"/>
      </w:pPr>
      <w:r>
        <w:t>Case 1: PUCCH carrier switching among different cells not being configured with SUL</w:t>
      </w:r>
    </w:p>
    <w:p w:rsidR="00BA7E55" w:rsidRDefault="0056256C" w:rsidP="00DC0639">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f1"/>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ad"/>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rFonts w:eastAsia="游明朝"/>
                <w:lang w:eastAsia="ja-JP"/>
              </w:rPr>
            </w:pPr>
            <w:r>
              <w:rPr>
                <w:rFonts w:eastAsia="游明朝" w:hint="eastAsia"/>
                <w:lang w:eastAsia="ja-JP"/>
              </w:rPr>
              <w:t>W</w:t>
            </w:r>
            <w:r>
              <w:rPr>
                <w:rFonts w:eastAsia="游明朝"/>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1"/>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游明朝"/>
                <w:lang w:eastAsia="ja-JP"/>
              </w:rPr>
              <w:t>Ericsson</w:t>
            </w:r>
            <w:r>
              <w:rPr>
                <w:rFonts w:eastAsia="SimSun" w:hint="eastAsia"/>
                <w:lang w:val="en-US" w:eastAsia="zh-CN"/>
              </w:rPr>
              <w:t xml:space="preserve"> and DOCOMO. </w:t>
            </w:r>
          </w:p>
          <w:p w:rsidR="00BA7E55" w:rsidRDefault="00BA7E55">
            <w:pPr>
              <w:textAlignment w:val="center"/>
              <w:rPr>
                <w:rFonts w:eastAsia="SimSun"/>
                <w:lang w:val="en-US" w:eastAsia="zh-CN"/>
              </w:rPr>
            </w:pPr>
          </w:p>
          <w:p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t>
            </w:r>
            <w:r>
              <w:rPr>
                <w:rFonts w:eastAsia="SimSun"/>
                <w:lang w:val="en-US"/>
              </w:rPr>
              <w:lastRenderedPageBreak/>
              <w:t>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lastRenderedPageBreak/>
              <w:t>Ericsson</w:t>
            </w:r>
          </w:p>
        </w:tc>
        <w:tc>
          <w:tcPr>
            <w:tcW w:w="7389" w:type="dxa"/>
            <w:vAlign w:val="center"/>
          </w:tcPr>
          <w:p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rsidR="005A165C" w:rsidRDefault="005A165C" w:rsidP="005A165C">
            <w:pPr>
              <w:pStyle w:val="af1"/>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f1"/>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SimSun"/>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d"/>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游明朝" w:hint="eastAsia"/>
                <w:lang w:eastAsia="ja-JP"/>
              </w:rPr>
              <w:t>DOCOMO</w:t>
            </w:r>
          </w:p>
        </w:tc>
        <w:tc>
          <w:tcPr>
            <w:tcW w:w="7389" w:type="dxa"/>
            <w:vAlign w:val="center"/>
          </w:tcPr>
          <w:p w:rsidR="00BA7E55" w:rsidRDefault="0056256C">
            <w:pPr>
              <w:textAlignment w:val="center"/>
              <w:rPr>
                <w:lang w:eastAsia="ko-KR"/>
              </w:rPr>
            </w:pPr>
            <w:r>
              <w:rPr>
                <w:rFonts w:eastAsia="游明朝"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lastRenderedPageBreak/>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InterDigital</w:t>
            </w:r>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rsidR="00BA7E55" w:rsidRDefault="0056256C">
            <w:pPr>
              <w:textAlignment w:val="center"/>
              <w:rPr>
                <w:rFonts w:eastAsia="SimSun"/>
                <w:lang w:val="en-US" w:eastAsia="zh-CN"/>
              </w:rPr>
            </w:pPr>
            <w:r>
              <w:rPr>
                <w:rFonts w:eastAsia="SimSun" w:hint="eastAsia"/>
                <w:lang w:val="en-US" w:eastAsia="zh-CN"/>
              </w:rPr>
              <w:t>W</w:t>
            </w:r>
            <w:r>
              <w:rPr>
                <w:rFonts w:eastAsia="游明朝" w:hint="eastAsia"/>
                <w:lang w:eastAsia="ja-JP"/>
              </w:rPr>
              <w:t>e still prefer to reopen the discussion on delta-MCS.</w:t>
            </w:r>
            <w:r>
              <w:rPr>
                <w:rFonts w:eastAsia="SimSun"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d"/>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1"/>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f1"/>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1"/>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f1"/>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rsidR="00BD6406" w:rsidRDefault="00BD6406" w:rsidP="00BD6406">
            <w:pPr>
              <w:textAlignment w:val="center"/>
              <w:rPr>
                <w:rFonts w:eastAsia="SimSun"/>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f1"/>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d"/>
        <w:tblW w:w="0" w:type="auto"/>
        <w:tblLook w:val="04A0" w:firstRow="1" w:lastRow="0" w:firstColumn="1" w:lastColumn="0" w:noHBand="0" w:noVBand="1"/>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游明朝"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游明朝"/>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InterDigital</w:t>
            </w:r>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rsidR="00E2046F" w:rsidRPr="00682952" w:rsidRDefault="00E2046F" w:rsidP="00E2046F">
            <w:pPr>
              <w:pStyle w:val="af1"/>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f1"/>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游明朝"/>
                <w:lang w:val="en-US" w:eastAsia="ja-JP"/>
              </w:rPr>
            </w:pPr>
            <w:r w:rsidRPr="001D4275">
              <w:rPr>
                <w:rFonts w:eastAsia="游明朝" w:hint="eastAsia"/>
                <w:lang w:val="en-US" w:eastAsia="ja-JP"/>
              </w:rPr>
              <w:t>P</w:t>
            </w:r>
            <w:r w:rsidRPr="001D4275">
              <w:rPr>
                <w:rFonts w:eastAsia="游明朝"/>
                <w:lang w:val="en-US" w:eastAsia="ja-JP"/>
              </w:rPr>
              <w:t>anasonic</w:t>
            </w:r>
          </w:p>
        </w:tc>
        <w:tc>
          <w:tcPr>
            <w:tcW w:w="7217" w:type="dxa"/>
            <w:gridSpan w:val="2"/>
            <w:vAlign w:val="center"/>
          </w:tcPr>
          <w:p w:rsidR="001D4275" w:rsidRPr="001D4275" w:rsidRDefault="001D4275" w:rsidP="00C502E5">
            <w:pPr>
              <w:textAlignment w:val="center"/>
              <w:rPr>
                <w:rFonts w:eastAsia="游明朝"/>
                <w:lang w:val="en-US" w:eastAsia="ja-JP"/>
              </w:rPr>
            </w:pPr>
            <w:r w:rsidRPr="001D4275">
              <w:rPr>
                <w:rFonts w:eastAsia="游明朝" w:hint="eastAsia"/>
                <w:lang w:val="en-US" w:eastAsia="ja-JP"/>
              </w:rPr>
              <w:t>W</w:t>
            </w:r>
            <w:r w:rsidRPr="001D4275">
              <w:rPr>
                <w:rFonts w:eastAsia="游明朝"/>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f1"/>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rsidR="00DC0639" w:rsidRPr="00A70EA2" w:rsidRDefault="00DC0639" w:rsidP="00DC0639">
      <w:pPr>
        <w:pStyle w:val="af1"/>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rsidR="00DC0639" w:rsidRDefault="00DC0639" w:rsidP="00DC0639">
      <w:pPr>
        <w:pStyle w:val="af1"/>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f1"/>
        <w:numPr>
          <w:ilvl w:val="0"/>
          <w:numId w:val="25"/>
        </w:numPr>
        <w:jc w:val="both"/>
      </w:pPr>
      <w:r>
        <w:t>Case 1: PUCCH carrier switching among different cells not being configured with SUL</w:t>
      </w:r>
    </w:p>
    <w:p w:rsidR="00DC0639" w:rsidRDefault="00DC0639" w:rsidP="00DC0639">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f1"/>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f1"/>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lastRenderedPageBreak/>
        <w:t>Enhancements based on new QoS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f1"/>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f1"/>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f1"/>
        <w:numPr>
          <w:ilvl w:val="0"/>
          <w:numId w:val="25"/>
        </w:numPr>
        <w:jc w:val="both"/>
      </w:pPr>
      <w:r>
        <w:t>Case 1: PUCCH carrier switching among different cells not being configured with SUL</w:t>
      </w:r>
    </w:p>
    <w:p w:rsidR="00C502E5" w:rsidRDefault="00C502E5" w:rsidP="00C502E5">
      <w:pPr>
        <w:pStyle w:val="af1"/>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f1"/>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f1"/>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f1"/>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d"/>
        <w:tblW w:w="0" w:type="auto"/>
        <w:tblLook w:val="04A0" w:firstRow="1" w:lastRow="0" w:firstColumn="1" w:lastColumn="0" w:noHBand="0" w:noVBand="1"/>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lastRenderedPageBreak/>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f1"/>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f1"/>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f1"/>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f1"/>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lastRenderedPageBreak/>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f1"/>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r w:rsidR="00802DE4">
              <w:rPr>
                <w:rFonts w:eastAsiaTheme="minorEastAsia"/>
                <w:color w:val="7030A0"/>
                <w:lang w:eastAsia="zh-CN"/>
              </w:rPr>
              <w:t>sould</w:t>
            </w:r>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f1"/>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rsidTr="00441BD5">
        <w:trPr>
          <w:trHeight w:val="567"/>
        </w:trPr>
        <w:tc>
          <w:tcPr>
            <w:tcW w:w="1627" w:type="dxa"/>
            <w:vAlign w:val="center"/>
          </w:tcPr>
          <w:p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Proposal#3.2</w:t>
            </w:r>
            <w:r>
              <w:rPr>
                <w:rFonts w:eastAsiaTheme="minorEastAsia"/>
                <w:lang w:eastAsia="zh-CN"/>
              </w:rPr>
              <w:t>, though it is not our preference but we can compromise to it.</w:t>
            </w:r>
          </w:p>
          <w:p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 xml:space="preserve">depend on whether PUCCH are configured on both NUL and SUL or not, since case 3 is very simple which only allows PUCCH switching between NUL and SUL from single cell. Of course, I am not saying we need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rsidR="00F536B5" w:rsidRDefault="00F536B5" w:rsidP="00F536B5">
            <w:pPr>
              <w:textAlignment w:val="center"/>
              <w:rPr>
                <w:rFonts w:eastAsiaTheme="minorEastAsia"/>
                <w:lang w:eastAsia="zh-CN"/>
              </w:rPr>
            </w:pPr>
          </w:p>
          <w:p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rsidR="00F536B5" w:rsidRDefault="00F536B5" w:rsidP="00F536B5">
            <w:pPr>
              <w:pStyle w:val="af1"/>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rsidR="00F536B5" w:rsidRPr="00E07583" w:rsidRDefault="00F536B5" w:rsidP="00287060">
            <w:pPr>
              <w:pStyle w:val="af1"/>
              <w:numPr>
                <w:ilvl w:val="0"/>
                <w:numId w:val="34"/>
              </w:numPr>
              <w:textAlignment w:val="center"/>
              <w:rPr>
                <w:rFonts w:eastAsiaTheme="minorEastAsia"/>
                <w:lang w:eastAsia="zh-CN"/>
              </w:rPr>
            </w:pPr>
            <w:r>
              <w:rPr>
                <w:rFonts w:eastAsiaTheme="minorEastAsia"/>
                <w:lang w:eastAsia="zh-CN"/>
              </w:rPr>
              <w:t xml:space="preserve">As to the argument on the benefits, again as expressed before, 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816650" w:rsidTr="00441BD5">
        <w:trPr>
          <w:trHeight w:val="567"/>
        </w:trPr>
        <w:tc>
          <w:tcPr>
            <w:tcW w:w="1627" w:type="dxa"/>
            <w:vAlign w:val="center"/>
          </w:tcPr>
          <w:p w:rsidR="00816650" w:rsidRPr="00D82C18" w:rsidRDefault="00816650" w:rsidP="00816650">
            <w:pPr>
              <w:textAlignment w:val="center"/>
              <w:rPr>
                <w:rFonts w:eastAsia="游明朝"/>
                <w:lang w:eastAsia="ja-JP"/>
              </w:rPr>
            </w:pPr>
            <w:r>
              <w:rPr>
                <w:rFonts w:eastAsia="游明朝" w:hint="eastAsia"/>
                <w:lang w:eastAsia="ja-JP"/>
              </w:rPr>
              <w:lastRenderedPageBreak/>
              <w:t>DOCOMO</w:t>
            </w:r>
          </w:p>
        </w:tc>
        <w:tc>
          <w:tcPr>
            <w:tcW w:w="7389" w:type="dxa"/>
            <w:vAlign w:val="center"/>
          </w:tcPr>
          <w:p w:rsidR="00816650" w:rsidRDefault="00816650" w:rsidP="00816650">
            <w:pPr>
              <w:textAlignment w:val="center"/>
              <w:rPr>
                <w:rFonts w:eastAsia="游明朝"/>
                <w:lang w:eastAsia="ja-JP"/>
              </w:rPr>
            </w:pPr>
            <w:r>
              <w:rPr>
                <w:rFonts w:eastAsia="游明朝" w:hint="eastAsia"/>
                <w:lang w:eastAsia="ja-JP"/>
              </w:rPr>
              <w:t>We support the proposed conclusion from Ericsson.</w:t>
            </w:r>
            <w:r>
              <w:rPr>
                <w:rFonts w:eastAsia="游明朝"/>
                <w:lang w:eastAsia="ja-JP"/>
              </w:rPr>
              <w:t xml:space="preserve"> As commented in the intermediate round, w</w:t>
            </w:r>
            <w:r w:rsidRPr="00D82C18">
              <w:rPr>
                <w:rFonts w:eastAsia="游明朝"/>
                <w:lang w:eastAsia="ja-JP"/>
              </w:rPr>
              <w:t xml:space="preserve">e are open to support SUL Cases 2-2 and </w:t>
            </w:r>
            <w:r>
              <w:rPr>
                <w:rFonts w:eastAsia="游明朝"/>
                <w:lang w:eastAsia="ja-JP"/>
              </w:rPr>
              <w:t xml:space="preserve">Case </w:t>
            </w:r>
            <w:r w:rsidRPr="00D82C18">
              <w:rPr>
                <w:rFonts w:eastAsia="游明朝"/>
                <w:lang w:eastAsia="ja-JP"/>
              </w:rPr>
              <w:t>3,</w:t>
            </w:r>
            <w:r>
              <w:rPr>
                <w:rFonts w:eastAsia="游明朝"/>
                <w:lang w:eastAsia="ja-JP"/>
              </w:rPr>
              <w:t xml:space="preserve"> but</w:t>
            </w:r>
            <w:r w:rsidRPr="00D82C18">
              <w:rPr>
                <w:rFonts w:eastAsia="游明朝"/>
                <w:lang w:eastAsia="ja-JP"/>
              </w:rPr>
              <w:t xml:space="preserve"> it is more important to finalize the fundamental features for PUCCH carrier switching</w:t>
            </w:r>
            <w:r>
              <w:rPr>
                <w:rFonts w:eastAsia="游明朝"/>
                <w:lang w:eastAsia="ja-JP"/>
              </w:rPr>
              <w:t xml:space="preserve">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rsidR="00816650" w:rsidRDefault="00816650" w:rsidP="00816650">
            <w:pPr>
              <w:textAlignment w:val="center"/>
              <w:rPr>
                <w:rFonts w:eastAsia="游明朝"/>
                <w:lang w:eastAsia="ja-JP"/>
              </w:rPr>
            </w:pPr>
          </w:p>
          <w:p w:rsidR="00816650" w:rsidRDefault="00816650" w:rsidP="00816650">
            <w:pPr>
              <w:keepNext/>
              <w:overflowPunct w:val="0"/>
              <w:autoSpaceDE w:val="0"/>
              <w:autoSpaceDN w:val="0"/>
              <w:spacing w:before="180" w:after="180"/>
              <w:ind w:left="1134" w:hanging="1134"/>
              <w:textAlignment w:val="baseline"/>
              <w:rPr>
                <w:rFonts w:ascii="Arial" w:eastAsia="游ゴシック" w:hAnsi="Arial" w:cs="Arial"/>
                <w:sz w:val="32"/>
                <w:szCs w:val="32"/>
                <w:lang w:eastAsia="zh-CN"/>
              </w:rPr>
            </w:pPr>
            <w:bookmarkStart w:id="2" w:name="_Toc20387947"/>
            <w:bookmarkStart w:id="3" w:name="_Toc29376026"/>
            <w:bookmarkStart w:id="4" w:name="_Toc37231911"/>
            <w:bookmarkStart w:id="5" w:name="_Toc46501966"/>
            <w:bookmarkStart w:id="6" w:name="_Toc51971314"/>
            <w:bookmarkStart w:id="7" w:name="_Toc52551297"/>
            <w:bookmarkStart w:id="8" w:name="_Toc76504949"/>
            <w:r>
              <w:rPr>
                <w:rFonts w:ascii="Arial" w:hAnsi="Arial" w:cs="Arial"/>
                <w:sz w:val="32"/>
                <w:szCs w:val="32"/>
                <w:lang w:eastAsia="zh-CN"/>
              </w:rPr>
              <w:lastRenderedPageBreak/>
              <w:t>6.9        Supplementary Uplink</w:t>
            </w:r>
            <w:bookmarkEnd w:id="2"/>
            <w:bookmarkEnd w:id="3"/>
            <w:bookmarkEnd w:id="4"/>
            <w:bookmarkEnd w:id="5"/>
            <w:bookmarkEnd w:id="6"/>
            <w:bookmarkEnd w:id="7"/>
            <w:bookmarkEnd w:id="8"/>
          </w:p>
          <w:p w:rsidR="00816650" w:rsidRDefault="00816650" w:rsidP="00816650">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rsidR="00816650" w:rsidRDefault="00816650" w:rsidP="00816650">
            <w:pPr>
              <w:textAlignment w:val="center"/>
              <w:rPr>
                <w:rFonts w:eastAsia="游明朝"/>
                <w:lang w:eastAsia="ja-JP"/>
              </w:rPr>
            </w:pPr>
          </w:p>
          <w:p w:rsidR="005B641C" w:rsidRPr="005B641C" w:rsidRDefault="005B641C" w:rsidP="00816650">
            <w:pPr>
              <w:textAlignment w:val="center"/>
              <w:rPr>
                <w:rFonts w:eastAsia="游明朝" w:hint="eastAsia"/>
                <w:color w:val="00B050"/>
                <w:lang w:eastAsia="ja-JP"/>
              </w:rPr>
            </w:pPr>
            <w:r w:rsidRPr="005B641C">
              <w:rPr>
                <w:rFonts w:eastAsia="游明朝" w:hint="eastAsia"/>
                <w:color w:val="00B050"/>
                <w:lang w:eastAsia="ja-JP"/>
              </w:rPr>
              <w:t>[Update]</w:t>
            </w:r>
          </w:p>
          <w:p w:rsidR="005B641C" w:rsidRDefault="005B641C" w:rsidP="00816650">
            <w:pPr>
              <w:textAlignment w:val="center"/>
              <w:rPr>
                <w:rFonts w:eastAsia="游明朝"/>
                <w:color w:val="00B050"/>
                <w:lang w:eastAsia="ja-JP"/>
              </w:rPr>
            </w:pPr>
            <w:r w:rsidRPr="005B641C">
              <w:rPr>
                <w:rFonts w:eastAsia="游明朝"/>
                <w:color w:val="00B050"/>
                <w:lang w:eastAsia="ja-JP"/>
              </w:rPr>
              <w:t xml:space="preserve">In addition to TS38.300, we found the corresponding </w:t>
            </w:r>
            <w:r>
              <w:rPr>
                <w:rFonts w:eastAsia="游明朝"/>
                <w:color w:val="00B050"/>
                <w:lang w:eastAsia="ja-JP"/>
              </w:rPr>
              <w:t>Stage 3 spec description in TS38.331</w:t>
            </w:r>
            <w:r w:rsidR="00962300">
              <w:rPr>
                <w:rFonts w:eastAsia="游明朝"/>
                <w:color w:val="00B050"/>
                <w:lang w:eastAsia="ja-JP"/>
              </w:rPr>
              <w:t xml:space="preserve"> as follows</w:t>
            </w:r>
            <w:bookmarkStart w:id="9" w:name="_GoBack"/>
            <w:bookmarkEnd w:id="9"/>
            <w:r>
              <w:rPr>
                <w:rFonts w:eastAsia="游明朝"/>
                <w:color w:val="00B050"/>
                <w:lang w:eastAsia="ja-JP"/>
              </w:rPr>
              <w:t>. It describes the same thing that PUCCH is configured for either of NUL or SUL at the same time.</w:t>
            </w:r>
          </w:p>
          <w:p w:rsidR="005B641C" w:rsidRDefault="005B641C" w:rsidP="00816650">
            <w:pPr>
              <w:textAlignment w:val="center"/>
              <w:rPr>
                <w:rFonts w:eastAsia="游明朝"/>
                <w:color w:val="00B050"/>
                <w:lang w:eastAsia="ja-JP"/>
              </w:rPr>
            </w:pPr>
          </w:p>
          <w:p w:rsidR="005B641C" w:rsidRDefault="005B641C" w:rsidP="005B641C">
            <w:pPr>
              <w:pStyle w:val="Default"/>
              <w:rPr>
                <w:sz w:val="18"/>
                <w:szCs w:val="18"/>
              </w:rPr>
            </w:pPr>
            <w:r>
              <w:rPr>
                <w:b/>
                <w:bCs/>
                <w:i/>
                <w:iCs/>
                <w:sz w:val="18"/>
                <w:szCs w:val="18"/>
              </w:rPr>
              <w:t xml:space="preserve">pucch-Config </w:t>
            </w:r>
          </w:p>
          <w:p w:rsidR="005B641C" w:rsidRPr="00D82C18" w:rsidRDefault="005B641C" w:rsidP="005B641C">
            <w:pPr>
              <w:textAlignment w:val="center"/>
              <w:rPr>
                <w:rFonts w:eastAsia="游明朝" w:hint="eastAsia"/>
                <w:lang w:eastAsia="ja-JP"/>
              </w:rPr>
            </w:pPr>
            <w:r>
              <w:rPr>
                <w:sz w:val="18"/>
                <w:szCs w:val="18"/>
              </w:rPr>
              <w:t xml:space="preserve">PUCCH configuration for one BWP of the normal UL or SUL of a serving cell. </w:t>
            </w:r>
            <w:r w:rsidRPr="005B641C">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rsidR="00816650" w:rsidTr="00441BD5">
        <w:trPr>
          <w:trHeight w:val="567"/>
        </w:trPr>
        <w:tc>
          <w:tcPr>
            <w:tcW w:w="1627" w:type="dxa"/>
            <w:vAlign w:val="center"/>
          </w:tcPr>
          <w:p w:rsidR="00816650" w:rsidRDefault="00816650" w:rsidP="00816650">
            <w:pPr>
              <w:textAlignment w:val="center"/>
              <w:rPr>
                <w:rFonts w:eastAsiaTheme="minorEastAsia"/>
                <w:lang w:eastAsia="zh-CN"/>
              </w:rPr>
            </w:pPr>
          </w:p>
        </w:tc>
        <w:tc>
          <w:tcPr>
            <w:tcW w:w="7389" w:type="dxa"/>
            <w:vAlign w:val="center"/>
          </w:tcPr>
          <w:p w:rsidR="00816650" w:rsidRDefault="00816650" w:rsidP="00816650">
            <w:pPr>
              <w:textAlignment w:val="center"/>
              <w:rPr>
                <w:rFonts w:eastAsiaTheme="minorEastAsia"/>
                <w:lang w:eastAsia="zh-CN"/>
              </w:rPr>
            </w:pPr>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f1"/>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f1"/>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lastRenderedPageBreak/>
        <w:t xml:space="preserve">Proposal#3.5: </w:t>
      </w:r>
      <w:r w:rsidRPr="003729A9">
        <w:rPr>
          <w:b/>
          <w:color w:val="0070C0"/>
          <w:lang w:val="en-US"/>
        </w:rPr>
        <w:t>For the objective on New QoS parameter, RAN should provide the following guidance to RAN2:</w:t>
      </w:r>
    </w:p>
    <w:p w:rsidR="00B42FA7" w:rsidRPr="003729A9" w:rsidRDefault="00B42FA7" w:rsidP="00B42FA7">
      <w:pPr>
        <w:pStyle w:val="af1"/>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f1"/>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0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37" w:rsidRDefault="00932237">
      <w:r>
        <w:separator/>
      </w:r>
    </w:p>
  </w:endnote>
  <w:endnote w:type="continuationSeparator" w:id="0">
    <w:p w:rsidR="00932237" w:rsidRDefault="0093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 Sans">
    <w:altName w:val="Times New Roman"/>
    <w:charset w:val="00"/>
    <w:family w:val="roman"/>
    <w:pitch w:val="variable"/>
    <w:sig w:usb0="00000001" w:usb1="4000207A"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BD5" w:rsidRDefault="005F4858">
    <w:pPr>
      <w:pStyle w:val="a9"/>
    </w:pPr>
    <w:r>
      <w:rPr>
        <w:noProof/>
        <w:lang w:val="en-US" w:eastAsia="ja-JP"/>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rsidR="00441BD5" w:rsidRDefault="00441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rsidR="00441BD5" w:rsidRDefault="00441BD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37" w:rsidRDefault="00932237">
      <w:r>
        <w:separator/>
      </w:r>
    </w:p>
  </w:footnote>
  <w:footnote w:type="continuationSeparator" w:id="0">
    <w:p w:rsidR="00932237" w:rsidRDefault="0093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7"/>
  <w:hyphenationZone w:val="283"/>
  <w:displayHorizontalDrawingGridEvery w:val="0"/>
  <w:displayVerticalDrawingGridEvery w:val="2"/>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1C"/>
    <w:rsid w:val="005B64E3"/>
    <w:rsid w:val="005C355D"/>
    <w:rsid w:val="005C7682"/>
    <w:rsid w:val="005C7CE6"/>
    <w:rsid w:val="005D77AB"/>
    <w:rsid w:val="005F4858"/>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05D520D"/>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0"/>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outlineLvl w:val="4"/>
    </w:pPr>
    <w:rPr>
      <w:bCs/>
      <w:i w:val="0"/>
      <w:iCs/>
      <w:sz w:val="18"/>
    </w:rPr>
  </w:style>
  <w:style w:type="paragraph" w:styleId="6">
    <w:name w:val="heading 6"/>
    <w:basedOn w:val="a"/>
    <w:next w:val="a"/>
    <w:link w:val="60"/>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SimSun" w:eastAsia="SimSun"/>
      <w:sz w:val="18"/>
      <w:szCs w:val="18"/>
    </w:rPr>
  </w:style>
  <w:style w:type="paragraph" w:styleId="a5">
    <w:name w:val="annotation text"/>
    <w:basedOn w:val="a"/>
    <w:link w:val="a6"/>
    <w:uiPriority w:val="99"/>
    <w:unhideWhenUsed/>
    <w:qFormat/>
    <w:rsid w:val="00914323"/>
  </w:style>
  <w:style w:type="paragraph" w:styleId="a7">
    <w:name w:val="Balloon Text"/>
    <w:basedOn w:val="a"/>
    <w:link w:val="a8"/>
    <w:uiPriority w:val="99"/>
    <w:semiHidden/>
    <w:unhideWhenUsed/>
    <w:qFormat/>
    <w:rsid w:val="00914323"/>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Web">
    <w:name w:val="Normal (Web)"/>
    <w:basedOn w:val="a"/>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ad">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914323"/>
    <w:rPr>
      <w:b/>
      <w:bCs/>
    </w:rPr>
  </w:style>
  <w:style w:type="character" w:styleId="af">
    <w:name w:val="Emphasis"/>
    <w:basedOn w:val="a0"/>
    <w:uiPriority w:val="20"/>
    <w:qFormat/>
    <w:rsid w:val="00914323"/>
    <w:rPr>
      <w:i/>
      <w:iCs/>
    </w:rPr>
  </w:style>
  <w:style w:type="character" w:styleId="af0">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2"/>
    <w:uiPriority w:val="34"/>
    <w:qFormat/>
    <w:rsid w:val="00914323"/>
    <w:pPr>
      <w:ind w:left="720"/>
      <w:contextualSpacing/>
    </w:pPr>
  </w:style>
  <w:style w:type="character" w:customStyle="1" w:styleId="10">
    <w:name w:val="見出し 1 (文字)"/>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見出し 2 (文字)"/>
    <w:basedOn w:val="a0"/>
    <w:link w:val="2"/>
    <w:uiPriority w:val="9"/>
    <w:qFormat/>
    <w:rsid w:val="00C502E5"/>
    <w:rPr>
      <w:rFonts w:ascii="Arial" w:eastAsia="Batang" w:hAnsi="Arial" w:cs="Times New Roman"/>
      <w:b/>
      <w:bCs/>
      <w:i/>
      <w:iCs/>
      <w:sz w:val="24"/>
      <w:szCs w:val="28"/>
      <w:lang w:val="en-GB" w:eastAsia="en-US"/>
    </w:rPr>
  </w:style>
  <w:style w:type="character" w:customStyle="1" w:styleId="30">
    <w:name w:val="見出し 3 (文字)"/>
    <w:basedOn w:val="a0"/>
    <w:link w:val="3"/>
    <w:qFormat/>
    <w:rsid w:val="00914323"/>
    <w:rPr>
      <w:rFonts w:ascii="Arial" w:eastAsia="Batang" w:hAnsi="Arial" w:cs="Times New Roman"/>
      <w:b/>
      <w:kern w:val="0"/>
      <w:szCs w:val="26"/>
      <w:lang w:val="en-GB"/>
    </w:rPr>
  </w:style>
  <w:style w:type="character" w:customStyle="1" w:styleId="40">
    <w:name w:val="見出し 4 (文字)"/>
    <w:basedOn w:val="a0"/>
    <w:link w:val="4"/>
    <w:uiPriority w:val="9"/>
    <w:qFormat/>
    <w:rsid w:val="00914323"/>
    <w:rPr>
      <w:rFonts w:ascii="Arial" w:eastAsia="Batang" w:hAnsi="Arial" w:cs="Times New Roman"/>
      <w:b/>
      <w:i/>
      <w:kern w:val="0"/>
      <w:szCs w:val="26"/>
      <w:lang w:val="en-GB"/>
    </w:rPr>
  </w:style>
  <w:style w:type="character" w:customStyle="1" w:styleId="50">
    <w:name w:val="見出し 5 (文字)"/>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sid w:val="00914323"/>
    <w:rPr>
      <w:rFonts w:ascii="Arial" w:eastAsia="Batang" w:hAnsi="Arial" w:cs="Times New Roman"/>
      <w:b/>
      <w:bCs/>
      <w:i/>
      <w:kern w:val="0"/>
      <w:sz w:val="18"/>
      <w:lang w:val="en-GB"/>
    </w:rPr>
  </w:style>
  <w:style w:type="character" w:customStyle="1" w:styleId="70">
    <w:name w:val="見出し 7 (文字)"/>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sid w:val="00914323"/>
    <w:rPr>
      <w:rFonts w:ascii="Arial" w:eastAsia="Batang" w:hAnsi="Arial" w:cs="Times New Roman"/>
      <w:kern w:val="0"/>
      <w:sz w:val="22"/>
      <w:lang w:val="en-GB"/>
    </w:rPr>
  </w:style>
  <w:style w:type="character" w:customStyle="1" w:styleId="af2">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1"/>
    <w:uiPriority w:val="34"/>
    <w:qFormat/>
    <w:locked/>
    <w:rsid w:val="00914323"/>
    <w:rPr>
      <w:rFonts w:ascii="Times" w:eastAsia="Batang" w:hAnsi="Times" w:cs="Times New Roman"/>
      <w:kern w:val="0"/>
      <w:szCs w:val="24"/>
      <w:lang w:val="en-GB" w:eastAsia="en-US"/>
    </w:rPr>
  </w:style>
  <w:style w:type="character" w:customStyle="1" w:styleId="ac">
    <w:name w:val="ヘッダー (文字)"/>
    <w:basedOn w:val="a0"/>
    <w:link w:val="ab"/>
    <w:uiPriority w:val="99"/>
    <w:qFormat/>
    <w:rsid w:val="00914323"/>
    <w:rPr>
      <w:rFonts w:ascii="Times" w:eastAsia="Batang" w:hAnsi="Times" w:cs="Times New Roman"/>
      <w:kern w:val="0"/>
      <w:szCs w:val="24"/>
      <w:lang w:val="en-GB" w:eastAsia="en-US"/>
    </w:rPr>
  </w:style>
  <w:style w:type="character" w:customStyle="1" w:styleId="aa">
    <w:name w:val="フッター (文字)"/>
    <w:basedOn w:val="a0"/>
    <w:link w:val="a9"/>
    <w:uiPriority w:val="99"/>
    <w:qFormat/>
    <w:rsid w:val="00914323"/>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吹き出し (文字)"/>
    <w:basedOn w:val="a0"/>
    <w:link w:val="a7"/>
    <w:uiPriority w:val="99"/>
    <w:semiHidden/>
    <w:qFormat/>
    <w:rsid w:val="00914323"/>
    <w:rPr>
      <w:rFonts w:ascii="Segoe UI" w:eastAsia="Batang" w:hAnsi="Segoe UI" w:cs="Segoe UI"/>
      <w:sz w:val="18"/>
      <w:szCs w:val="18"/>
      <w:lang w:val="en-GB"/>
    </w:rPr>
  </w:style>
  <w:style w:type="character" w:customStyle="1" w:styleId="a6">
    <w:name w:val="コメント文字列 (文字)"/>
    <w:basedOn w:val="a0"/>
    <w:link w:val="a5"/>
    <w:uiPriority w:val="99"/>
    <w:qFormat/>
    <w:rsid w:val="00914323"/>
    <w:rPr>
      <w:rFonts w:ascii="Times" w:eastAsia="Batang" w:hAnsi="Times" w:cs="Times New Roman"/>
      <w:szCs w:val="24"/>
      <w:lang w:val="en-GB"/>
    </w:rPr>
  </w:style>
  <w:style w:type="paragraph" w:customStyle="1" w:styleId="Default">
    <w:name w:val="Default"/>
    <w:rsid w:val="005B641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15507</Words>
  <Characters>88393</Characters>
  <Application>Microsoft Office Word</Application>
  <DocSecurity>0</DocSecurity>
  <Lines>736</Lines>
  <Paragraphs>207</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NTT DOCOMO, INC.</cp:lastModifiedBy>
  <cp:revision>3</cp:revision>
  <dcterms:created xsi:type="dcterms:W3CDTF">2021-09-16T08:39:00Z</dcterms:created>
  <dcterms:modified xsi:type="dcterms:W3CDTF">2021-09-16T08:39:00Z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