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 xml:space="preserve">default </w:t>
            </w:r>
            <w:proofErr w:type="spellStart"/>
            <w:r>
              <w:rPr>
                <w:rFonts w:ascii="Times New Roman" w:eastAsia="SimSun"/>
                <w:b/>
                <w:szCs w:val="20"/>
                <w:lang w:eastAsia="zh-CN"/>
              </w:rPr>
              <w:t>SLDRX</w:t>
            </w:r>
            <w:proofErr w:type="spellEnd"/>
            <w:r>
              <w:rPr>
                <w:rFonts w:ascii="Times New Roman" w:eastAsia="SimSun"/>
                <w:b/>
                <w:szCs w:val="20"/>
                <w:lang w:eastAsia="zh-CN"/>
              </w:rPr>
              <w:t xml:space="preserve">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w:t>
            </w:r>
            <w:proofErr w:type="spellStart"/>
            <w:r>
              <w:rPr>
                <w:rFonts w:ascii="Times New Roman" w:eastAsia="SimSun" w:hint="eastAsia"/>
                <w:color w:val="000000"/>
                <w:szCs w:val="20"/>
                <w:lang w:eastAsia="zh-CN"/>
              </w:rPr>
              <w:t>U2N</w:t>
            </w:r>
            <w:proofErr w:type="spellEnd"/>
            <w:r>
              <w:rPr>
                <w:rFonts w:ascii="Times New Roman" w:eastAsia="SimSun" w:hint="eastAsia"/>
                <w:color w:val="000000"/>
                <w:szCs w:val="20"/>
                <w:lang w:eastAsia="zh-CN"/>
              </w:rPr>
              <w:t xml:space="preserve">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 xml:space="preserve">here is no need to update WID. The basic functionality should be finalized. It does not prevent </w:t>
            </w:r>
            <w:r w:rsidRPr="00C03F6A">
              <w:rPr>
                <w:rFonts w:ascii="Times New Roman" w:eastAsia="ＭＳ 明朝"/>
                <w:szCs w:val="20"/>
                <w:lang w:eastAsia="ja-JP"/>
              </w:rPr>
              <w:t>ProSe direct communication, discovery, and UE-to-Network relay</w:t>
            </w:r>
            <w:r>
              <w:rPr>
                <w:rFonts w:ascii="Times New Roman" w:eastAsia="ＭＳ 明朝"/>
                <w:szCs w:val="20"/>
                <w:lang w:eastAsia="ja-JP"/>
              </w:rPr>
              <w:t xml:space="preserve"> to be covered by the basic functionality but no need of the optimization.</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proofErr w:type="gramStart"/>
            <w:r w:rsidRPr="00D97F23">
              <w:rPr>
                <w:rFonts w:ascii="Times New Roman" w:eastAsia="SimSun"/>
                <w:szCs w:val="20"/>
                <w:lang w:eastAsia="zh-CN"/>
              </w:rPr>
              <w:t>a</w:t>
            </w:r>
            <w:proofErr w:type="spellEnd"/>
            <w:proofErr w:type="gram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ＭＳ 明朝"/>
                <w:szCs w:val="20"/>
                <w:lang w:eastAsia="ja-JP"/>
              </w:rPr>
            </w:pPr>
            <w:r>
              <w:rPr>
                <w:rFonts w:ascii="Times New Roman" w:eastAsia="SimSun"/>
                <w:szCs w:val="20"/>
                <w:lang w:eastAsia="zh-CN"/>
              </w:rPr>
              <w:t xml:space="preserve">It seems the action is proposed for the next RAN meeting and in general is applicable to all </w:t>
            </w:r>
            <w:proofErr w:type="spellStart"/>
            <w:r>
              <w:rPr>
                <w:rFonts w:ascii="Times New Roman" w:eastAsia="SimSun"/>
                <w:szCs w:val="20"/>
                <w:lang w:eastAsia="zh-CN"/>
              </w:rPr>
              <w:t>SIs</w:t>
            </w:r>
            <w:proofErr w:type="spellEnd"/>
            <w:r>
              <w:rPr>
                <w:rFonts w:ascii="Times New Roman" w:eastAsia="SimSun"/>
                <w:szCs w:val="20"/>
                <w:lang w:eastAsia="zh-CN"/>
              </w:rPr>
              <w:t>/</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proofErr w:type="spellStart"/>
      <w:r>
        <w:rPr>
          <w:rFonts w:ascii="Times New Roman" w:hint="eastAsia"/>
          <w:szCs w:val="20"/>
        </w:rPr>
        <w:t>Q2</w:t>
      </w:r>
      <w:proofErr w:type="spellEnd"/>
      <w:r>
        <w:rPr>
          <w:rFonts w:ascii="Times New Roman" w:hint="eastAsia"/>
          <w:szCs w:val="20"/>
        </w:rPr>
        <w:t xml:space="preserve">: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w:t>
            </w:r>
            <w:proofErr w:type="gramStart"/>
            <w:r w:rsidRPr="000D2714">
              <w:rPr>
                <w:rFonts w:ascii="Times New Roman" w:eastAsia="SimSun"/>
                <w:szCs w:val="20"/>
                <w:lang w:eastAsia="zh-CN"/>
              </w:rPr>
              <w:t>have to</w:t>
            </w:r>
            <w:proofErr w:type="gramEnd"/>
            <w:r w:rsidRPr="000D2714">
              <w:rPr>
                <w:rFonts w:ascii="Times New Roman" w:eastAsia="SimSun"/>
                <w:szCs w:val="20"/>
                <w:lang w:eastAsia="zh-CN"/>
              </w:rPr>
              <w:t xml:space="preserve">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w:t>
            </w:r>
            <w:proofErr w:type="gramStart"/>
            <w:r w:rsidRPr="001D71B2">
              <w:rPr>
                <w:rFonts w:ascii="Times New Roman"/>
                <w:szCs w:val="20"/>
              </w:rPr>
              <w:t>actually spent</w:t>
            </w:r>
            <w:proofErr w:type="gramEnd"/>
            <w:r w:rsidRPr="001D71B2">
              <w:rPr>
                <w:rFonts w:ascii="Times New Roman"/>
                <w:szCs w:val="20"/>
              </w:rPr>
              <w:t xml:space="preserve">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ＭＳ 明朝"/>
                <w:szCs w:val="20"/>
                <w:lang w:eastAsia="ja-JP"/>
              </w:rPr>
            </w:pPr>
            <w:r w:rsidRPr="00190D66">
              <w:rPr>
                <w:rFonts w:ascii="Times New Roman" w:eastAsia="ＭＳ 明朝"/>
                <w:szCs w:val="20"/>
                <w:lang w:eastAsia="ja-JP"/>
              </w:rPr>
              <w:t xml:space="preserve">The amount of maintenance is up to RAN </w:t>
            </w:r>
            <w:proofErr w:type="spellStart"/>
            <w:r w:rsidRPr="00190D66">
              <w:rPr>
                <w:rFonts w:ascii="Times New Roman" w:eastAsia="ＭＳ 明朝"/>
                <w:szCs w:val="20"/>
                <w:lang w:eastAsia="ja-JP"/>
              </w:rPr>
              <w:t>WG1</w:t>
            </w:r>
            <w:proofErr w:type="spellEnd"/>
            <w:r w:rsidRPr="00190D66">
              <w:rPr>
                <w:rFonts w:ascii="Times New Roman" w:eastAsia="ＭＳ 明朝"/>
                <w:szCs w:val="20"/>
                <w:lang w:eastAsia="ja-JP"/>
              </w:rPr>
              <w:t xml:space="preserve"> chair decision. It is not required to have such decision.</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proofErr w:type="spellStart"/>
      <w:r>
        <w:rPr>
          <w:rFonts w:ascii="Times New Roman" w:hint="eastAsia"/>
          <w:szCs w:val="20"/>
        </w:rPr>
        <w:t>Q</w:t>
      </w:r>
      <w:r>
        <w:rPr>
          <w:rFonts w:ascii="Times New Roman"/>
          <w:szCs w:val="20"/>
        </w:rPr>
        <w:t>3</w:t>
      </w:r>
      <w:proofErr w:type="spellEnd"/>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r>
              <w:rPr>
                <w:rFonts w:ascii="Times New Roman"/>
                <w:szCs w:val="20"/>
              </w:rPr>
              <w:t>InterDigital</w:t>
            </w:r>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ＭＳ 明朝"/>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t>
            </w:r>
            <w:proofErr w:type="gramStart"/>
            <w:r>
              <w:rPr>
                <w:rFonts w:ascii="Times New Roman"/>
                <w:szCs w:val="20"/>
              </w:rPr>
              <w:t>work load</w:t>
            </w:r>
            <w:proofErr w:type="gramEnd"/>
            <w:r>
              <w:rPr>
                <w:rFonts w:ascii="Times New Roman"/>
                <w:szCs w:val="20"/>
              </w:rPr>
              <w:t xml:space="preserve">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ＭＳ 明朝" w:hint="eastAsia"/>
                <w:szCs w:val="20"/>
                <w:lang w:eastAsia="ja-JP"/>
              </w:rPr>
            </w:pPr>
            <w:r>
              <w:rPr>
                <w:rFonts w:ascii="Times New Roman" w:eastAsia="ＭＳ 明朝"/>
                <w:szCs w:val="20"/>
                <w:lang w:eastAsia="ja-JP"/>
              </w:rPr>
              <w:t xml:space="preserve">On </w:t>
            </w:r>
            <w:r w:rsidRPr="00190D66">
              <w:rPr>
                <w:rFonts w:ascii="Times New Roman" w:eastAsia="ＭＳ 明朝"/>
                <w:szCs w:val="20"/>
                <w:lang w:eastAsia="ja-JP"/>
              </w:rPr>
              <w:t>the combination (preferred/non-preferred) and (request/event)</w:t>
            </w:r>
            <w:r>
              <w:rPr>
                <w:rFonts w:ascii="Times New Roman" w:eastAsia="ＭＳ 明朝"/>
                <w:szCs w:val="20"/>
                <w:lang w:eastAsia="ja-JP"/>
              </w:rPr>
              <w:t xml:space="preserve"> concern, our view on the selection between </w:t>
            </w:r>
            <w:r w:rsidRPr="00190D66">
              <w:rPr>
                <w:rFonts w:ascii="Times New Roman" w:eastAsia="ＭＳ 明朝"/>
                <w:szCs w:val="20"/>
                <w:lang w:eastAsia="ja-JP"/>
              </w:rPr>
              <w:t>(preferred/non-preferred)</w:t>
            </w:r>
            <w:r>
              <w:rPr>
                <w:rFonts w:ascii="Times New Roman" w:eastAsia="ＭＳ 明朝"/>
                <w:szCs w:val="20"/>
                <w:lang w:eastAsia="ja-JP"/>
              </w:rPr>
              <w:t xml:space="preserve"> </w:t>
            </w:r>
            <w:r w:rsidRPr="00190D66">
              <w:rPr>
                <w:rFonts w:ascii="Times New Roman" w:eastAsia="ＭＳ 明朝"/>
                <w:szCs w:val="20"/>
                <w:lang w:eastAsia="ja-JP"/>
              </w:rPr>
              <w:t>is up to UE implementation choice</w:t>
            </w:r>
            <w:r>
              <w:rPr>
                <w:rFonts w:ascii="Times New Roman" w:eastAsia="ＭＳ 明朝"/>
                <w:szCs w:val="20"/>
                <w:lang w:eastAsia="ja-JP"/>
              </w:rPr>
              <w:t xml:space="preserve">, where the size is smaller is </w:t>
            </w:r>
            <w:proofErr w:type="gramStart"/>
            <w:r>
              <w:rPr>
                <w:rFonts w:ascii="Times New Roman" w:eastAsia="ＭＳ 明朝"/>
                <w:szCs w:val="20"/>
                <w:lang w:eastAsia="ja-JP"/>
              </w:rPr>
              <w:t>taking into account</w:t>
            </w:r>
            <w:proofErr w:type="gramEnd"/>
            <w:r>
              <w:rPr>
                <w:rFonts w:ascii="Times New Roman" w:eastAsia="ＭＳ 明朝"/>
                <w:szCs w:val="20"/>
                <w:lang w:eastAsia="ja-JP"/>
              </w:rPr>
              <w:t>. Then we don't share the combination concern.</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60AC73C7" w14:textId="77777777" w:rsidR="005D41D7" w:rsidRDefault="009E7C82">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r>
              <w:rPr>
                <w:rFonts w:ascii="Times New Roman"/>
                <w:szCs w:val="20"/>
              </w:rPr>
              <w:t>InterDigital</w:t>
            </w:r>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17054E49" w14:textId="77777777" w:rsidR="005D41D7" w:rsidRDefault="009E7C82">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ＭＳ 明朝"/>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ＭＳ 明朝"/>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 xml:space="preserve">whether RAN1 or RAN2 implement the restriction that the resource selection </w:t>
            </w:r>
            <w:proofErr w:type="gramStart"/>
            <w:r w:rsidRPr="001D71B2">
              <w:rPr>
                <w:rFonts w:ascii="Times New Roman"/>
                <w:szCs w:val="20"/>
              </w:rPr>
              <w:t>taken into account</w:t>
            </w:r>
            <w:proofErr w:type="gramEnd"/>
            <w:r w:rsidRPr="001D71B2">
              <w:rPr>
                <w:rFonts w:ascii="Times New Roman"/>
                <w:szCs w:val="20"/>
              </w:rPr>
              <w:t xml:space="preserve">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proofErr w:type="spellStart"/>
      <w:r>
        <w:rPr>
          <w:rFonts w:ascii="Times New Roman" w:hint="eastAsia"/>
          <w:szCs w:val="20"/>
        </w:rPr>
        <w:t>Q</w:t>
      </w:r>
      <w:r>
        <w:rPr>
          <w:rFonts w:ascii="Times New Roman"/>
          <w:szCs w:val="20"/>
        </w:rPr>
        <w:t>5</w:t>
      </w:r>
      <w:proofErr w:type="spellEnd"/>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BB1A" w14:textId="77777777" w:rsidR="004118F6" w:rsidRDefault="004118F6">
      <w:pPr>
        <w:spacing w:after="0" w:line="240" w:lineRule="auto"/>
      </w:pPr>
      <w:r>
        <w:separator/>
      </w:r>
    </w:p>
  </w:endnote>
  <w:endnote w:type="continuationSeparator" w:id="0">
    <w:p w14:paraId="2112D95D" w14:textId="77777777" w:rsidR="004118F6" w:rsidRDefault="0041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altName w:val="﷽﷽﷽﷽﷽﷽橙胨ĝ"/>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Microsoft YaHe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IM Sans">
    <w:altName w:val="Cambria"/>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D80" w14:textId="77777777" w:rsidR="005F1F79" w:rsidRDefault="005F1F79">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8D367AD" w14:textId="77777777" w:rsidR="005F1F79" w:rsidRDefault="005F1F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A21" w14:textId="4F3F3839" w:rsidR="005F1F79" w:rsidRDefault="00CE6402">
    <w:pPr>
      <w:pStyle w:val="ac"/>
      <w:framePr w:wrap="around" w:vAnchor="text" w:hAnchor="margin" w:xAlign="center" w:y="1"/>
      <w:rPr>
        <w:rStyle w:val="af6"/>
      </w:rPr>
    </w:pPr>
    <w:r>
      <w:rPr>
        <w:noProof/>
      </w:rPr>
      <mc:AlternateContent>
        <mc:Choice Requires="wps">
          <w:drawing>
            <wp:anchor distT="0" distB="0" distL="114300" distR="114300" simplePos="0" relativeHeight="251659264" behindDoc="0" locked="0" layoutInCell="0" allowOverlap="1" wp14:anchorId="475CBA26" wp14:editId="5DA69960">
              <wp:simplePos x="0" y="0"/>
              <wp:positionH relativeFrom="page">
                <wp:posOffset>0</wp:posOffset>
              </wp:positionH>
              <wp:positionV relativeFrom="page">
                <wp:posOffset>10226040</wp:posOffset>
              </wp:positionV>
              <wp:extent cx="7560310" cy="274955"/>
              <wp:effectExtent l="0" t="0" r="0" b="10795"/>
              <wp:wrapNone/>
              <wp:docPr id="1" name="MSIPCM30d44b9ea1b4bd8ef95187c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37020621" w:rsidR="00CE6402" w:rsidRPr="00B12B40" w:rsidRDefault="00CE6402" w:rsidP="00CE6402">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30d44b9ea1b4bd8ef95187cc" o:spid="_x0000_s1026" type="#_x0000_t202" alt="{&quot;HashCode&quot;:-1421341466,&quot;Height&quot;:841.0,&quot;Width&quot;:595.0,&quot;Placement&quot;:&quot;Footer&quot;,&quot;Index&quot;:&quot;Primary&quot;,&quot;Section&quot;:1,&quot;Top&quot;:0.0,&quot;Left&quot;:0.0}" style="position:absolute;left:0;text-align:left;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FGZsqK8CAABHBQAADgAA&#10;AAAAAAAAAAAAAAAuAgAAZHJzL2Uyb0RvYy54bWxQSwECLQAUAAYACAAAACEAZMnaP98AAAALAQAA&#10;DwAAAAAAAAAAAAAAAAAJBQAAZHJzL2Rvd25yZXYueG1sUEsFBgAAAAAEAAQA8wAAABUGAAAAAA==&#10;" o:allowincell="f" filled="f" stroked="f" strokeweight=".5pt">
              <v:fill o:detectmouseclick="t"/>
              <v:textbox inset=",0,,0">
                <w:txbxContent>
                  <w:p w14:paraId="564BA530" w14:textId="37020621" w:rsidR="00CE6402" w:rsidRPr="00B12B40" w:rsidRDefault="00CE6402" w:rsidP="00CE6402">
                    <w:pPr>
                      <w:spacing w:after="0"/>
                      <w:jc w:val="center"/>
                      <w:rPr>
                        <w:rFonts w:ascii="TIM Sans" w:hAnsi="TIM Sans"/>
                        <w:color w:val="4472C4"/>
                        <w:sz w:val="16"/>
                        <w:lang w:val="it-IT"/>
                      </w:rPr>
                    </w:pPr>
                  </w:p>
                </w:txbxContent>
              </v:textbox>
              <w10:wrap anchorx="page" anchory="page"/>
            </v:shape>
          </w:pict>
        </mc:Fallback>
      </mc:AlternateContent>
    </w:r>
    <w:r w:rsidR="005F1F79">
      <w:rPr>
        <w:rStyle w:val="af6"/>
      </w:rPr>
      <w:fldChar w:fldCharType="begin"/>
    </w:r>
    <w:r w:rsidR="005F1F79">
      <w:rPr>
        <w:rStyle w:val="af6"/>
      </w:rPr>
      <w:instrText xml:space="preserve">PAGE  </w:instrText>
    </w:r>
    <w:r w:rsidR="005F1F79">
      <w:rPr>
        <w:rStyle w:val="af6"/>
      </w:rPr>
      <w:fldChar w:fldCharType="separate"/>
    </w:r>
    <w:r w:rsidR="005F1F79">
      <w:rPr>
        <w:rStyle w:val="af6"/>
        <w:noProof/>
      </w:rPr>
      <w:t>11</w:t>
    </w:r>
    <w:r w:rsidR="005F1F79">
      <w:rPr>
        <w:rStyle w:val="af6"/>
      </w:rPr>
      <w:fldChar w:fldCharType="end"/>
    </w:r>
  </w:p>
  <w:p w14:paraId="30D7994E" w14:textId="77777777" w:rsidR="005F1F79" w:rsidRDefault="005F1F7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597A" w14:textId="77777777" w:rsidR="00230ABA" w:rsidRDefault="00230A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6F82" w14:textId="77777777" w:rsidR="004118F6" w:rsidRDefault="004118F6">
      <w:pPr>
        <w:spacing w:after="0" w:line="240" w:lineRule="auto"/>
      </w:pPr>
      <w:r>
        <w:separator/>
      </w:r>
    </w:p>
  </w:footnote>
  <w:footnote w:type="continuationSeparator" w:id="0">
    <w:p w14:paraId="6B8A320F" w14:textId="77777777" w:rsidR="004118F6" w:rsidRDefault="0041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7947" w14:textId="77777777" w:rsidR="00230ABA" w:rsidRDefault="00230AB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37FA" w14:textId="77777777" w:rsidR="00230ABA" w:rsidRDefault="00230AB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B58" w14:textId="77777777" w:rsidR="00230ABA" w:rsidRDefault="00230AB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
    <w:name w:val="ヘッダー (文字)"/>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5949</Words>
  <Characters>33914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Hidetoshi Suzuki 09</cp:lastModifiedBy>
  <cp:revision>5</cp:revision>
  <cp:lastPrinted>2014-01-26T05:26:00Z</cp:lastPrinted>
  <dcterms:created xsi:type="dcterms:W3CDTF">2021-09-14T08:58:00Z</dcterms:created>
  <dcterms:modified xsi:type="dcterms:W3CDTF">2021-09-14T09:28:00Z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