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rsidR="005D41D7" w:rsidRDefault="009E7C82">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rsidR="005D41D7" w:rsidRDefault="005D41D7">
      <w:pPr>
        <w:tabs>
          <w:tab w:val="left" w:pos="3261"/>
        </w:tabs>
        <w:wordWrap/>
        <w:adjustRightInd w:val="0"/>
        <w:snapToGrid w:val="0"/>
        <w:spacing w:line="360" w:lineRule="auto"/>
        <w:rPr>
          <w:rFonts w:ascii="Arial" w:hAnsi="Arial" w:cs="Arial"/>
          <w:b/>
          <w:bCs/>
          <w:snapToGrid w:val="0"/>
          <w:sz w:val="24"/>
        </w:rPr>
      </w:pPr>
    </w:p>
    <w:p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tc>
          <w:tcPr>
            <w:tcW w:w="1271" w:type="dxa"/>
          </w:tcPr>
          <w:p w:rsidR="005D41D7" w:rsidRDefault="009E7C82">
            <w:pPr>
              <w:widowControl/>
              <w:rPr>
                <w:rFonts w:ascii="Times New Roman"/>
                <w:szCs w:val="20"/>
              </w:rPr>
            </w:pPr>
            <w:r>
              <w:rPr>
                <w:rFonts w:ascii="Times New Roman"/>
                <w:szCs w:val="20"/>
              </w:rPr>
              <w:lastRenderedPageBreak/>
              <w:t>Ericsson</w:t>
            </w:r>
          </w:p>
        </w:tc>
        <w:tc>
          <w:tcPr>
            <w:tcW w:w="8080" w:type="dxa"/>
          </w:tcPr>
          <w:p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tc>
          <w:tcPr>
            <w:tcW w:w="1271" w:type="dxa"/>
          </w:tcPr>
          <w:p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rsidR="005D41D7" w:rsidRDefault="009E7C82">
            <w:pPr>
              <w:widowControl/>
              <w:rPr>
                <w:rFonts w:ascii="Times New Roman"/>
                <w:szCs w:val="20"/>
              </w:rPr>
            </w:pPr>
            <w:r>
              <w:rPr>
                <w:rFonts w:ascii="Times New Roman"/>
                <w:szCs w:val="20"/>
              </w:rPr>
              <w:t xml:space="preserve">-       Physically no time to consider SL relay discovery in combined with SL DRX. </w:t>
            </w:r>
          </w:p>
          <w:p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tc>
          <w:tcPr>
            <w:tcW w:w="1271" w:type="dxa"/>
          </w:tcPr>
          <w:p w:rsidR="005D41D7" w:rsidRDefault="009E7C82">
            <w:pPr>
              <w:widowControl/>
              <w:rPr>
                <w:rFonts w:ascii="Times New Roman"/>
                <w:szCs w:val="20"/>
              </w:rPr>
            </w:pPr>
            <w:r>
              <w:rPr>
                <w:rFonts w:ascii="Times New Roman"/>
                <w:szCs w:val="20"/>
              </w:rPr>
              <w:t>Qualcomm</w:t>
            </w:r>
          </w:p>
        </w:tc>
        <w:tc>
          <w:tcPr>
            <w:tcW w:w="8080" w:type="dxa"/>
          </w:tcPr>
          <w:p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tc>
          <w:tcPr>
            <w:tcW w:w="1271" w:type="dxa"/>
          </w:tcPr>
          <w:p w:rsidR="005D41D7" w:rsidRDefault="009E7C82">
            <w:pPr>
              <w:widowControl/>
              <w:rPr>
                <w:rFonts w:ascii="Times New Roman"/>
                <w:szCs w:val="20"/>
              </w:rPr>
            </w:pPr>
            <w:r>
              <w:rPr>
                <w:rFonts w:ascii="Times New Roman"/>
                <w:szCs w:val="20"/>
              </w:rPr>
              <w:t>Apple</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rsidR="005D41D7" w:rsidRDefault="005D41D7">
            <w:pPr>
              <w:widowControl/>
              <w:wordWrap/>
              <w:autoSpaceDE/>
              <w:autoSpaceDN/>
              <w:jc w:val="left"/>
              <w:rPr>
                <w:rFonts w:ascii="Times New Roman"/>
                <w:szCs w:val="20"/>
              </w:rPr>
            </w:pPr>
          </w:p>
          <w:p w:rsidR="005D41D7" w:rsidRDefault="009E7C82">
            <w:pPr>
              <w:widowControl/>
              <w:rPr>
                <w:rFonts w:ascii="Times New Roman"/>
                <w:szCs w:val="20"/>
              </w:rPr>
            </w:pPr>
            <w:r>
              <w:rPr>
                <w:rFonts w:ascii="Times New Roman"/>
                <w:szCs w:val="20"/>
              </w:rPr>
              <w:t>We are fine to send LS to SA2/CT1 to clarify on this.</w:t>
            </w:r>
          </w:p>
        </w:tc>
      </w:tr>
      <w:tr w:rsidR="005D41D7">
        <w:tc>
          <w:tcPr>
            <w:tcW w:w="1271" w:type="dxa"/>
          </w:tcPr>
          <w:p w:rsidR="005D41D7" w:rsidRDefault="009E7C82">
            <w:pPr>
              <w:widowControl/>
              <w:rPr>
                <w:rFonts w:ascii="Times New Roman"/>
                <w:szCs w:val="20"/>
              </w:rPr>
            </w:pPr>
            <w:r>
              <w:rPr>
                <w:rFonts w:ascii="Times New Roman"/>
                <w:szCs w:val="20"/>
              </w:rPr>
              <w:t>Huawei,</w:t>
            </w:r>
          </w:p>
          <w:p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rsidR="005D41D7" w:rsidRDefault="009E7C82">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w:t>
            </w:r>
            <w:proofErr w:type="spellStart"/>
            <w:r>
              <w:rPr>
                <w:rFonts w:ascii="Times New Roman" w:eastAsia="SimSun"/>
                <w:szCs w:val="20"/>
                <w:lang w:eastAsia="zh-CN"/>
              </w:rPr>
              <w:t>QoS</w:t>
            </w:r>
            <w:proofErr w:type="spellEnd"/>
            <w:r>
              <w:rPr>
                <w:rFonts w:ascii="Times New Roman" w:eastAsia="SimSun"/>
                <w:szCs w:val="20"/>
                <w:lang w:eastAsia="zh-CN"/>
              </w:rPr>
              <w:t xml:space="preserve"> can be easily reused to Prose direct communication. However Prose discovery and SL relay discovery are using broadcast with no dependency on </w:t>
            </w:r>
            <w:proofErr w:type="spellStart"/>
            <w:r>
              <w:rPr>
                <w:rFonts w:ascii="Times New Roman" w:eastAsia="SimSun"/>
                <w:szCs w:val="20"/>
                <w:lang w:eastAsia="zh-CN"/>
              </w:rPr>
              <w:t>QoS</w:t>
            </w:r>
            <w:proofErr w:type="spellEnd"/>
            <w:r>
              <w:rPr>
                <w:rFonts w:ascii="Times New Roman" w:eastAsia="SimSun"/>
                <w:szCs w:val="20"/>
                <w:lang w:eastAsia="zh-CN"/>
              </w:rPr>
              <w:t>,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tc>
          <w:tcPr>
            <w:tcW w:w="1271" w:type="dxa"/>
          </w:tcPr>
          <w:p w:rsidR="005D41D7" w:rsidRDefault="009E7C82">
            <w:pPr>
              <w:widowControl/>
              <w:rPr>
                <w:rFonts w:ascii="Times New Roman"/>
                <w:szCs w:val="20"/>
              </w:rPr>
            </w:pPr>
            <w:r>
              <w:rPr>
                <w:rFonts w:ascii="Times New Roman" w:hint="eastAsia"/>
                <w:szCs w:val="20"/>
              </w:rPr>
              <w:t>LGE</w:t>
            </w:r>
          </w:p>
        </w:tc>
        <w:tc>
          <w:tcPr>
            <w:tcW w:w="8080" w:type="dxa"/>
          </w:tcPr>
          <w:p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tc>
          <w:tcPr>
            <w:tcW w:w="1271" w:type="dxa"/>
          </w:tcPr>
          <w:p w:rsidR="005D41D7" w:rsidRDefault="009E7C82">
            <w:pPr>
              <w:widowControl/>
              <w:rPr>
                <w:rFonts w:ascii="Times New Roman"/>
                <w:szCs w:val="20"/>
              </w:rPr>
            </w:pPr>
            <w:r>
              <w:rPr>
                <w:rFonts w:ascii="Times New Roman"/>
                <w:szCs w:val="20"/>
              </w:rPr>
              <w:t>vivo</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tc>
          <w:tcPr>
            <w:tcW w:w="1271"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tc>
          <w:tcPr>
            <w:tcW w:w="1271" w:type="dxa"/>
          </w:tcPr>
          <w:p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tc>
          <w:tcPr>
            <w:tcW w:w="1271" w:type="dxa"/>
          </w:tcPr>
          <w:p w:rsidR="009C3C4B" w:rsidRDefault="009C3C4B" w:rsidP="00102F75">
            <w:pPr>
              <w:widowControl/>
              <w:rPr>
                <w:rFonts w:ascii="Times New Roman"/>
                <w:szCs w:val="20"/>
              </w:rPr>
            </w:pPr>
            <w:r>
              <w:rPr>
                <w:rFonts w:ascii="Times New Roman"/>
                <w:szCs w:val="20"/>
              </w:rPr>
              <w:t>CATT</w:t>
            </w:r>
          </w:p>
        </w:tc>
        <w:tc>
          <w:tcPr>
            <w:tcW w:w="8080" w:type="dxa"/>
          </w:tcPr>
          <w:p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tc>
          <w:tcPr>
            <w:tcW w:w="1271" w:type="dxa"/>
          </w:tcPr>
          <w:p w:rsidR="00D97E3B" w:rsidRDefault="00D97E3B" w:rsidP="00D97E3B">
            <w:pPr>
              <w:widowControl/>
              <w:rPr>
                <w:rFonts w:ascii="Times New Roman"/>
                <w:szCs w:val="20"/>
              </w:rPr>
            </w:pPr>
            <w:r>
              <w:rPr>
                <w:rFonts w:ascii="Times New Roman"/>
                <w:szCs w:val="20"/>
              </w:rPr>
              <w:t>MediaTek</w:t>
            </w:r>
          </w:p>
        </w:tc>
        <w:tc>
          <w:tcPr>
            <w:tcW w:w="8080" w:type="dxa"/>
          </w:tcPr>
          <w:p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rsidR="00D97E3B" w:rsidRDefault="00D97E3B" w:rsidP="00D97E3B">
            <w:pPr>
              <w:widowControl/>
              <w:rPr>
                <w:rFonts w:ascii="Times New Roman"/>
                <w:szCs w:val="20"/>
              </w:rPr>
            </w:pPr>
            <w:r>
              <w:rPr>
                <w:rFonts w:ascii="Times New Roman"/>
                <w:szCs w:val="20"/>
              </w:rPr>
              <w:t xml:space="preserve">For relay-related communication, we understand that RAN2 would need to ensure that the UEs have the needed information to determine a DRX configuration.  In our view, this represents work that is already in scope under the </w:t>
            </w:r>
            <w:proofErr w:type="spellStart"/>
            <w:r>
              <w:rPr>
                <w:rFonts w:ascii="Times New Roman"/>
                <w:szCs w:val="20"/>
              </w:rPr>
              <w:t>QoS</w:t>
            </w:r>
            <w:proofErr w:type="spellEnd"/>
            <w:r>
              <w:rPr>
                <w:rFonts w:ascii="Times New Roman"/>
                <w:szCs w:val="20"/>
              </w:rPr>
              <w:t xml:space="preserve"> objective.</w:t>
            </w:r>
          </w:p>
          <w:p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9E7C82">
      <w:pPr>
        <w:widowControl/>
        <w:rPr>
          <w:rFonts w:ascii="Times New Roman" w:eastAsia="BatangChe"/>
          <w:b/>
          <w:kern w:val="32"/>
          <w:sz w:val="28"/>
          <w:szCs w:val="28"/>
        </w:rPr>
      </w:pPr>
      <w:r>
        <w:rPr>
          <w:rFonts w:ascii="Times New Roman"/>
          <w:sz w:val="24"/>
          <w:szCs w:val="20"/>
        </w:rPr>
        <w:t>2.2. RAN guidance to finalize the WI</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tc>
          <w:tcPr>
            <w:tcW w:w="1372" w:type="dxa"/>
          </w:tcPr>
          <w:p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tc>
          <w:tcPr>
            <w:tcW w:w="1372" w:type="dxa"/>
          </w:tcPr>
          <w:p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tc>
          <w:tcPr>
            <w:tcW w:w="1372"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tc>
          <w:tcPr>
            <w:tcW w:w="1372" w:type="dxa"/>
          </w:tcPr>
          <w:p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proofErr w:type="gramStart"/>
            <w:r w:rsidRPr="00D97F23">
              <w:rPr>
                <w:rFonts w:ascii="Times New Roman" w:eastAsia="SimSun"/>
                <w:szCs w:val="20"/>
                <w:lang w:eastAsia="zh-CN"/>
              </w:rPr>
              <w:t>a</w:t>
            </w:r>
            <w:proofErr w:type="spellEnd"/>
            <w:proofErr w:type="gramEnd"/>
            <w:r>
              <w:rPr>
                <w:rFonts w:ascii="Times New Roman"/>
                <w:szCs w:val="20"/>
              </w:rPr>
              <w:t xml:space="preserve"> explicit</w:t>
            </w:r>
            <w:r w:rsidRPr="00D97F23">
              <w:rPr>
                <w:rFonts w:ascii="Times New Roman" w:eastAsia="SimSun"/>
                <w:szCs w:val="20"/>
                <w:lang w:eastAsia="zh-CN"/>
              </w:rPr>
              <w:t xml:space="preserve"> conclusion.</w:t>
            </w:r>
          </w:p>
        </w:tc>
      </w:tr>
      <w:tr w:rsidR="00D97E3B">
        <w:tc>
          <w:tcPr>
            <w:tcW w:w="1372" w:type="dxa"/>
          </w:tcPr>
          <w:p w:rsidR="00D97E3B" w:rsidRDefault="00D97E3B" w:rsidP="00D97E3B">
            <w:pPr>
              <w:widowControl/>
              <w:rPr>
                <w:rFonts w:ascii="Times New Roman"/>
                <w:szCs w:val="20"/>
              </w:rPr>
            </w:pPr>
            <w:r>
              <w:rPr>
                <w:rFonts w:ascii="Times New Roman"/>
                <w:szCs w:val="20"/>
              </w:rPr>
              <w:t>MediaTek</w:t>
            </w:r>
          </w:p>
        </w:tc>
        <w:tc>
          <w:tcPr>
            <w:tcW w:w="7990" w:type="dxa"/>
          </w:tcPr>
          <w:p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rPr>
            </w:pPr>
            <w:r>
              <w:rPr>
                <w:rFonts w:ascii="Times New Roman"/>
              </w:rPr>
              <w:t xml:space="preserve">We agree to the first part, i.e., to aim for a simple solution whenever possible.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tc>
          <w:tcPr>
            <w:tcW w:w="1372" w:type="dxa"/>
          </w:tcPr>
          <w:p w:rsidR="005D41D7" w:rsidRDefault="009E7C82">
            <w:pPr>
              <w:widowControl/>
              <w:rPr>
                <w:rFonts w:ascii="Times New Roman"/>
                <w:szCs w:val="20"/>
              </w:rPr>
            </w:pPr>
            <w:r>
              <w:rPr>
                <w:rFonts w:ascii="Times New Roman"/>
                <w:szCs w:val="20"/>
              </w:rPr>
              <w:lastRenderedPageBreak/>
              <w:t xml:space="preserve">Huawei,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tc>
          <w:tcPr>
            <w:tcW w:w="1372"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Regarding increasing TU, we are supportive if possible.</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rsidR="005D41D7" w:rsidRDefault="005D41D7">
            <w:pPr>
              <w:widowControl/>
              <w:rPr>
                <w:rFonts w:ascii="Times New Roman"/>
                <w:szCs w:val="20"/>
              </w:rPr>
            </w:pPr>
          </w:p>
        </w:tc>
      </w:tr>
      <w:tr w:rsidR="005D41D7">
        <w:tc>
          <w:tcPr>
            <w:tcW w:w="1372"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rsidTr="0038596C">
        <w:tc>
          <w:tcPr>
            <w:tcW w:w="1372" w:type="dxa"/>
          </w:tcPr>
          <w:p w:rsidR="00CD4021" w:rsidRDefault="00CD4021" w:rsidP="0038596C">
            <w:pPr>
              <w:widowControl/>
              <w:rPr>
                <w:rFonts w:ascii="Times New Roman"/>
                <w:szCs w:val="20"/>
              </w:rPr>
            </w:pPr>
            <w:r>
              <w:rPr>
                <w:rFonts w:ascii="Times New Roman"/>
                <w:szCs w:val="20"/>
              </w:rPr>
              <w:lastRenderedPageBreak/>
              <w:t>NTT DOCOMO</w:t>
            </w:r>
          </w:p>
        </w:tc>
        <w:tc>
          <w:tcPr>
            <w:tcW w:w="7990" w:type="dxa"/>
          </w:tcPr>
          <w:p w:rsidR="00CD4021" w:rsidRDefault="00CD4021" w:rsidP="0038596C">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rsidR="00CD4021" w:rsidRDefault="00CD4021" w:rsidP="0038596C">
            <w:pPr>
              <w:widowControl/>
              <w:rPr>
                <w:rFonts w:ascii="Times New Roman"/>
                <w:szCs w:val="20"/>
              </w:rPr>
            </w:pPr>
            <w:r>
              <w:rPr>
                <w:rFonts w:ascii="Times New Roman"/>
                <w:szCs w:val="20"/>
              </w:rPr>
              <w:t>Regarding TU, we are not sure whether it is possible or not. TU of some other WI can be reduced?</w:t>
            </w:r>
          </w:p>
        </w:tc>
      </w:tr>
      <w:tr w:rsidR="00102F75">
        <w:tc>
          <w:tcPr>
            <w:tcW w:w="1372" w:type="dxa"/>
          </w:tcPr>
          <w:p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w:t>
            </w:r>
            <w:proofErr w:type="spellStart"/>
            <w:r w:rsidRPr="000D2714">
              <w:rPr>
                <w:rFonts w:ascii="Times New Roman" w:eastAsia="SimSun"/>
                <w:szCs w:val="20"/>
                <w:lang w:eastAsia="zh-CN"/>
              </w:rPr>
              <w:t>sidelink</w:t>
            </w:r>
            <w:proofErr w:type="spellEnd"/>
            <w:r w:rsidRPr="000D2714">
              <w:rPr>
                <w:rFonts w:ascii="Times New Roman" w:eastAsia="SimSun"/>
                <w:szCs w:val="20"/>
                <w:lang w:eastAsia="zh-CN"/>
              </w:rPr>
              <w:t xml:space="preserve"> maintenance in Q4</w:t>
            </w:r>
            <w:r>
              <w:rPr>
                <w:rFonts w:ascii="Times New Roman" w:eastAsia="SimSun"/>
                <w:szCs w:val="20"/>
                <w:lang w:eastAsia="zh-CN"/>
              </w:rPr>
              <w:t xml:space="preserve">. </w:t>
            </w:r>
          </w:p>
        </w:tc>
      </w:tr>
      <w:tr w:rsidR="009C3C4B">
        <w:tc>
          <w:tcPr>
            <w:tcW w:w="1372" w:type="dxa"/>
          </w:tcPr>
          <w:p w:rsidR="009C3C4B" w:rsidRPr="000D2714" w:rsidRDefault="009C3C4B" w:rsidP="00102F75">
            <w:pPr>
              <w:widowControl/>
              <w:rPr>
                <w:rFonts w:ascii="Times New Roman"/>
                <w:szCs w:val="20"/>
              </w:rPr>
            </w:pPr>
            <w:r>
              <w:rPr>
                <w:rFonts w:ascii="Times New Roman"/>
                <w:szCs w:val="20"/>
              </w:rPr>
              <w:t>CATT</w:t>
            </w:r>
          </w:p>
        </w:tc>
        <w:tc>
          <w:tcPr>
            <w:tcW w:w="7990" w:type="dxa"/>
          </w:tcPr>
          <w:p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rsidR="009C3C4B" w:rsidRPr="000D2714" w:rsidRDefault="009C3C4B" w:rsidP="00102F75">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D97E3B">
        <w:tc>
          <w:tcPr>
            <w:tcW w:w="1372" w:type="dxa"/>
          </w:tcPr>
          <w:p w:rsidR="00D97E3B" w:rsidRDefault="00D97E3B" w:rsidP="00D97E3B">
            <w:pPr>
              <w:widowControl/>
              <w:rPr>
                <w:rFonts w:ascii="Times New Roman"/>
                <w:szCs w:val="20"/>
              </w:rPr>
            </w:pPr>
            <w:r>
              <w:rPr>
                <w:rFonts w:ascii="Times New Roman"/>
                <w:szCs w:val="20"/>
              </w:rPr>
              <w:t>MediaTek</w:t>
            </w:r>
          </w:p>
        </w:tc>
        <w:tc>
          <w:tcPr>
            <w:tcW w:w="7990" w:type="dxa"/>
          </w:tcPr>
          <w:p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9C3C4B">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9C3C4B">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tc>
          <w:tcPr>
            <w:tcW w:w="1372" w:type="dxa"/>
          </w:tcPr>
          <w:p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tc>
          <w:tcPr>
            <w:tcW w:w="1372" w:type="dxa"/>
          </w:tcPr>
          <w:p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We are generally fine with this proposal. </w:t>
            </w:r>
          </w:p>
        </w:tc>
      </w:tr>
      <w:tr w:rsidR="009C3C4B">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tc>
          <w:tcPr>
            <w:tcW w:w="1372"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roofErr w:type="gramStart"/>
            <w:r>
              <w:rPr>
                <w:rFonts w:ascii="Times New Roman"/>
                <w:szCs w:val="20"/>
              </w:rPr>
              <w:t>..</w:t>
            </w:r>
            <w:proofErr w:type="gramEnd"/>
          </w:p>
          <w:p w:rsidR="00CD4021" w:rsidRDefault="00CD4021" w:rsidP="0038596C">
            <w:pPr>
              <w:widowControl/>
              <w:rPr>
                <w:rFonts w:ascii="Times New Roman"/>
                <w:szCs w:val="20"/>
              </w:rPr>
            </w:pPr>
            <w:r>
              <w:rPr>
                <w:rFonts w:ascii="Times New Roman"/>
                <w:szCs w:val="20"/>
              </w:rPr>
              <w:t xml:space="preserve">On scheme 2, there is only one direction, i.e.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9C3C4B">
        <w:tc>
          <w:tcPr>
            <w:tcW w:w="1372" w:type="dxa"/>
          </w:tcPr>
          <w:p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990" w:type="dxa"/>
          </w:tcPr>
          <w:p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tc>
          <w:tcPr>
            <w:tcW w:w="1372" w:type="dxa"/>
          </w:tcPr>
          <w:p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990" w:type="dxa"/>
          </w:tcPr>
          <w:p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tc>
          <w:tcPr>
            <w:tcW w:w="1372" w:type="dxa"/>
          </w:tcPr>
          <w:p w:rsidR="00D97E3B" w:rsidRDefault="00D97E3B" w:rsidP="00D97E3B">
            <w:pPr>
              <w:widowControl/>
              <w:rPr>
                <w:rFonts w:ascii="Times New Roman"/>
                <w:szCs w:val="20"/>
              </w:rPr>
            </w:pPr>
            <w:r>
              <w:rPr>
                <w:rFonts w:ascii="Times New Roman"/>
                <w:szCs w:val="20"/>
              </w:rPr>
              <w:t>MediaTek</w:t>
            </w:r>
          </w:p>
        </w:tc>
        <w:tc>
          <w:tcPr>
            <w:tcW w:w="7990" w:type="dxa"/>
          </w:tcPr>
          <w:p w:rsidR="00D97E3B" w:rsidRDefault="00D97E3B" w:rsidP="00D97E3B">
            <w:pPr>
              <w:widowControl/>
              <w:rPr>
                <w:rFonts w:ascii="Times New Roman"/>
                <w:szCs w:val="20"/>
              </w:rPr>
            </w:pPr>
            <w:r>
              <w:rPr>
                <w:rFonts w:ascii="Times New Roman"/>
                <w:szCs w:val="20"/>
              </w:rPr>
              <w:t>We are OK with this proposal.</w:t>
            </w: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177"/>
        <w:gridCol w:w="8185"/>
      </w:tblGrid>
      <w:tr w:rsidR="005D41D7" w:rsidTr="00CD4021">
        <w:tc>
          <w:tcPr>
            <w:tcW w:w="1177" w:type="dxa"/>
          </w:tcPr>
          <w:p w:rsidR="005D41D7" w:rsidRDefault="009E7C82">
            <w:pPr>
              <w:widowControl/>
              <w:rPr>
                <w:rFonts w:ascii="Times New Roman"/>
                <w:szCs w:val="20"/>
              </w:rPr>
            </w:pPr>
            <w:r>
              <w:rPr>
                <w:rFonts w:ascii="Times New Roman" w:hint="eastAsia"/>
                <w:szCs w:val="20"/>
              </w:rPr>
              <w:t>Company</w:t>
            </w:r>
          </w:p>
        </w:tc>
        <w:tc>
          <w:tcPr>
            <w:tcW w:w="8185" w:type="dxa"/>
          </w:tcPr>
          <w:p w:rsidR="005D41D7" w:rsidRDefault="009E7C82">
            <w:pPr>
              <w:widowControl/>
              <w:rPr>
                <w:rFonts w:ascii="Times New Roman"/>
                <w:szCs w:val="20"/>
              </w:rPr>
            </w:pPr>
            <w:r>
              <w:rPr>
                <w:rFonts w:ascii="Times New Roman" w:hint="eastAsia"/>
                <w:szCs w:val="20"/>
              </w:rPr>
              <w:t>Comment</w:t>
            </w:r>
          </w:p>
        </w:tc>
      </w:tr>
      <w:tr w:rsidR="005D41D7" w:rsidTr="00CD4021">
        <w:tc>
          <w:tcPr>
            <w:tcW w:w="1177" w:type="dxa"/>
          </w:tcPr>
          <w:p w:rsidR="005D41D7" w:rsidRDefault="009E7C82">
            <w:pPr>
              <w:widowControl/>
              <w:rPr>
                <w:rFonts w:ascii="Times New Roman"/>
                <w:szCs w:val="20"/>
              </w:rPr>
            </w:pPr>
            <w:r>
              <w:rPr>
                <w:rFonts w:ascii="Times New Roman"/>
                <w:szCs w:val="20"/>
              </w:rPr>
              <w:t>OPPO</w:t>
            </w:r>
          </w:p>
        </w:tc>
        <w:tc>
          <w:tcPr>
            <w:tcW w:w="8185" w:type="dxa"/>
          </w:tcPr>
          <w:p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rsidR="005D41D7" w:rsidRDefault="009E7C82">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w:t>
            </w:r>
            <w:r>
              <w:rPr>
                <w:rFonts w:ascii="Times New Roman"/>
                <w:szCs w:val="20"/>
              </w:rPr>
              <w:lastRenderedPageBreak/>
              <w:t>measurement) and SL-DRX has been discussed for many meetings due to the LS from RAN2. In the last meeting, RAN1 finally reached the following agreement and replied to RAN2.</w:t>
            </w:r>
          </w:p>
          <w:p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rsidR="005D41D7" w:rsidRDefault="009E7C82">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rsidR="005D41D7" w:rsidRDefault="009E7C82">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5D41D7" w:rsidTr="00CD4021">
        <w:tc>
          <w:tcPr>
            <w:tcW w:w="1177" w:type="dxa"/>
          </w:tcPr>
          <w:p w:rsidR="005D41D7" w:rsidRDefault="009E7C82">
            <w:pPr>
              <w:widowControl/>
              <w:rPr>
                <w:rFonts w:ascii="Times New Roman"/>
                <w:szCs w:val="20"/>
              </w:rPr>
            </w:pPr>
            <w:r>
              <w:rPr>
                <w:rFonts w:ascii="Times New Roman"/>
                <w:szCs w:val="20"/>
              </w:rPr>
              <w:lastRenderedPageBreak/>
              <w:t>Ericsson</w:t>
            </w:r>
          </w:p>
        </w:tc>
        <w:tc>
          <w:tcPr>
            <w:tcW w:w="8185" w:type="dxa"/>
          </w:tcPr>
          <w:p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rsidTr="00CD4021">
        <w:tc>
          <w:tcPr>
            <w:tcW w:w="1177" w:type="dxa"/>
          </w:tcPr>
          <w:p w:rsidR="005D41D7" w:rsidRDefault="009E7C82">
            <w:pPr>
              <w:widowControl/>
              <w:rPr>
                <w:rFonts w:ascii="Times New Roman"/>
                <w:szCs w:val="20"/>
              </w:rPr>
            </w:pPr>
            <w:r>
              <w:rPr>
                <w:rFonts w:ascii="Times New Roman"/>
                <w:szCs w:val="20"/>
              </w:rPr>
              <w:t>FUTUREWEI</w:t>
            </w:r>
          </w:p>
        </w:tc>
        <w:tc>
          <w:tcPr>
            <w:tcW w:w="8185" w:type="dxa"/>
          </w:tcPr>
          <w:p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rsidR="005D41D7" w:rsidRDefault="005D41D7">
            <w:pPr>
              <w:widowControl/>
              <w:ind w:firstLine="800"/>
              <w:rPr>
                <w:rFonts w:ascii="Times New Roman"/>
                <w:szCs w:val="20"/>
              </w:rPr>
            </w:pPr>
          </w:p>
          <w:p w:rsidR="005D41D7" w:rsidRDefault="009E7C82">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5D41D7" w:rsidTr="00CD4021">
        <w:tc>
          <w:tcPr>
            <w:tcW w:w="1177" w:type="dxa"/>
          </w:tcPr>
          <w:p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8185" w:type="dxa"/>
          </w:tcPr>
          <w:p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rsidTr="00CD4021">
        <w:tc>
          <w:tcPr>
            <w:tcW w:w="1177"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rsidTr="00CD4021">
        <w:tc>
          <w:tcPr>
            <w:tcW w:w="1177" w:type="dxa"/>
          </w:tcPr>
          <w:p w:rsidR="005D41D7" w:rsidRDefault="009E7C82">
            <w:pPr>
              <w:widowControl/>
              <w:rPr>
                <w:rFonts w:ascii="Times New Roman"/>
                <w:szCs w:val="20"/>
              </w:rPr>
            </w:pPr>
            <w:r>
              <w:rPr>
                <w:rFonts w:ascii="Times New Roman" w:hint="eastAsia"/>
                <w:szCs w:val="20"/>
              </w:rPr>
              <w:lastRenderedPageBreak/>
              <w:t>Samsung</w:t>
            </w:r>
          </w:p>
        </w:tc>
        <w:tc>
          <w:tcPr>
            <w:tcW w:w="8185" w:type="dxa"/>
          </w:tcPr>
          <w:p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rsidR="005D41D7" w:rsidRDefault="009E7C82">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5D41D7" w:rsidTr="00CD4021">
        <w:tc>
          <w:tcPr>
            <w:tcW w:w="1177" w:type="dxa"/>
          </w:tcPr>
          <w:p w:rsidR="005D41D7" w:rsidRDefault="009E7C82">
            <w:pPr>
              <w:widowControl/>
              <w:rPr>
                <w:rFonts w:ascii="Times New Roman"/>
                <w:szCs w:val="20"/>
              </w:rPr>
            </w:pPr>
            <w:r>
              <w:rPr>
                <w:rFonts w:ascii="Times New Roman"/>
                <w:szCs w:val="20"/>
              </w:rPr>
              <w:t>Qualcomm</w:t>
            </w:r>
          </w:p>
        </w:tc>
        <w:tc>
          <w:tcPr>
            <w:tcW w:w="8185" w:type="dxa"/>
          </w:tcPr>
          <w:p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rsidTr="00CD4021">
        <w:tc>
          <w:tcPr>
            <w:tcW w:w="1177" w:type="dxa"/>
          </w:tcPr>
          <w:p w:rsidR="005D41D7" w:rsidRDefault="009E7C82">
            <w:pPr>
              <w:widowControl/>
              <w:rPr>
                <w:rFonts w:ascii="Times New Roman"/>
                <w:szCs w:val="20"/>
              </w:rPr>
            </w:pPr>
            <w:r>
              <w:rPr>
                <w:rFonts w:ascii="Times New Roman"/>
                <w:szCs w:val="20"/>
              </w:rPr>
              <w:t>Apple</w:t>
            </w:r>
          </w:p>
        </w:tc>
        <w:tc>
          <w:tcPr>
            <w:tcW w:w="8185" w:type="dxa"/>
          </w:tcPr>
          <w:p w:rsidR="005D41D7" w:rsidRDefault="009E7C82">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rsidR="005D41D7" w:rsidRDefault="005D41D7">
            <w:pPr>
              <w:widowControl/>
              <w:rPr>
                <w:rFonts w:ascii="Times New Roman"/>
                <w:szCs w:val="20"/>
              </w:rPr>
            </w:pPr>
          </w:p>
          <w:p w:rsidR="005D41D7" w:rsidRDefault="009E7C82">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other hand, there is a new LS from RAN2 to RAN1 (R2-2108997): </w:t>
            </w:r>
            <w:proofErr w:type="spellStart"/>
            <w:r>
              <w:rPr>
                <w:rFonts w:ascii="Times New Roman"/>
                <w:szCs w:val="20"/>
              </w:rPr>
              <w:t>Tx</w:t>
            </w:r>
            <w:proofErr w:type="spellEnd"/>
            <w:r>
              <w:rPr>
                <w:rFonts w:ascii="Times New Roman"/>
                <w:szCs w:val="20"/>
              </w:rPr>
              <w:t xml:space="preserve"> UE should select the resources taking into account the active time of the Rx UE. It is open whether RAN1 or RAN2 implement this restriction. Hence, we think the corresponding discussions should be conducted.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5D41D7" w:rsidTr="00CD4021">
        <w:tc>
          <w:tcPr>
            <w:tcW w:w="1177" w:type="dxa"/>
          </w:tcPr>
          <w:p w:rsidR="005D41D7" w:rsidRDefault="009E7C82">
            <w:pPr>
              <w:widowControl/>
              <w:rPr>
                <w:rFonts w:ascii="Times New Roman"/>
                <w:szCs w:val="20"/>
              </w:rPr>
            </w:pPr>
            <w:r>
              <w:rPr>
                <w:rFonts w:ascii="Times New Roman" w:hint="eastAsia"/>
                <w:szCs w:val="20"/>
              </w:rPr>
              <w:t>LGE</w:t>
            </w:r>
          </w:p>
        </w:tc>
        <w:tc>
          <w:tcPr>
            <w:tcW w:w="8185" w:type="dxa"/>
          </w:tcPr>
          <w:p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rsidTr="00CD4021">
        <w:tc>
          <w:tcPr>
            <w:tcW w:w="1177" w:type="dxa"/>
          </w:tcPr>
          <w:p w:rsidR="005D41D7" w:rsidRDefault="009E7C82">
            <w:pPr>
              <w:widowControl/>
              <w:rPr>
                <w:rFonts w:ascii="Times New Roman"/>
                <w:szCs w:val="20"/>
              </w:rPr>
            </w:pPr>
            <w:r>
              <w:rPr>
                <w:rFonts w:ascii="Times New Roman"/>
                <w:szCs w:val="20"/>
              </w:rPr>
              <w:t>vivo</w:t>
            </w:r>
          </w:p>
        </w:tc>
        <w:tc>
          <w:tcPr>
            <w:tcW w:w="8185" w:type="dxa"/>
          </w:tcPr>
          <w:p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rsidTr="00CD4021">
        <w:tc>
          <w:tcPr>
            <w:tcW w:w="1177"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185" w:type="dxa"/>
          </w:tcPr>
          <w:p w:rsidR="005D41D7" w:rsidRDefault="009E7C82">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rsidR="005D41D7" w:rsidRDefault="009E7C82">
            <w:pPr>
              <w:widowControl/>
              <w:rPr>
                <w:rFonts w:ascii="Times New Roman"/>
                <w:szCs w:val="20"/>
              </w:rPr>
            </w:pPr>
            <w:r>
              <w:rPr>
                <w:rFonts w:ascii="Times New Roman" w:eastAsia="SimSun" w:hint="eastAsia"/>
                <w:kern w:val="0"/>
                <w:szCs w:val="20"/>
                <w:lang w:eastAsia="zh-CN"/>
              </w:rPr>
              <w:lastRenderedPageBreak/>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In our opinion</w:t>
            </w:r>
            <w:proofErr w:type="gramStart"/>
            <w:r>
              <w:rPr>
                <w:rFonts w:ascii="Times New Roman" w:eastAsia="SimSun" w:hint="eastAsia"/>
                <w:bCs/>
                <w:lang w:eastAsia="zh-CN"/>
              </w:rPr>
              <w:t xml:space="preserve">,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w:t>
            </w:r>
            <w:proofErr w:type="spellStart"/>
            <w:r>
              <w:rPr>
                <w:rFonts w:ascii="Times New Roman"/>
                <w:bCs/>
                <w:lang w:eastAsia="zh-CN"/>
              </w:rPr>
              <w:t>Tx</w:t>
            </w:r>
            <w:proofErr w:type="spellEnd"/>
            <w:r>
              <w:rPr>
                <w:rFonts w:ascii="Times New Roman"/>
                <w:bCs/>
                <w:lang w:eastAsia="zh-CN"/>
              </w:rPr>
              <w:t xml:space="preserve">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rsidTr="00CD4021">
        <w:tc>
          <w:tcPr>
            <w:tcW w:w="1177" w:type="dxa"/>
          </w:tcPr>
          <w:p w:rsidR="00CD4021" w:rsidRDefault="00CD4021" w:rsidP="0038596C">
            <w:pPr>
              <w:widowControl/>
              <w:rPr>
                <w:rFonts w:ascii="Times New Roman"/>
                <w:szCs w:val="20"/>
              </w:rPr>
            </w:pPr>
            <w:r>
              <w:rPr>
                <w:rFonts w:ascii="Times New Roman"/>
                <w:szCs w:val="20"/>
              </w:rPr>
              <w:lastRenderedPageBreak/>
              <w:t>NTT DOCOMO</w:t>
            </w:r>
          </w:p>
        </w:tc>
        <w:tc>
          <w:tcPr>
            <w:tcW w:w="8185" w:type="dxa"/>
          </w:tcPr>
          <w:p w:rsidR="00CD4021" w:rsidRDefault="00CD4021" w:rsidP="0038596C">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rsidR="00CD4021" w:rsidRDefault="00CD4021" w:rsidP="0038596C">
            <w:pPr>
              <w:widowControl/>
              <w:rPr>
                <w:rFonts w:ascii="Times New Roman"/>
                <w:szCs w:val="20"/>
              </w:rPr>
            </w:pPr>
            <w:r>
              <w:rPr>
                <w:rFonts w:ascii="Times New Roman"/>
                <w:szCs w:val="20"/>
              </w:rPr>
              <w:t xml:space="preserve">On DRX, it is unclear for us what </w:t>
            </w:r>
            <w:proofErr w:type="gramStart"/>
            <w:r>
              <w:rPr>
                <w:rFonts w:ascii="Times New Roman"/>
                <w:szCs w:val="20"/>
              </w:rPr>
              <w:t>is the intention of the suggestion</w:t>
            </w:r>
            <w:proofErr w:type="gramEnd"/>
            <w:r>
              <w:rPr>
                <w:rFonts w:ascii="Times New Roman"/>
                <w:szCs w:val="20"/>
              </w:rPr>
              <w:t>. Rather, the guidance might lead to confusions and more discussions... At the last meeting, we had progress on DRX, and in this meeting, subsequent and last agreement is expected. We do not see some issue here.</w:t>
            </w:r>
          </w:p>
        </w:tc>
      </w:tr>
      <w:tr w:rsidR="00102F75" w:rsidTr="00CD4021">
        <w:tc>
          <w:tcPr>
            <w:tcW w:w="1177" w:type="dxa"/>
          </w:tcPr>
          <w:p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8185" w:type="dxa"/>
          </w:tcPr>
          <w:p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 xml:space="preserve">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rsidTr="00CD4021">
        <w:tc>
          <w:tcPr>
            <w:tcW w:w="1177" w:type="dxa"/>
          </w:tcPr>
          <w:p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8185" w:type="dxa"/>
          </w:tcPr>
          <w:p w:rsidR="009C3C4B" w:rsidRDefault="00E64B40" w:rsidP="00E64B4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rsidTr="00CD4021">
        <w:tc>
          <w:tcPr>
            <w:tcW w:w="1177" w:type="dxa"/>
          </w:tcPr>
          <w:p w:rsidR="00D97E3B" w:rsidRDefault="00D97E3B" w:rsidP="00D97E3B">
            <w:pPr>
              <w:widowControl/>
              <w:rPr>
                <w:rFonts w:ascii="Times New Roman"/>
                <w:szCs w:val="20"/>
              </w:rPr>
            </w:pPr>
            <w:bookmarkStart w:id="2" w:name="_GoBack" w:colFirst="0" w:colLast="0"/>
            <w:r>
              <w:rPr>
                <w:rFonts w:ascii="Times New Roman"/>
                <w:szCs w:val="20"/>
              </w:rPr>
              <w:t>MediaTek</w:t>
            </w:r>
          </w:p>
        </w:tc>
        <w:tc>
          <w:tcPr>
            <w:tcW w:w="8185" w:type="dxa"/>
          </w:tcPr>
          <w:p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rsidR="00D97E3B" w:rsidRDefault="00D97E3B" w:rsidP="00D97E3B">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bookmarkEnd w:id="2"/>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CF5" w:rsidRDefault="00AE2CF5">
      <w:pPr>
        <w:spacing w:after="0" w:line="240" w:lineRule="auto"/>
      </w:pPr>
      <w:r>
        <w:separator/>
      </w:r>
    </w:p>
  </w:endnote>
  <w:endnote w:type="continuationSeparator" w:id="0">
    <w:p w:rsidR="00AE2CF5" w:rsidRDefault="00AE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橙胨ĝ"/>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Microsoft YaHei"/>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D7" w:rsidRDefault="009E7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41D7" w:rsidRDefault="005D4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D7" w:rsidRDefault="009E7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7E3B">
      <w:rPr>
        <w:rStyle w:val="PageNumber"/>
        <w:noProof/>
      </w:rPr>
      <w:t>9</w:t>
    </w:r>
    <w:r>
      <w:rPr>
        <w:rStyle w:val="PageNumber"/>
      </w:rPr>
      <w:fldChar w:fldCharType="end"/>
    </w:r>
  </w:p>
  <w:p w:rsidR="005D41D7" w:rsidRDefault="005D4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CF5" w:rsidRDefault="00AE2CF5">
      <w:pPr>
        <w:spacing w:after="0" w:line="240" w:lineRule="auto"/>
      </w:pPr>
      <w:r>
        <w:separator/>
      </w:r>
    </w:p>
  </w:footnote>
  <w:footnote w:type="continuationSeparator" w:id="0">
    <w:p w:rsidR="00AE2CF5" w:rsidRDefault="00AE2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BE91F-D195-4E76-8D68-5541B2FD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4744</Words>
  <Characters>27045</Characters>
  <Application>Microsoft Office Word</Application>
  <DocSecurity>0</DocSecurity>
  <Lines>225</Lines>
  <Paragraphs>63</Paragraphs>
  <ScaleCrop>false</ScaleCrop>
  <Company>LGE</Company>
  <LinksUpToDate>false</LinksUpToDate>
  <CharactersWithSpaces>31726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MediaTek (Nathan)</cp:lastModifiedBy>
  <cp:revision>2</cp:revision>
  <cp:lastPrinted>2014-01-26T05:26:00Z</cp:lastPrinted>
  <dcterms:created xsi:type="dcterms:W3CDTF">2021-09-14T06:35:00Z</dcterms:created>
  <dcterms:modified xsi:type="dcterms:W3CDTF">2021-09-14T06:35:00Z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