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3F8" w:rsidRPr="00213076" w:rsidRDefault="007302E3" w:rsidP="007302E3">
      <w:pPr>
        <w:spacing w:after="0"/>
        <w:rPr>
          <w:rFonts w:ascii="Arial" w:hAnsi="Arial" w:cs="Arial"/>
          <w:b/>
          <w:sz w:val="24"/>
          <w:szCs w:val="24"/>
        </w:rPr>
      </w:pPr>
      <w:r w:rsidRPr="00213076">
        <w:rPr>
          <w:rFonts w:ascii="Arial" w:hAnsi="Arial" w:cs="Arial"/>
          <w:b/>
          <w:sz w:val="24"/>
          <w:szCs w:val="24"/>
        </w:rPr>
        <w:t>3GPP TSG RAN#9</w:t>
      </w:r>
      <w:r w:rsidR="00CC284C" w:rsidRPr="00213076">
        <w:rPr>
          <w:rFonts w:ascii="Arial" w:hAnsi="Arial" w:cs="Arial"/>
          <w:b/>
          <w:sz w:val="24"/>
          <w:szCs w:val="24"/>
        </w:rPr>
        <w:t>2</w:t>
      </w:r>
      <w:r w:rsidRPr="00213076">
        <w:rPr>
          <w:rFonts w:ascii="Arial" w:hAnsi="Arial" w:cs="Arial"/>
          <w:b/>
          <w:sz w:val="24"/>
          <w:szCs w:val="24"/>
        </w:rPr>
        <w:t>-e meeting</w:t>
      </w:r>
      <w:r w:rsidRPr="00213076">
        <w:rPr>
          <w:rFonts w:ascii="Arial" w:hAnsi="Arial" w:cs="Arial"/>
          <w:b/>
          <w:sz w:val="24"/>
          <w:szCs w:val="24"/>
        </w:rPr>
        <w:tab/>
      </w:r>
      <w:r w:rsidRPr="00213076">
        <w:rPr>
          <w:rFonts w:ascii="Arial" w:hAnsi="Arial" w:cs="Arial"/>
          <w:b/>
          <w:sz w:val="24"/>
          <w:szCs w:val="24"/>
        </w:rPr>
        <w:tab/>
      </w:r>
      <w:r w:rsidRPr="00213076">
        <w:rPr>
          <w:rFonts w:ascii="Arial" w:hAnsi="Arial" w:cs="Arial"/>
          <w:b/>
          <w:sz w:val="24"/>
          <w:szCs w:val="24"/>
        </w:rPr>
        <w:tab/>
      </w:r>
      <w:r w:rsidRPr="00213076">
        <w:rPr>
          <w:rFonts w:ascii="Arial" w:hAnsi="Arial" w:cs="Arial"/>
          <w:b/>
          <w:sz w:val="24"/>
          <w:szCs w:val="24"/>
        </w:rPr>
        <w:tab/>
      </w:r>
      <w:r w:rsidRPr="00213076">
        <w:rPr>
          <w:rFonts w:ascii="Arial" w:hAnsi="Arial" w:cs="Arial"/>
          <w:b/>
          <w:sz w:val="24"/>
          <w:szCs w:val="24"/>
        </w:rPr>
        <w:tab/>
      </w:r>
      <w:r w:rsidR="005B0E71" w:rsidRPr="00213076">
        <w:rPr>
          <w:rFonts w:ascii="Arial" w:hAnsi="Arial" w:cs="Arial"/>
          <w:b/>
          <w:sz w:val="24"/>
          <w:szCs w:val="24"/>
        </w:rPr>
        <w:tab/>
      </w:r>
      <w:r w:rsidR="00E77518" w:rsidRPr="00213076">
        <w:rPr>
          <w:rFonts w:ascii="Arial" w:hAnsi="Arial" w:cs="Arial"/>
          <w:b/>
          <w:sz w:val="24"/>
          <w:szCs w:val="24"/>
        </w:rPr>
        <w:tab/>
      </w:r>
      <w:r w:rsidR="00E77518" w:rsidRPr="00213076">
        <w:rPr>
          <w:rFonts w:ascii="Arial" w:hAnsi="Arial" w:cs="Arial"/>
          <w:b/>
          <w:sz w:val="24"/>
          <w:szCs w:val="24"/>
        </w:rPr>
        <w:tab/>
      </w:r>
      <w:r w:rsidR="005B0E71" w:rsidRPr="00213076">
        <w:rPr>
          <w:rFonts w:ascii="Arial" w:hAnsi="Arial" w:cs="Arial"/>
          <w:b/>
          <w:sz w:val="24"/>
          <w:szCs w:val="24"/>
        </w:rPr>
        <w:t xml:space="preserve">      </w:t>
      </w:r>
      <w:r w:rsidR="00A45BA4" w:rsidRPr="00213076">
        <w:rPr>
          <w:rFonts w:ascii="Arial" w:hAnsi="Arial" w:cs="Arial"/>
          <w:b/>
          <w:sz w:val="24"/>
          <w:szCs w:val="16"/>
        </w:rPr>
        <w:t>RP-211463</w:t>
      </w:r>
    </w:p>
    <w:p w:rsidR="007302E3" w:rsidRPr="00213076" w:rsidRDefault="005B0E71">
      <w:pPr>
        <w:rPr>
          <w:rFonts w:ascii="Arial" w:hAnsi="Arial" w:cs="Arial"/>
          <w:b/>
          <w:sz w:val="24"/>
          <w:szCs w:val="24"/>
        </w:rPr>
      </w:pPr>
      <w:r w:rsidRPr="00213076">
        <w:rPr>
          <w:rFonts w:ascii="Arial" w:hAnsi="Arial" w:cs="Arial"/>
          <w:b/>
          <w:sz w:val="24"/>
          <w:szCs w:val="24"/>
        </w:rPr>
        <w:t>Electronic meeting</w:t>
      </w:r>
      <w:r w:rsidR="007302E3" w:rsidRPr="00213076">
        <w:rPr>
          <w:rFonts w:ascii="Arial" w:hAnsi="Arial" w:cs="Arial"/>
          <w:b/>
          <w:sz w:val="24"/>
          <w:szCs w:val="24"/>
        </w:rPr>
        <w:t>, 1</w:t>
      </w:r>
      <w:r w:rsidR="002353E6" w:rsidRPr="00213076">
        <w:rPr>
          <w:rFonts w:ascii="Arial" w:hAnsi="Arial" w:cs="Arial"/>
          <w:b/>
          <w:sz w:val="24"/>
          <w:szCs w:val="24"/>
        </w:rPr>
        <w:t>4</w:t>
      </w:r>
      <w:r w:rsidR="007302E3" w:rsidRPr="00213076">
        <w:rPr>
          <w:rFonts w:ascii="Arial" w:hAnsi="Arial" w:cs="Arial"/>
          <w:b/>
          <w:sz w:val="24"/>
          <w:szCs w:val="24"/>
          <w:vertAlign w:val="superscript"/>
        </w:rPr>
        <w:t>th</w:t>
      </w:r>
      <w:r w:rsidR="007302E3" w:rsidRPr="00213076">
        <w:rPr>
          <w:rFonts w:ascii="Arial" w:hAnsi="Arial" w:cs="Arial"/>
          <w:b/>
          <w:sz w:val="24"/>
          <w:szCs w:val="24"/>
        </w:rPr>
        <w:t xml:space="preserve"> – </w:t>
      </w:r>
      <w:r w:rsidR="002353E6" w:rsidRPr="00213076">
        <w:rPr>
          <w:rFonts w:ascii="Arial" w:hAnsi="Arial" w:cs="Arial"/>
          <w:b/>
          <w:sz w:val="24"/>
          <w:szCs w:val="24"/>
        </w:rPr>
        <w:t>18</w:t>
      </w:r>
      <w:r w:rsidR="007302E3" w:rsidRPr="00213076">
        <w:rPr>
          <w:rFonts w:ascii="Arial" w:hAnsi="Arial" w:cs="Arial"/>
          <w:b/>
          <w:sz w:val="24"/>
          <w:szCs w:val="24"/>
          <w:vertAlign w:val="superscript"/>
        </w:rPr>
        <w:t>th</w:t>
      </w:r>
      <w:r w:rsidR="007302E3" w:rsidRPr="00213076">
        <w:rPr>
          <w:rFonts w:ascii="Arial" w:hAnsi="Arial" w:cs="Arial"/>
          <w:b/>
          <w:sz w:val="24"/>
          <w:szCs w:val="24"/>
        </w:rPr>
        <w:t xml:space="preserve"> </w:t>
      </w:r>
      <w:r w:rsidR="002353E6" w:rsidRPr="00213076">
        <w:rPr>
          <w:rFonts w:ascii="Arial" w:hAnsi="Arial" w:cs="Arial"/>
          <w:b/>
          <w:sz w:val="24"/>
          <w:szCs w:val="24"/>
        </w:rPr>
        <w:t>June</w:t>
      </w:r>
      <w:r w:rsidR="007302E3" w:rsidRPr="00213076">
        <w:rPr>
          <w:rFonts w:ascii="Arial" w:hAnsi="Arial" w:cs="Arial"/>
          <w:b/>
          <w:sz w:val="24"/>
          <w:szCs w:val="24"/>
        </w:rPr>
        <w:t>, 2021</w:t>
      </w:r>
    </w:p>
    <w:p w:rsidR="007302E3" w:rsidRPr="00213076" w:rsidRDefault="007302E3">
      <w:pPr>
        <w:rPr>
          <w:rFonts w:ascii="Arial" w:hAnsi="Arial" w:cs="Arial"/>
          <w:b/>
          <w:sz w:val="24"/>
          <w:szCs w:val="24"/>
        </w:rPr>
      </w:pPr>
    </w:p>
    <w:p w:rsidR="007302E3" w:rsidRPr="00213076" w:rsidRDefault="003D34C7" w:rsidP="005B0E71">
      <w:pPr>
        <w:spacing w:after="0"/>
        <w:rPr>
          <w:rFonts w:ascii="Arial" w:hAnsi="Arial" w:cs="Arial"/>
          <w:b/>
          <w:sz w:val="24"/>
          <w:szCs w:val="24"/>
        </w:rPr>
      </w:pPr>
      <w:r w:rsidRPr="00213076">
        <w:rPr>
          <w:rFonts w:ascii="Arial" w:hAnsi="Arial" w:cs="Arial"/>
          <w:b/>
          <w:sz w:val="24"/>
          <w:szCs w:val="24"/>
        </w:rPr>
        <w:t>Title:</w:t>
      </w:r>
      <w:r w:rsidRPr="00213076">
        <w:rPr>
          <w:rFonts w:ascii="Arial" w:hAnsi="Arial" w:cs="Arial"/>
          <w:b/>
          <w:sz w:val="24"/>
          <w:szCs w:val="24"/>
        </w:rPr>
        <w:tab/>
      </w:r>
      <w:r w:rsidRPr="00213076">
        <w:rPr>
          <w:rFonts w:ascii="Arial" w:hAnsi="Arial" w:cs="Arial"/>
          <w:b/>
          <w:sz w:val="24"/>
          <w:szCs w:val="24"/>
        </w:rPr>
        <w:tab/>
      </w:r>
      <w:r w:rsidR="00A45BA4" w:rsidRPr="00213076">
        <w:rPr>
          <w:rFonts w:ascii="Arial" w:hAnsi="Arial" w:cs="Arial"/>
          <w:b/>
          <w:sz w:val="24"/>
          <w:szCs w:val="24"/>
        </w:rPr>
        <w:tab/>
      </w:r>
      <w:proofErr w:type="spellStart"/>
      <w:r w:rsidR="002353E6" w:rsidRPr="00213076">
        <w:rPr>
          <w:rFonts w:ascii="Arial" w:hAnsi="Arial" w:cs="Arial"/>
          <w:b/>
          <w:sz w:val="24"/>
          <w:szCs w:val="24"/>
        </w:rPr>
        <w:t>feMIMO</w:t>
      </w:r>
      <w:proofErr w:type="spellEnd"/>
      <w:r w:rsidR="002353E6" w:rsidRPr="00213076">
        <w:rPr>
          <w:rFonts w:ascii="Arial" w:hAnsi="Arial" w:cs="Arial"/>
          <w:b/>
          <w:sz w:val="24"/>
          <w:szCs w:val="24"/>
        </w:rPr>
        <w:t xml:space="preserve"> mobility aspects</w:t>
      </w:r>
    </w:p>
    <w:p w:rsidR="007302E3" w:rsidRPr="00213076" w:rsidRDefault="007302E3" w:rsidP="005B0E71">
      <w:pPr>
        <w:spacing w:after="0"/>
        <w:rPr>
          <w:rFonts w:ascii="Arial" w:hAnsi="Arial" w:cs="Arial"/>
          <w:b/>
          <w:sz w:val="24"/>
          <w:szCs w:val="24"/>
        </w:rPr>
      </w:pPr>
      <w:r w:rsidRPr="00213076">
        <w:rPr>
          <w:rFonts w:ascii="Arial" w:hAnsi="Arial" w:cs="Arial"/>
          <w:b/>
          <w:sz w:val="24"/>
          <w:szCs w:val="24"/>
        </w:rPr>
        <w:t>Source:</w:t>
      </w:r>
      <w:r w:rsidRPr="00213076">
        <w:rPr>
          <w:rFonts w:ascii="Arial" w:hAnsi="Arial" w:cs="Arial"/>
          <w:b/>
          <w:sz w:val="24"/>
          <w:szCs w:val="24"/>
        </w:rPr>
        <w:tab/>
      </w:r>
      <w:r w:rsidRPr="00213076">
        <w:rPr>
          <w:rFonts w:ascii="Arial" w:hAnsi="Arial" w:cs="Arial"/>
          <w:b/>
          <w:sz w:val="24"/>
          <w:szCs w:val="24"/>
        </w:rPr>
        <w:tab/>
      </w:r>
      <w:r w:rsidR="00A45BA4" w:rsidRPr="00213076">
        <w:rPr>
          <w:rFonts w:ascii="Arial" w:hAnsi="Arial" w:cs="Arial"/>
          <w:b/>
          <w:sz w:val="24"/>
          <w:szCs w:val="24"/>
        </w:rPr>
        <w:tab/>
      </w:r>
      <w:proofErr w:type="spellStart"/>
      <w:r w:rsidR="00213076" w:rsidRPr="00213076">
        <w:rPr>
          <w:rFonts w:ascii="Arial" w:hAnsi="Arial" w:cs="Arial"/>
          <w:b/>
          <w:sz w:val="24"/>
          <w:szCs w:val="24"/>
        </w:rPr>
        <w:t>MediaT</w:t>
      </w:r>
      <w:r w:rsidRPr="00213076">
        <w:rPr>
          <w:rFonts w:ascii="Arial" w:hAnsi="Arial" w:cs="Arial"/>
          <w:b/>
          <w:sz w:val="24"/>
          <w:szCs w:val="24"/>
        </w:rPr>
        <w:t>ek</w:t>
      </w:r>
      <w:proofErr w:type="spellEnd"/>
      <w:r w:rsidR="005B0E71" w:rsidRPr="00213076">
        <w:rPr>
          <w:rFonts w:ascii="Arial" w:hAnsi="Arial" w:cs="Arial"/>
          <w:b/>
          <w:sz w:val="24"/>
          <w:szCs w:val="24"/>
        </w:rPr>
        <w:t xml:space="preserve"> Inc.</w:t>
      </w:r>
    </w:p>
    <w:p w:rsidR="007302E3" w:rsidRPr="00213076" w:rsidRDefault="005B0E71" w:rsidP="005B0E71">
      <w:pPr>
        <w:spacing w:after="0"/>
        <w:rPr>
          <w:rFonts w:ascii="Arial" w:hAnsi="Arial" w:cs="Arial"/>
          <w:b/>
          <w:sz w:val="24"/>
          <w:szCs w:val="24"/>
        </w:rPr>
      </w:pPr>
      <w:r w:rsidRPr="00213076">
        <w:rPr>
          <w:rFonts w:ascii="Arial" w:hAnsi="Arial" w:cs="Arial"/>
          <w:b/>
          <w:sz w:val="24"/>
          <w:szCs w:val="24"/>
        </w:rPr>
        <w:t>Agenda item:</w:t>
      </w:r>
      <w:r w:rsidRPr="00213076">
        <w:rPr>
          <w:rFonts w:ascii="Arial" w:hAnsi="Arial" w:cs="Arial"/>
          <w:b/>
          <w:sz w:val="24"/>
          <w:szCs w:val="24"/>
        </w:rPr>
        <w:tab/>
      </w:r>
      <w:r w:rsidR="00A45BA4" w:rsidRPr="00213076">
        <w:rPr>
          <w:rFonts w:ascii="Arial" w:hAnsi="Arial" w:cs="Arial"/>
          <w:b/>
          <w:sz w:val="24"/>
          <w:szCs w:val="24"/>
        </w:rPr>
        <w:tab/>
        <w:t>9.7.1.1</w:t>
      </w:r>
    </w:p>
    <w:p w:rsidR="007302E3" w:rsidRPr="00213076" w:rsidRDefault="007302E3" w:rsidP="005B0E71">
      <w:pPr>
        <w:pBdr>
          <w:bottom w:val="single" w:sz="6" w:space="1" w:color="auto"/>
        </w:pBdr>
        <w:spacing w:after="0"/>
        <w:rPr>
          <w:rFonts w:ascii="Arial" w:hAnsi="Arial" w:cs="Arial"/>
          <w:b/>
          <w:sz w:val="24"/>
          <w:szCs w:val="24"/>
        </w:rPr>
      </w:pPr>
      <w:r w:rsidRPr="00213076">
        <w:rPr>
          <w:rFonts w:ascii="Arial" w:hAnsi="Arial" w:cs="Arial"/>
          <w:b/>
          <w:sz w:val="24"/>
          <w:szCs w:val="24"/>
        </w:rPr>
        <w:t>For:</w:t>
      </w:r>
      <w:r w:rsidRPr="00213076">
        <w:rPr>
          <w:rFonts w:ascii="Arial" w:hAnsi="Arial" w:cs="Arial"/>
          <w:b/>
          <w:sz w:val="24"/>
          <w:szCs w:val="24"/>
        </w:rPr>
        <w:tab/>
      </w:r>
      <w:r w:rsidRPr="00213076">
        <w:rPr>
          <w:rFonts w:ascii="Arial" w:hAnsi="Arial" w:cs="Arial"/>
          <w:b/>
          <w:sz w:val="24"/>
          <w:szCs w:val="24"/>
        </w:rPr>
        <w:tab/>
      </w:r>
      <w:r w:rsidRPr="00213076">
        <w:rPr>
          <w:rFonts w:ascii="Arial" w:hAnsi="Arial" w:cs="Arial"/>
          <w:b/>
          <w:sz w:val="24"/>
          <w:szCs w:val="24"/>
        </w:rPr>
        <w:tab/>
      </w:r>
      <w:r w:rsidR="00A45BA4" w:rsidRPr="00213076">
        <w:rPr>
          <w:rFonts w:ascii="Arial" w:hAnsi="Arial" w:cs="Arial"/>
          <w:b/>
          <w:sz w:val="24"/>
          <w:szCs w:val="24"/>
        </w:rPr>
        <w:tab/>
      </w:r>
      <w:r w:rsidRPr="00213076">
        <w:rPr>
          <w:rFonts w:ascii="Arial" w:hAnsi="Arial" w:cs="Arial"/>
          <w:b/>
          <w:sz w:val="24"/>
          <w:szCs w:val="24"/>
        </w:rPr>
        <w:t>Discussion</w:t>
      </w:r>
    </w:p>
    <w:p w:rsidR="007302E3" w:rsidRPr="007302E3" w:rsidRDefault="007302E3">
      <w:pPr>
        <w:pBdr>
          <w:bottom w:val="single" w:sz="6" w:space="1" w:color="auto"/>
        </w:pBdr>
        <w:rPr>
          <w:rFonts w:ascii="Arial" w:hAnsi="Arial" w:cs="Arial"/>
        </w:rPr>
      </w:pPr>
    </w:p>
    <w:p w:rsidR="007302E3" w:rsidRPr="005B0E71" w:rsidRDefault="007302E3" w:rsidP="007302E3">
      <w:pPr>
        <w:pStyle w:val="3GPPHeader1"/>
        <w:rPr>
          <w:sz w:val="32"/>
        </w:rPr>
      </w:pPr>
      <w:r w:rsidRPr="005B0E71">
        <w:rPr>
          <w:sz w:val="32"/>
        </w:rPr>
        <w:t>Introduction</w:t>
      </w:r>
    </w:p>
    <w:p w:rsidR="00CC284C" w:rsidRPr="007302E3" w:rsidRDefault="002353E6" w:rsidP="001C3650">
      <w:pPr>
        <w:spacing w:after="240"/>
        <w:jc w:val="both"/>
        <w:rPr>
          <w:rFonts w:ascii="Times New Roman" w:hAnsi="Times New Roman" w:cs="Times New Roman"/>
          <w:sz w:val="20"/>
        </w:rPr>
      </w:pPr>
      <w:r>
        <w:rPr>
          <w:rFonts w:ascii="Times New Roman" w:hAnsi="Times New Roman" w:cs="Times New Roman"/>
          <w:sz w:val="20"/>
        </w:rPr>
        <w:t xml:space="preserve">This document highlights the need for common understanding and scope clarification to allow efficient progress of </w:t>
      </w:r>
      <w:proofErr w:type="spellStart"/>
      <w:r>
        <w:rPr>
          <w:rFonts w:ascii="Times New Roman" w:hAnsi="Times New Roman" w:cs="Times New Roman"/>
          <w:sz w:val="20"/>
        </w:rPr>
        <w:t>feMIMO</w:t>
      </w:r>
      <w:proofErr w:type="spellEnd"/>
      <w:r>
        <w:rPr>
          <w:rFonts w:ascii="Times New Roman" w:hAnsi="Times New Roman" w:cs="Times New Roman"/>
          <w:sz w:val="20"/>
        </w:rPr>
        <w:t xml:space="preserve"> L1/2 centric inter-cell mobility</w:t>
      </w:r>
      <w:r w:rsidR="00213076">
        <w:rPr>
          <w:rFonts w:ascii="Times New Roman" w:hAnsi="Times New Roman" w:cs="Times New Roman"/>
          <w:sz w:val="20"/>
        </w:rPr>
        <w:t xml:space="preserve"> aspects</w:t>
      </w:r>
      <w:r>
        <w:rPr>
          <w:rFonts w:ascii="Times New Roman" w:hAnsi="Times New Roman" w:cs="Times New Roman"/>
          <w:sz w:val="20"/>
        </w:rPr>
        <w:t xml:space="preserve"> across RAN WGs, and makes some </w:t>
      </w:r>
      <w:r w:rsidR="00AF3EF8">
        <w:rPr>
          <w:rFonts w:ascii="Times New Roman" w:hAnsi="Times New Roman" w:cs="Times New Roman"/>
          <w:sz w:val="20"/>
        </w:rPr>
        <w:t xml:space="preserve">proposals </w:t>
      </w:r>
      <w:r>
        <w:rPr>
          <w:rFonts w:ascii="Times New Roman" w:hAnsi="Times New Roman" w:cs="Times New Roman"/>
          <w:sz w:val="20"/>
        </w:rPr>
        <w:t>for endorsement at RAN#92-e.</w:t>
      </w:r>
    </w:p>
    <w:p w:rsidR="007302E3" w:rsidRPr="005B0E71" w:rsidRDefault="007302E3" w:rsidP="00A25187">
      <w:pPr>
        <w:pStyle w:val="3GPPHeader1"/>
        <w:rPr>
          <w:sz w:val="32"/>
        </w:rPr>
      </w:pPr>
      <w:r w:rsidRPr="005B0E71">
        <w:rPr>
          <w:sz w:val="32"/>
        </w:rPr>
        <w:t xml:space="preserve"> </w:t>
      </w:r>
      <w:r w:rsidR="002353E6">
        <w:rPr>
          <w:sz w:val="32"/>
        </w:rPr>
        <w:t>High level status of RAN2 discussion</w:t>
      </w:r>
    </w:p>
    <w:p w:rsidR="001226F1" w:rsidRPr="002353E6" w:rsidRDefault="001C040D" w:rsidP="00213076">
      <w:pPr>
        <w:tabs>
          <w:tab w:val="num" w:pos="720"/>
        </w:tabs>
        <w:spacing w:after="120"/>
        <w:jc w:val="both"/>
        <w:rPr>
          <w:rFonts w:ascii="Times New Roman" w:hAnsi="Times New Roman" w:cs="Times New Roman"/>
          <w:sz w:val="20"/>
          <w:szCs w:val="20"/>
        </w:rPr>
      </w:pPr>
      <w:r w:rsidRPr="002353E6">
        <w:rPr>
          <w:rFonts w:ascii="Times New Roman" w:hAnsi="Times New Roman" w:cs="Times New Roman"/>
          <w:sz w:val="20"/>
          <w:szCs w:val="20"/>
          <w:lang w:val="en-US"/>
        </w:rPr>
        <w:t xml:space="preserve">As agreed at RAN#91e, RAN2 allocated email discussion and 0.5TU to progress </w:t>
      </w:r>
      <w:proofErr w:type="spellStart"/>
      <w:r w:rsidRPr="002353E6">
        <w:rPr>
          <w:rFonts w:ascii="Times New Roman" w:hAnsi="Times New Roman" w:cs="Times New Roman"/>
          <w:sz w:val="20"/>
          <w:szCs w:val="20"/>
          <w:lang w:val="en-US"/>
        </w:rPr>
        <w:t>feMIMO</w:t>
      </w:r>
      <w:proofErr w:type="spellEnd"/>
      <w:r w:rsidRPr="002353E6">
        <w:rPr>
          <w:rFonts w:ascii="Times New Roman" w:hAnsi="Times New Roman" w:cs="Times New Roman"/>
          <w:sz w:val="20"/>
          <w:szCs w:val="20"/>
          <w:lang w:val="en-US"/>
        </w:rPr>
        <w:t xml:space="preserve"> during Q2</w:t>
      </w:r>
      <w:r w:rsidR="002353E6">
        <w:rPr>
          <w:rFonts w:ascii="Times New Roman" w:hAnsi="Times New Roman" w:cs="Times New Roman"/>
          <w:sz w:val="20"/>
          <w:szCs w:val="20"/>
          <w:lang w:val="en-US"/>
        </w:rPr>
        <w:t>.</w:t>
      </w:r>
      <w:r w:rsidR="00AF3EF8">
        <w:rPr>
          <w:rFonts w:ascii="Times New Roman" w:hAnsi="Times New Roman" w:cs="Times New Roman"/>
          <w:sz w:val="20"/>
          <w:szCs w:val="20"/>
          <w:lang w:val="en-US"/>
        </w:rPr>
        <w:t xml:space="preserve"> </w:t>
      </w:r>
      <w:r w:rsidRPr="002353E6">
        <w:rPr>
          <w:rFonts w:ascii="Times New Roman" w:hAnsi="Times New Roman" w:cs="Times New Roman"/>
          <w:sz w:val="20"/>
          <w:szCs w:val="20"/>
          <w:lang w:val="en-US"/>
        </w:rPr>
        <w:t>On the L1/2 centric inte</w:t>
      </w:r>
      <w:r w:rsidR="002353E6">
        <w:rPr>
          <w:rFonts w:ascii="Times New Roman" w:hAnsi="Times New Roman" w:cs="Times New Roman"/>
          <w:sz w:val="20"/>
          <w:szCs w:val="20"/>
          <w:lang w:val="en-US"/>
        </w:rPr>
        <w:t>r-cell mobility, there was a lot of</w:t>
      </w:r>
      <w:r w:rsidRPr="002353E6">
        <w:rPr>
          <w:rFonts w:ascii="Times New Roman" w:hAnsi="Times New Roman" w:cs="Times New Roman"/>
          <w:sz w:val="20"/>
          <w:szCs w:val="20"/>
          <w:lang w:val="en-US"/>
        </w:rPr>
        <w:t xml:space="preserve"> discussion on the LS in R2-2102627/R1-2102248</w:t>
      </w:r>
      <w:r w:rsidR="00AF3EF8">
        <w:rPr>
          <w:rFonts w:ascii="Times New Roman" w:hAnsi="Times New Roman" w:cs="Times New Roman"/>
          <w:sz w:val="20"/>
          <w:szCs w:val="20"/>
          <w:lang w:val="en-US"/>
        </w:rPr>
        <w:t xml:space="preserve"> [1]</w:t>
      </w:r>
      <w:r w:rsidRPr="002353E6">
        <w:rPr>
          <w:rFonts w:ascii="Times New Roman" w:hAnsi="Times New Roman" w:cs="Times New Roman"/>
          <w:sz w:val="20"/>
          <w:szCs w:val="20"/>
          <w:lang w:val="en-US"/>
        </w:rPr>
        <w:t>.</w:t>
      </w:r>
    </w:p>
    <w:p w:rsidR="00CC284C" w:rsidRPr="00AF3EF8" w:rsidRDefault="001C040D" w:rsidP="00213076">
      <w:pPr>
        <w:tabs>
          <w:tab w:val="num" w:pos="720"/>
        </w:tabs>
        <w:spacing w:after="240"/>
        <w:jc w:val="both"/>
        <w:rPr>
          <w:rFonts w:ascii="Times New Roman" w:hAnsi="Times New Roman" w:cs="Times New Roman"/>
          <w:sz w:val="20"/>
          <w:szCs w:val="20"/>
        </w:rPr>
      </w:pPr>
      <w:r w:rsidRPr="002353E6">
        <w:rPr>
          <w:rFonts w:ascii="Times New Roman" w:hAnsi="Times New Roman" w:cs="Times New Roman"/>
          <w:sz w:val="20"/>
          <w:szCs w:val="20"/>
          <w:lang w:val="en-US"/>
        </w:rPr>
        <w:t>Further alignment is required between RAN1 and RAN2 to ensure efficient discussions on the L1/2 mobility aspects moving forward, and some of these aspects were conveyed in an LS reply to RAN1 in</w:t>
      </w:r>
      <w:r w:rsidR="00AF3EF8">
        <w:rPr>
          <w:rFonts w:ascii="Times New Roman" w:hAnsi="Times New Roman" w:cs="Times New Roman"/>
          <w:sz w:val="20"/>
          <w:szCs w:val="20"/>
          <w:lang w:val="en-US"/>
        </w:rPr>
        <w:t xml:space="preserve"> </w:t>
      </w:r>
      <w:r w:rsidRPr="002353E6">
        <w:rPr>
          <w:rFonts w:ascii="Times New Roman" w:hAnsi="Times New Roman" w:cs="Times New Roman"/>
          <w:sz w:val="20"/>
          <w:szCs w:val="20"/>
          <w:lang w:val="en-US"/>
        </w:rPr>
        <w:t>R2-2106787</w:t>
      </w:r>
      <w:r w:rsidR="00AF3EF8">
        <w:rPr>
          <w:rFonts w:ascii="Times New Roman" w:hAnsi="Times New Roman" w:cs="Times New Roman"/>
          <w:sz w:val="20"/>
          <w:szCs w:val="20"/>
          <w:lang w:val="en-US"/>
        </w:rPr>
        <w:t xml:space="preserve"> [2]</w:t>
      </w:r>
      <w:r w:rsidR="002353E6">
        <w:rPr>
          <w:rFonts w:ascii="Times New Roman" w:hAnsi="Times New Roman" w:cs="Times New Roman"/>
          <w:sz w:val="20"/>
          <w:szCs w:val="20"/>
          <w:lang w:val="en-US"/>
        </w:rPr>
        <w:t>.</w:t>
      </w:r>
      <w:r w:rsidR="00AF3EF8">
        <w:rPr>
          <w:rFonts w:ascii="Times New Roman" w:hAnsi="Times New Roman" w:cs="Times New Roman"/>
          <w:sz w:val="20"/>
          <w:szCs w:val="20"/>
          <w:lang w:val="en-US"/>
        </w:rPr>
        <w:t xml:space="preserve"> </w:t>
      </w:r>
      <w:r w:rsidRPr="002353E6">
        <w:rPr>
          <w:rFonts w:ascii="Times New Roman" w:hAnsi="Times New Roman" w:cs="Times New Roman"/>
          <w:sz w:val="20"/>
          <w:szCs w:val="20"/>
          <w:lang w:val="en-US"/>
        </w:rPr>
        <w:t>However, we believe that further discussion at RAN#92-e on the L1/2 mobility in particular, as it is more related to scoping and scenarios</w:t>
      </w:r>
      <w:r w:rsidR="002353E6">
        <w:rPr>
          <w:rFonts w:ascii="Times New Roman" w:hAnsi="Times New Roman" w:cs="Times New Roman"/>
          <w:sz w:val="20"/>
          <w:szCs w:val="20"/>
          <w:lang w:val="en-US"/>
        </w:rPr>
        <w:t>.</w:t>
      </w:r>
    </w:p>
    <w:p w:rsidR="002353E6" w:rsidRPr="00D50856" w:rsidRDefault="00EF727F" w:rsidP="002353E6">
      <w:pPr>
        <w:pStyle w:val="3GPPHeader1"/>
        <w:rPr>
          <w:sz w:val="32"/>
        </w:rPr>
      </w:pPr>
      <w:r>
        <w:rPr>
          <w:sz w:val="32"/>
        </w:rPr>
        <w:t>High level scenarios elaborated by RAN2</w:t>
      </w:r>
    </w:p>
    <w:p w:rsidR="002353E6" w:rsidRDefault="002353E6" w:rsidP="002353E6">
      <w:pPr>
        <w:rPr>
          <w:rFonts w:ascii="Times New Roman" w:hAnsi="Times New Roman" w:cs="Times New Roman"/>
          <w:sz w:val="20"/>
          <w:szCs w:val="20"/>
        </w:rPr>
      </w:pPr>
      <w:r>
        <w:rPr>
          <w:rFonts w:ascii="Times New Roman" w:hAnsi="Times New Roman" w:cs="Times New Roman"/>
          <w:sz w:val="20"/>
          <w:szCs w:val="20"/>
        </w:rPr>
        <w:t xml:space="preserve">RAN2 elaborated the following scenarios in </w:t>
      </w:r>
      <w:r w:rsidR="00AF3EF8">
        <w:rPr>
          <w:rFonts w:ascii="Times New Roman" w:hAnsi="Times New Roman" w:cs="Times New Roman"/>
          <w:sz w:val="20"/>
          <w:szCs w:val="20"/>
        </w:rPr>
        <w:t>[2]</w:t>
      </w:r>
      <w:r>
        <w:rPr>
          <w:rFonts w:ascii="Times New Roman" w:hAnsi="Times New Roman" w:cs="Times New Roman"/>
          <w:sz w:val="20"/>
          <w:szCs w:val="20"/>
        </w:rPr>
        <w:t>:</w:t>
      </w:r>
    </w:p>
    <w:p w:rsidR="00EF727F" w:rsidRDefault="001C040D" w:rsidP="00213076">
      <w:pPr>
        <w:pStyle w:val="ListParagraph"/>
        <w:numPr>
          <w:ilvl w:val="0"/>
          <w:numId w:val="31"/>
        </w:numPr>
        <w:spacing w:after="120"/>
        <w:ind w:left="357" w:hanging="357"/>
        <w:contextualSpacing w:val="0"/>
        <w:jc w:val="both"/>
        <w:rPr>
          <w:rFonts w:ascii="Times New Roman" w:hAnsi="Times New Roman" w:cs="Times New Roman"/>
          <w:sz w:val="20"/>
          <w:szCs w:val="20"/>
        </w:rPr>
      </w:pPr>
      <w:r w:rsidRPr="00B61A85">
        <w:rPr>
          <w:rFonts w:ascii="Times New Roman" w:hAnsi="Times New Roman" w:cs="Times New Roman"/>
          <w:b/>
          <w:sz w:val="20"/>
          <w:szCs w:val="20"/>
        </w:rPr>
        <w:t>Scenario 1</w:t>
      </w:r>
      <w:r w:rsidR="00EF727F" w:rsidRPr="00B61A85">
        <w:rPr>
          <w:rFonts w:ascii="Times New Roman" w:hAnsi="Times New Roman" w:cs="Times New Roman"/>
          <w:b/>
          <w:sz w:val="20"/>
          <w:szCs w:val="20"/>
        </w:rPr>
        <w:t>:</w:t>
      </w:r>
      <w:r w:rsidR="00EF727F" w:rsidRPr="00B61A85">
        <w:rPr>
          <w:rFonts w:ascii="Times New Roman" w:hAnsi="Times New Roman" w:cs="Times New Roman"/>
          <w:sz w:val="20"/>
          <w:szCs w:val="20"/>
        </w:rPr>
        <w:t xml:space="preserve"> This</w:t>
      </w:r>
      <w:r w:rsidRPr="00B61A85">
        <w:rPr>
          <w:rFonts w:ascii="Times New Roman" w:hAnsi="Times New Roman" w:cs="Times New Roman"/>
          <w:sz w:val="20"/>
          <w:szCs w:val="20"/>
        </w:rPr>
        <w:t xml:space="preserve"> </w:t>
      </w:r>
      <w:r w:rsidR="002353E6" w:rsidRPr="00B61A85">
        <w:rPr>
          <w:rFonts w:ascii="Times New Roman" w:hAnsi="Times New Roman" w:cs="Times New Roman"/>
          <w:sz w:val="20"/>
          <w:szCs w:val="20"/>
        </w:rPr>
        <w:t xml:space="preserve">has the benefit that </w:t>
      </w:r>
      <w:r w:rsidR="00EF727F" w:rsidRPr="00B61A85">
        <w:rPr>
          <w:rFonts w:ascii="Times New Roman" w:hAnsi="Times New Roman" w:cs="Times New Roman"/>
          <w:sz w:val="20"/>
          <w:szCs w:val="20"/>
        </w:rPr>
        <w:t xml:space="preserve">a switch from a source to target TRP </w:t>
      </w:r>
      <w:r w:rsidR="00EF727F">
        <w:rPr>
          <w:rFonts w:ascii="Times New Roman" w:hAnsi="Times New Roman" w:cs="Times New Roman"/>
          <w:sz w:val="20"/>
          <w:szCs w:val="20"/>
        </w:rPr>
        <w:t xml:space="preserve">hosting another cell </w:t>
      </w:r>
      <w:r w:rsidR="00EF727F" w:rsidRPr="00B61A85">
        <w:rPr>
          <w:rFonts w:ascii="Times New Roman" w:hAnsi="Times New Roman" w:cs="Times New Roman"/>
          <w:sz w:val="20"/>
          <w:szCs w:val="20"/>
        </w:rPr>
        <w:t xml:space="preserve">may take place with no L3 mobility impact (i.e. no serving cell change), which </w:t>
      </w:r>
      <w:r w:rsidR="002353E6" w:rsidRPr="00B61A85">
        <w:rPr>
          <w:rFonts w:ascii="Times New Roman" w:hAnsi="Times New Roman" w:cs="Times New Roman"/>
          <w:sz w:val="20"/>
          <w:szCs w:val="20"/>
        </w:rPr>
        <w:t xml:space="preserve">would limit the RAN2 impact substantially. However, it </w:t>
      </w:r>
      <w:r w:rsidRPr="00B61A85">
        <w:rPr>
          <w:rFonts w:ascii="Times New Roman" w:hAnsi="Times New Roman" w:cs="Times New Roman"/>
          <w:sz w:val="20"/>
          <w:szCs w:val="20"/>
        </w:rPr>
        <w:t xml:space="preserve">would </w:t>
      </w:r>
      <w:r w:rsidR="00EF727F">
        <w:rPr>
          <w:rFonts w:ascii="Times New Roman" w:hAnsi="Times New Roman" w:cs="Times New Roman"/>
          <w:sz w:val="20"/>
          <w:szCs w:val="20"/>
        </w:rPr>
        <w:t xml:space="preserve">also </w:t>
      </w:r>
      <w:r w:rsidRPr="00B61A85">
        <w:rPr>
          <w:rFonts w:ascii="Times New Roman" w:hAnsi="Times New Roman" w:cs="Times New Roman"/>
          <w:sz w:val="20"/>
          <w:szCs w:val="20"/>
        </w:rPr>
        <w:t xml:space="preserve">mean </w:t>
      </w:r>
      <w:r w:rsidR="00EF727F" w:rsidRPr="00B61A85">
        <w:rPr>
          <w:rFonts w:ascii="Times New Roman" w:hAnsi="Times New Roman" w:cs="Times New Roman"/>
          <w:sz w:val="20"/>
          <w:szCs w:val="20"/>
        </w:rPr>
        <w:t>that</w:t>
      </w:r>
      <w:r w:rsidR="00213076">
        <w:rPr>
          <w:rFonts w:ascii="Times New Roman" w:hAnsi="Times New Roman" w:cs="Times New Roman"/>
          <w:sz w:val="20"/>
          <w:szCs w:val="20"/>
        </w:rPr>
        <w:t>,</w:t>
      </w:r>
      <w:r w:rsidR="00EF727F" w:rsidRPr="00B61A85">
        <w:rPr>
          <w:rFonts w:ascii="Times New Roman" w:hAnsi="Times New Roman" w:cs="Times New Roman"/>
          <w:sz w:val="20"/>
          <w:szCs w:val="20"/>
        </w:rPr>
        <w:t xml:space="preserve"> if the UE left the common channel coverage of the source TRP, then </w:t>
      </w:r>
      <w:r w:rsidR="00EF727F">
        <w:rPr>
          <w:rFonts w:ascii="Times New Roman" w:hAnsi="Times New Roman" w:cs="Times New Roman"/>
          <w:sz w:val="20"/>
          <w:szCs w:val="20"/>
        </w:rPr>
        <w:t>the</w:t>
      </w:r>
      <w:r w:rsidR="00EF727F" w:rsidRPr="00B61A85">
        <w:rPr>
          <w:rFonts w:ascii="Times New Roman" w:hAnsi="Times New Roman" w:cs="Times New Roman"/>
          <w:sz w:val="20"/>
          <w:szCs w:val="20"/>
        </w:rPr>
        <w:t xml:space="preserve"> existing handover procedure </w:t>
      </w:r>
      <w:r w:rsidR="00EF727F">
        <w:rPr>
          <w:rFonts w:ascii="Times New Roman" w:hAnsi="Times New Roman" w:cs="Times New Roman"/>
          <w:sz w:val="20"/>
          <w:szCs w:val="20"/>
        </w:rPr>
        <w:t xml:space="preserve">would be used </w:t>
      </w:r>
      <w:r w:rsidR="00EF727F" w:rsidRPr="00B61A85">
        <w:rPr>
          <w:rFonts w:ascii="Times New Roman" w:hAnsi="Times New Roman" w:cs="Times New Roman"/>
          <w:sz w:val="20"/>
          <w:szCs w:val="20"/>
        </w:rPr>
        <w:t xml:space="preserve">to </w:t>
      </w:r>
      <w:r w:rsidR="00EF727F">
        <w:rPr>
          <w:rFonts w:ascii="Times New Roman" w:hAnsi="Times New Roman" w:cs="Times New Roman"/>
          <w:sz w:val="20"/>
          <w:szCs w:val="20"/>
        </w:rPr>
        <w:t xml:space="preserve">trigger </w:t>
      </w:r>
      <w:r w:rsidR="00EF727F" w:rsidRPr="00B61A85">
        <w:rPr>
          <w:rFonts w:ascii="Times New Roman" w:hAnsi="Times New Roman" w:cs="Times New Roman"/>
          <w:sz w:val="20"/>
          <w:szCs w:val="20"/>
        </w:rPr>
        <w:t xml:space="preserve">change </w:t>
      </w:r>
      <w:r w:rsidR="00EF727F">
        <w:rPr>
          <w:rFonts w:ascii="Times New Roman" w:hAnsi="Times New Roman" w:cs="Times New Roman"/>
          <w:sz w:val="20"/>
          <w:szCs w:val="20"/>
        </w:rPr>
        <w:t xml:space="preserve">of </w:t>
      </w:r>
      <w:r w:rsidR="00EF727F" w:rsidRPr="00B61A85">
        <w:rPr>
          <w:rFonts w:ascii="Times New Roman" w:hAnsi="Times New Roman" w:cs="Times New Roman"/>
          <w:sz w:val="20"/>
          <w:szCs w:val="20"/>
        </w:rPr>
        <w:t>serving cell.</w:t>
      </w:r>
    </w:p>
    <w:p w:rsidR="00EF727F" w:rsidRDefault="00EF727F" w:rsidP="00213076">
      <w:pPr>
        <w:pStyle w:val="ListParagraph"/>
        <w:numPr>
          <w:ilvl w:val="0"/>
          <w:numId w:val="31"/>
        </w:numPr>
        <w:jc w:val="both"/>
        <w:rPr>
          <w:rFonts w:ascii="Times New Roman" w:hAnsi="Times New Roman" w:cs="Times New Roman"/>
          <w:sz w:val="20"/>
          <w:szCs w:val="20"/>
        </w:rPr>
      </w:pPr>
      <w:r w:rsidRPr="00B61A85">
        <w:rPr>
          <w:rFonts w:ascii="Times New Roman" w:hAnsi="Times New Roman" w:cs="Times New Roman"/>
          <w:b/>
          <w:sz w:val="20"/>
          <w:szCs w:val="20"/>
        </w:rPr>
        <w:t>Scenario 2:</w:t>
      </w:r>
      <w:r>
        <w:rPr>
          <w:rFonts w:ascii="Times New Roman" w:hAnsi="Times New Roman" w:cs="Times New Roman"/>
          <w:sz w:val="20"/>
          <w:szCs w:val="20"/>
        </w:rPr>
        <w:t xml:space="preserve"> This aims to </w:t>
      </w:r>
      <w:r w:rsidRPr="00B61A85">
        <w:rPr>
          <w:rFonts w:ascii="Times New Roman" w:hAnsi="Times New Roman" w:cs="Times New Roman"/>
          <w:sz w:val="20"/>
          <w:szCs w:val="20"/>
        </w:rPr>
        <w:t>enhance the serving cell change procedure</w:t>
      </w:r>
      <w:r>
        <w:rPr>
          <w:rFonts w:ascii="Times New Roman" w:hAnsi="Times New Roman" w:cs="Times New Roman"/>
          <w:sz w:val="20"/>
          <w:szCs w:val="20"/>
        </w:rPr>
        <w:t>, seemingly by relying on L1 measurements and L1/2 handover triggers</w:t>
      </w:r>
      <w:r w:rsidRPr="00B61A85">
        <w:rPr>
          <w:rFonts w:ascii="Times New Roman" w:hAnsi="Times New Roman" w:cs="Times New Roman"/>
          <w:sz w:val="20"/>
          <w:szCs w:val="20"/>
        </w:rPr>
        <w:t xml:space="preserve">. However, given that Conditional </w:t>
      </w:r>
      <w:proofErr w:type="spellStart"/>
      <w:r w:rsidRPr="00B61A85">
        <w:rPr>
          <w:rFonts w:ascii="Times New Roman" w:hAnsi="Times New Roman" w:cs="Times New Roman"/>
          <w:sz w:val="20"/>
          <w:szCs w:val="20"/>
        </w:rPr>
        <w:t>HandOver</w:t>
      </w:r>
      <w:proofErr w:type="spellEnd"/>
      <w:r w:rsidRPr="00B61A85">
        <w:rPr>
          <w:rFonts w:ascii="Times New Roman" w:hAnsi="Times New Roman" w:cs="Times New Roman"/>
          <w:sz w:val="20"/>
          <w:szCs w:val="20"/>
        </w:rPr>
        <w:t xml:space="preserve"> (CHO) is already defined today, it is not clear to us </w:t>
      </w:r>
      <w:r w:rsidR="00213076">
        <w:rPr>
          <w:rFonts w:ascii="Times New Roman" w:hAnsi="Times New Roman" w:cs="Times New Roman"/>
          <w:sz w:val="20"/>
          <w:szCs w:val="20"/>
        </w:rPr>
        <w:t>which kind of performance improvement is targeted from each enhancement</w:t>
      </w:r>
      <w:r w:rsidRPr="00B61A85">
        <w:rPr>
          <w:rFonts w:ascii="Times New Roman" w:hAnsi="Times New Roman" w:cs="Times New Roman"/>
          <w:sz w:val="20"/>
          <w:szCs w:val="20"/>
        </w:rPr>
        <w:t>. In addition, this would require lots more cross-layer alignment</w:t>
      </w:r>
      <w:r>
        <w:rPr>
          <w:rFonts w:ascii="Times New Roman" w:hAnsi="Times New Roman" w:cs="Times New Roman"/>
          <w:sz w:val="20"/>
          <w:szCs w:val="20"/>
        </w:rPr>
        <w:t xml:space="preserve"> and maybe some security considerations </w:t>
      </w:r>
      <w:r w:rsidR="00535BE8">
        <w:rPr>
          <w:rFonts w:ascii="Times New Roman" w:hAnsi="Times New Roman" w:cs="Times New Roman"/>
          <w:sz w:val="20"/>
          <w:szCs w:val="20"/>
        </w:rPr>
        <w:t>if we rely</w:t>
      </w:r>
      <w:r>
        <w:rPr>
          <w:rFonts w:ascii="Times New Roman" w:hAnsi="Times New Roman" w:cs="Times New Roman"/>
          <w:sz w:val="20"/>
          <w:szCs w:val="20"/>
        </w:rPr>
        <w:t xml:space="preserve"> on L1/2 messages as handover triggers</w:t>
      </w:r>
      <w:r w:rsidRPr="00B61A85">
        <w:rPr>
          <w:rFonts w:ascii="Times New Roman" w:hAnsi="Times New Roman" w:cs="Times New Roman"/>
          <w:sz w:val="20"/>
          <w:szCs w:val="20"/>
        </w:rPr>
        <w:t xml:space="preserve">, and this seems a lot of effort for Rel-17, given the RAN2 time available. </w:t>
      </w:r>
    </w:p>
    <w:p w:rsidR="00EF727F" w:rsidRPr="00B61A85" w:rsidRDefault="00EF727F">
      <w:pPr>
        <w:rPr>
          <w:rFonts w:ascii="Times New Roman" w:hAnsi="Times New Roman" w:cs="Times New Roman"/>
          <w:sz w:val="20"/>
          <w:szCs w:val="20"/>
        </w:rPr>
      </w:pPr>
      <w:r>
        <w:rPr>
          <w:rFonts w:ascii="Times New Roman" w:hAnsi="Times New Roman" w:cs="Times New Roman"/>
          <w:sz w:val="20"/>
          <w:szCs w:val="20"/>
        </w:rPr>
        <w:t>Taking into account all of the above aspects, we believe that it would be best to focus on enabling Scenario 1 in Rel-17.</w:t>
      </w:r>
    </w:p>
    <w:p w:rsidR="002353E6" w:rsidRDefault="002353E6" w:rsidP="002353E6">
      <w:pPr>
        <w:rPr>
          <w:rFonts w:ascii="Times New Roman" w:hAnsi="Times New Roman" w:cs="Times New Roman"/>
          <w:b/>
          <w:sz w:val="20"/>
          <w:szCs w:val="20"/>
        </w:rPr>
      </w:pPr>
      <w:r w:rsidRPr="00B61A85">
        <w:rPr>
          <w:rFonts w:ascii="Times New Roman" w:hAnsi="Times New Roman" w:cs="Times New Roman"/>
          <w:b/>
          <w:sz w:val="20"/>
          <w:szCs w:val="20"/>
          <w:u w:val="single"/>
        </w:rPr>
        <w:t>Proposal</w:t>
      </w:r>
      <w:r w:rsidR="00EF727F">
        <w:rPr>
          <w:rFonts w:ascii="Times New Roman" w:hAnsi="Times New Roman" w:cs="Times New Roman"/>
          <w:b/>
          <w:sz w:val="20"/>
          <w:szCs w:val="20"/>
          <w:u w:val="single"/>
        </w:rPr>
        <w:t xml:space="preserve"> 1</w:t>
      </w:r>
      <w:r w:rsidRPr="00B61A85">
        <w:rPr>
          <w:rFonts w:ascii="Times New Roman" w:hAnsi="Times New Roman" w:cs="Times New Roman"/>
          <w:b/>
          <w:sz w:val="20"/>
          <w:szCs w:val="20"/>
        </w:rPr>
        <w:t xml:space="preserve">: </w:t>
      </w:r>
      <w:r w:rsidR="00EF727F" w:rsidRPr="00B61A85">
        <w:rPr>
          <w:rFonts w:ascii="Times New Roman" w:hAnsi="Times New Roman" w:cs="Times New Roman"/>
          <w:b/>
          <w:sz w:val="20"/>
          <w:szCs w:val="20"/>
        </w:rPr>
        <w:t>Limit the Rel-17 scope to Scenario 1 only</w:t>
      </w:r>
      <w:r w:rsidR="00EF727F">
        <w:rPr>
          <w:rFonts w:ascii="Times New Roman" w:hAnsi="Times New Roman" w:cs="Times New Roman"/>
          <w:b/>
          <w:sz w:val="20"/>
          <w:szCs w:val="20"/>
        </w:rPr>
        <w:t xml:space="preserve"> for L1/2 centric inter-cell mobility</w:t>
      </w:r>
      <w:r w:rsidRPr="00B61A85">
        <w:rPr>
          <w:rFonts w:ascii="Times New Roman" w:hAnsi="Times New Roman" w:cs="Times New Roman"/>
          <w:b/>
          <w:sz w:val="20"/>
          <w:szCs w:val="20"/>
        </w:rPr>
        <w:t>.</w:t>
      </w:r>
    </w:p>
    <w:p w:rsidR="00EF727F" w:rsidRDefault="00EF727F" w:rsidP="00B61A85">
      <w:pPr>
        <w:spacing w:after="240"/>
        <w:rPr>
          <w:rFonts w:ascii="Times New Roman" w:hAnsi="Times New Roman" w:cs="Times New Roman"/>
          <w:b/>
          <w:sz w:val="20"/>
          <w:szCs w:val="20"/>
        </w:rPr>
      </w:pPr>
      <w:r w:rsidRPr="00B61A85">
        <w:rPr>
          <w:rFonts w:ascii="Times New Roman" w:hAnsi="Times New Roman" w:cs="Times New Roman"/>
          <w:b/>
          <w:sz w:val="20"/>
          <w:szCs w:val="20"/>
          <w:u w:val="single"/>
        </w:rPr>
        <w:t>Proposal 2</w:t>
      </w:r>
      <w:r>
        <w:rPr>
          <w:rFonts w:ascii="Times New Roman" w:hAnsi="Times New Roman" w:cs="Times New Roman"/>
          <w:b/>
          <w:sz w:val="20"/>
          <w:szCs w:val="20"/>
        </w:rPr>
        <w:t xml:space="preserve">: If Scenario 2 is agreed to be progressed, then a common understanding of the expected gains and where those gains come from would be required to be elaborated before committing </w:t>
      </w:r>
      <w:r w:rsidR="00A1680E">
        <w:rPr>
          <w:rFonts w:ascii="Times New Roman" w:hAnsi="Times New Roman" w:cs="Times New Roman"/>
          <w:b/>
          <w:sz w:val="20"/>
          <w:szCs w:val="20"/>
        </w:rPr>
        <w:t>WG</w:t>
      </w:r>
      <w:r w:rsidR="00213076">
        <w:rPr>
          <w:rFonts w:ascii="Times New Roman" w:hAnsi="Times New Roman" w:cs="Times New Roman"/>
          <w:b/>
          <w:sz w:val="20"/>
          <w:szCs w:val="20"/>
        </w:rPr>
        <w:t xml:space="preserve"> time</w:t>
      </w:r>
      <w:r>
        <w:rPr>
          <w:rFonts w:ascii="Times New Roman" w:hAnsi="Times New Roman" w:cs="Times New Roman"/>
          <w:b/>
          <w:sz w:val="20"/>
          <w:szCs w:val="20"/>
        </w:rPr>
        <w:t xml:space="preserve">. </w:t>
      </w:r>
    </w:p>
    <w:p w:rsidR="00EF727F" w:rsidRPr="00B61A85" w:rsidRDefault="00EF727F" w:rsidP="00B61A85">
      <w:pPr>
        <w:pStyle w:val="3GPPHeader1"/>
        <w:rPr>
          <w:sz w:val="32"/>
        </w:rPr>
      </w:pPr>
      <w:r w:rsidRPr="00B61A85">
        <w:rPr>
          <w:sz w:val="32"/>
        </w:rPr>
        <w:t xml:space="preserve">More detailed scoping </w:t>
      </w:r>
      <w:r w:rsidR="00AF3EF8" w:rsidRPr="00B61A85">
        <w:rPr>
          <w:sz w:val="32"/>
        </w:rPr>
        <w:t>considerations</w:t>
      </w:r>
    </w:p>
    <w:p w:rsidR="00AF3EF8" w:rsidRPr="004A3367" w:rsidRDefault="00AF3EF8" w:rsidP="00B61A85">
      <w:pPr>
        <w:pStyle w:val="3GPPHeader2"/>
        <w:rPr>
          <w:sz w:val="24"/>
        </w:rPr>
      </w:pPr>
      <w:r w:rsidRPr="004A3367">
        <w:rPr>
          <w:sz w:val="24"/>
        </w:rPr>
        <w:t>4.1</w:t>
      </w:r>
      <w:r w:rsidRPr="004A3367">
        <w:rPr>
          <w:sz w:val="24"/>
        </w:rPr>
        <w:tab/>
      </w:r>
      <w:r w:rsidR="00B61A85" w:rsidRPr="004A3367">
        <w:rPr>
          <w:sz w:val="24"/>
        </w:rPr>
        <w:t xml:space="preserve">Some </w:t>
      </w:r>
      <w:r w:rsidRPr="004A3367">
        <w:rPr>
          <w:sz w:val="24"/>
        </w:rPr>
        <w:t xml:space="preserve">RAN2 preferences/assumptions </w:t>
      </w:r>
      <w:r w:rsidR="00B61A85" w:rsidRPr="004A3367">
        <w:rPr>
          <w:sz w:val="24"/>
        </w:rPr>
        <w:t>provided in [2]</w:t>
      </w:r>
    </w:p>
    <w:p w:rsidR="002353E6" w:rsidRDefault="00EF727F" w:rsidP="002353E6">
      <w:pPr>
        <w:rPr>
          <w:rFonts w:ascii="Times New Roman" w:hAnsi="Times New Roman" w:cs="Times New Roman"/>
          <w:sz w:val="20"/>
          <w:szCs w:val="20"/>
        </w:rPr>
      </w:pPr>
      <w:r>
        <w:rPr>
          <w:rFonts w:ascii="Times New Roman" w:hAnsi="Times New Roman" w:cs="Times New Roman"/>
          <w:sz w:val="20"/>
          <w:szCs w:val="20"/>
        </w:rPr>
        <w:t>RAN2 indicated the following to RAN1</w:t>
      </w:r>
      <w:r w:rsidR="00B61A85">
        <w:rPr>
          <w:rFonts w:ascii="Times New Roman" w:hAnsi="Times New Roman" w:cs="Times New Roman"/>
          <w:sz w:val="20"/>
          <w:szCs w:val="20"/>
        </w:rPr>
        <w:t>:</w:t>
      </w:r>
    </w:p>
    <w:p w:rsidR="002353E6" w:rsidRPr="00B61A85" w:rsidRDefault="002353E6" w:rsidP="00B61A85">
      <w:pPr>
        <w:pStyle w:val="Agreement"/>
        <w:numPr>
          <w:ilvl w:val="0"/>
          <w:numId w:val="35"/>
        </w:numPr>
        <w:ind w:left="426" w:hanging="426"/>
        <w:rPr>
          <w:rFonts w:ascii="Times New Roman" w:hAnsi="Times New Roman"/>
          <w:b w:val="0"/>
          <w:i/>
          <w:szCs w:val="20"/>
          <w:lang w:eastAsia="zh-CN"/>
        </w:rPr>
      </w:pPr>
      <w:r w:rsidRPr="00B61A85">
        <w:rPr>
          <w:rFonts w:ascii="Times New Roman" w:hAnsi="Times New Roman"/>
          <w:b w:val="0"/>
          <w:i/>
          <w:szCs w:val="20"/>
        </w:rPr>
        <w:t>Ask R1 to confirm that L1L2 mobility is assumed to be based on L1 measurements (not in R2 scope)</w:t>
      </w:r>
      <w:r w:rsidRPr="00B61A85">
        <w:rPr>
          <w:rFonts w:ascii="Times New Roman" w:hAnsi="Times New Roman"/>
          <w:b w:val="0"/>
          <w:i/>
          <w:szCs w:val="20"/>
          <w:lang w:val="en-US" w:eastAsia="ko-KR"/>
        </w:rPr>
        <w:t xml:space="preserve"> </w:t>
      </w:r>
    </w:p>
    <w:p w:rsidR="00B61A85" w:rsidRPr="00B61A85" w:rsidRDefault="00B61A85" w:rsidP="00B61A85">
      <w:pPr>
        <w:ind w:left="426" w:hanging="426"/>
        <w:rPr>
          <w:rFonts w:ascii="Times New Roman" w:eastAsia="Times New Roman" w:hAnsi="Times New Roman" w:cs="Times New Roman"/>
          <w:i/>
          <w:sz w:val="20"/>
          <w:szCs w:val="20"/>
          <w:lang w:val="x-none" w:eastAsia="zh-CN"/>
        </w:rPr>
      </w:pPr>
    </w:p>
    <w:p w:rsidR="00B61A85" w:rsidRPr="00B61A85" w:rsidRDefault="00B61A85" w:rsidP="00B61A85">
      <w:pPr>
        <w:pStyle w:val="Agreement"/>
        <w:numPr>
          <w:ilvl w:val="0"/>
          <w:numId w:val="35"/>
        </w:numPr>
        <w:ind w:left="426" w:hanging="426"/>
        <w:rPr>
          <w:rFonts w:ascii="Times New Roman" w:hAnsi="Times New Roman"/>
          <w:b w:val="0"/>
          <w:i/>
          <w:szCs w:val="20"/>
          <w:lang w:eastAsia="ko-KR"/>
        </w:rPr>
      </w:pPr>
      <w:r w:rsidRPr="00B61A85">
        <w:rPr>
          <w:rFonts w:ascii="Times New Roman" w:hAnsi="Times New Roman"/>
          <w:b w:val="0"/>
          <w:i/>
          <w:szCs w:val="20"/>
        </w:rPr>
        <w:t>R2 assumes that for both multi-TRP and mobility scenarios, single protocol stack can be assumed (intra-DU)</w:t>
      </w:r>
    </w:p>
    <w:p w:rsidR="002353E6" w:rsidRPr="00B61A85" w:rsidRDefault="00B61A85" w:rsidP="00B61A85">
      <w:pPr>
        <w:pStyle w:val="ListParagraph"/>
        <w:numPr>
          <w:ilvl w:val="0"/>
          <w:numId w:val="35"/>
        </w:numPr>
        <w:ind w:left="426" w:hanging="426"/>
        <w:rPr>
          <w:rFonts w:ascii="Times New Roman" w:hAnsi="Times New Roman" w:cs="Times New Roman"/>
          <w:i/>
          <w:sz w:val="20"/>
          <w:szCs w:val="20"/>
        </w:rPr>
      </w:pPr>
      <w:r w:rsidRPr="00B61A85">
        <w:rPr>
          <w:rFonts w:ascii="Times New Roman" w:eastAsia="Times New Roman" w:hAnsi="Times New Roman" w:cs="Times New Roman"/>
          <w:i/>
          <w:sz w:val="20"/>
          <w:szCs w:val="20"/>
          <w:lang w:val="x-none" w:eastAsia="zh-CN"/>
        </w:rPr>
        <w:t xml:space="preserve">RAN2 prefer to prioritize intra-frequency case in Rel-17 (i.e. RAN2 assumes that this is expected to be more typical deployment), but RAN2 </w:t>
      </w:r>
      <w:r w:rsidRPr="00B61A85">
        <w:rPr>
          <w:rFonts w:ascii="Times New Roman" w:eastAsia="Times New Roman" w:hAnsi="Times New Roman" w:cs="Times New Roman"/>
          <w:i/>
          <w:sz w:val="20"/>
          <w:szCs w:val="20"/>
          <w:lang w:val="fi-FI" w:eastAsia="zh-CN"/>
        </w:rPr>
        <w:t xml:space="preserve">will </w:t>
      </w:r>
      <w:r w:rsidRPr="00B61A85">
        <w:rPr>
          <w:rFonts w:ascii="Times New Roman" w:eastAsia="Times New Roman" w:hAnsi="Times New Roman" w:cs="Times New Roman"/>
          <w:i/>
          <w:sz w:val="20"/>
          <w:szCs w:val="20"/>
          <w:lang w:val="x-none" w:eastAsia="zh-CN"/>
        </w:rPr>
        <w:t xml:space="preserve">follow the RAN4 decision </w:t>
      </w:r>
      <w:r w:rsidRPr="00B61A85">
        <w:rPr>
          <w:rFonts w:ascii="Times New Roman" w:eastAsia="Times New Roman" w:hAnsi="Times New Roman" w:cs="Times New Roman"/>
          <w:i/>
          <w:sz w:val="20"/>
          <w:szCs w:val="20"/>
          <w:lang w:val="fi-FI" w:eastAsia="zh-CN"/>
        </w:rPr>
        <w:t xml:space="preserve">on whether </w:t>
      </w:r>
      <w:r w:rsidRPr="00B61A85">
        <w:rPr>
          <w:rFonts w:ascii="Times New Roman" w:eastAsia="Times New Roman" w:hAnsi="Times New Roman" w:cs="Times New Roman"/>
          <w:i/>
          <w:sz w:val="20"/>
          <w:szCs w:val="20"/>
          <w:lang w:val="x-none" w:eastAsia="zh-CN"/>
        </w:rPr>
        <w:t>to support inter-frequency case.</w:t>
      </w:r>
    </w:p>
    <w:p w:rsidR="002353E6" w:rsidRPr="00B61A85" w:rsidRDefault="00EF727F" w:rsidP="00B61A85">
      <w:pPr>
        <w:rPr>
          <w:rFonts w:ascii="Times New Roman" w:hAnsi="Times New Roman" w:cs="Times New Roman"/>
          <w:sz w:val="20"/>
          <w:szCs w:val="20"/>
        </w:rPr>
      </w:pPr>
      <w:r>
        <w:rPr>
          <w:rFonts w:ascii="Times New Roman" w:hAnsi="Times New Roman" w:cs="Times New Roman"/>
          <w:sz w:val="20"/>
          <w:szCs w:val="20"/>
        </w:rPr>
        <w:t xml:space="preserve">Given the short timescales </w:t>
      </w:r>
      <w:r w:rsidR="00213076">
        <w:rPr>
          <w:rFonts w:ascii="Times New Roman" w:hAnsi="Times New Roman" w:cs="Times New Roman"/>
          <w:sz w:val="20"/>
          <w:szCs w:val="20"/>
        </w:rPr>
        <w:t>for completing the work item</w:t>
      </w:r>
      <w:r>
        <w:rPr>
          <w:rFonts w:ascii="Times New Roman" w:hAnsi="Times New Roman" w:cs="Times New Roman"/>
          <w:sz w:val="20"/>
          <w:szCs w:val="20"/>
        </w:rPr>
        <w:t xml:space="preserve">, and considering the above assumptions, we </w:t>
      </w:r>
      <w:r w:rsidR="002353E6">
        <w:rPr>
          <w:rFonts w:ascii="Times New Roman" w:hAnsi="Times New Roman" w:cs="Times New Roman"/>
          <w:sz w:val="20"/>
          <w:szCs w:val="20"/>
        </w:rPr>
        <w:t>believe it would be beneficial for RAN plenary to endorse the followin</w:t>
      </w:r>
      <w:r w:rsidR="00B61A85">
        <w:rPr>
          <w:rFonts w:ascii="Times New Roman" w:hAnsi="Times New Roman" w:cs="Times New Roman"/>
          <w:sz w:val="20"/>
          <w:szCs w:val="20"/>
        </w:rPr>
        <w:t>g proposals:</w:t>
      </w:r>
    </w:p>
    <w:p w:rsidR="00B61A85" w:rsidRPr="00B61A85" w:rsidRDefault="00B61A85" w:rsidP="00B61A85">
      <w:pPr>
        <w:rPr>
          <w:rFonts w:ascii="Times New Roman" w:hAnsi="Times New Roman" w:cs="Times New Roman"/>
          <w:b/>
          <w:sz w:val="20"/>
          <w:szCs w:val="20"/>
        </w:rPr>
      </w:pPr>
      <w:r w:rsidRPr="002353E6">
        <w:rPr>
          <w:rFonts w:ascii="Times New Roman" w:hAnsi="Times New Roman" w:cs="Times New Roman"/>
          <w:b/>
          <w:sz w:val="20"/>
          <w:szCs w:val="20"/>
          <w:u w:val="single"/>
        </w:rPr>
        <w:t>Proposal</w:t>
      </w:r>
      <w:r>
        <w:rPr>
          <w:rFonts w:ascii="Times New Roman" w:hAnsi="Times New Roman" w:cs="Times New Roman"/>
          <w:b/>
          <w:sz w:val="20"/>
          <w:szCs w:val="20"/>
          <w:u w:val="single"/>
        </w:rPr>
        <w:t xml:space="preserve"> 3</w:t>
      </w:r>
      <w:r w:rsidRPr="002353E6">
        <w:rPr>
          <w:rFonts w:ascii="Times New Roman" w:hAnsi="Times New Roman" w:cs="Times New Roman"/>
          <w:b/>
          <w:sz w:val="20"/>
          <w:szCs w:val="20"/>
        </w:rPr>
        <w:t xml:space="preserve">: </w:t>
      </w:r>
      <w:r w:rsidRPr="00B61A85">
        <w:rPr>
          <w:rFonts w:ascii="Times New Roman" w:hAnsi="Times New Roman" w:cs="Times New Roman"/>
          <w:b/>
          <w:sz w:val="20"/>
          <w:szCs w:val="20"/>
        </w:rPr>
        <w:t xml:space="preserve">No L3 measurements or enhancements in terms of evaluations or events/procedures shall be defined for L1/2 </w:t>
      </w:r>
      <w:r w:rsidR="00213076">
        <w:rPr>
          <w:rFonts w:ascii="Times New Roman" w:hAnsi="Times New Roman" w:cs="Times New Roman"/>
          <w:b/>
          <w:sz w:val="20"/>
          <w:szCs w:val="20"/>
        </w:rPr>
        <w:t xml:space="preserve">centric inter-cell </w:t>
      </w:r>
      <w:r w:rsidRPr="00B61A85">
        <w:rPr>
          <w:rFonts w:ascii="Times New Roman" w:hAnsi="Times New Roman" w:cs="Times New Roman"/>
          <w:b/>
          <w:sz w:val="20"/>
          <w:szCs w:val="20"/>
        </w:rPr>
        <w:t>mobility, meaning that there shall be no RAN2 impact.</w:t>
      </w:r>
    </w:p>
    <w:p w:rsidR="00B61A85" w:rsidRPr="00B61A85" w:rsidRDefault="00B61A85" w:rsidP="00B61A85">
      <w:pPr>
        <w:rPr>
          <w:rFonts w:ascii="Times New Roman" w:hAnsi="Times New Roman" w:cs="Times New Roman"/>
          <w:b/>
          <w:sz w:val="20"/>
          <w:szCs w:val="20"/>
        </w:rPr>
      </w:pPr>
      <w:r w:rsidRPr="00B61A85">
        <w:rPr>
          <w:rFonts w:ascii="Times New Roman" w:hAnsi="Times New Roman" w:cs="Times New Roman"/>
          <w:b/>
          <w:sz w:val="20"/>
          <w:szCs w:val="20"/>
          <w:u w:val="single"/>
        </w:rPr>
        <w:t>Proposal 4</w:t>
      </w:r>
      <w:r>
        <w:rPr>
          <w:rFonts w:ascii="Times New Roman" w:hAnsi="Times New Roman" w:cs="Times New Roman"/>
          <w:b/>
          <w:sz w:val="20"/>
          <w:szCs w:val="20"/>
        </w:rPr>
        <w:t xml:space="preserve">: </w:t>
      </w:r>
      <w:r w:rsidRPr="00B61A85">
        <w:rPr>
          <w:rFonts w:ascii="Times New Roman" w:hAnsi="Times New Roman" w:cs="Times New Roman"/>
          <w:b/>
          <w:sz w:val="20"/>
          <w:szCs w:val="20"/>
        </w:rPr>
        <w:t xml:space="preserve">Single protocol stack will be used for all </w:t>
      </w:r>
      <w:r w:rsidR="00213076">
        <w:rPr>
          <w:rFonts w:ascii="Times New Roman" w:hAnsi="Times New Roman" w:cs="Times New Roman"/>
          <w:b/>
          <w:sz w:val="20"/>
          <w:szCs w:val="20"/>
        </w:rPr>
        <w:t xml:space="preserve">L1/2 centric inter-cell </w:t>
      </w:r>
      <w:r w:rsidRPr="00B61A85">
        <w:rPr>
          <w:rFonts w:ascii="Times New Roman" w:hAnsi="Times New Roman" w:cs="Times New Roman"/>
          <w:b/>
          <w:sz w:val="20"/>
          <w:szCs w:val="20"/>
        </w:rPr>
        <w:t>scenarios specified, meaning only the intra-DU scenario is supported.</w:t>
      </w:r>
    </w:p>
    <w:p w:rsidR="00B61A85" w:rsidRPr="00B61A85" w:rsidRDefault="00B61A85" w:rsidP="00213076">
      <w:pPr>
        <w:jc w:val="both"/>
        <w:rPr>
          <w:rFonts w:ascii="Times New Roman" w:hAnsi="Times New Roman" w:cs="Times New Roman"/>
          <w:sz w:val="20"/>
          <w:szCs w:val="20"/>
        </w:rPr>
      </w:pPr>
      <w:r w:rsidRPr="00B61A85">
        <w:rPr>
          <w:rFonts w:ascii="Times New Roman" w:hAnsi="Times New Roman" w:cs="Times New Roman"/>
          <w:sz w:val="20"/>
          <w:szCs w:val="20"/>
        </w:rPr>
        <w:t>RAN4 did not provide a clear pref</w:t>
      </w:r>
      <w:r>
        <w:rPr>
          <w:rFonts w:ascii="Times New Roman" w:hAnsi="Times New Roman" w:cs="Times New Roman"/>
          <w:sz w:val="20"/>
          <w:szCs w:val="20"/>
        </w:rPr>
        <w:t>erence for</w:t>
      </w:r>
      <w:r w:rsidRPr="00B61A85">
        <w:rPr>
          <w:rFonts w:ascii="Times New Roman" w:hAnsi="Times New Roman" w:cs="Times New Roman"/>
          <w:sz w:val="20"/>
          <w:szCs w:val="20"/>
        </w:rPr>
        <w:t xml:space="preserve"> </w:t>
      </w:r>
      <w:r>
        <w:rPr>
          <w:rFonts w:ascii="Times New Roman" w:hAnsi="Times New Roman" w:cs="Times New Roman"/>
          <w:sz w:val="20"/>
          <w:szCs w:val="20"/>
        </w:rPr>
        <w:t>the inter-frequency scenario in response to RAN1</w:t>
      </w:r>
      <w:r w:rsidRPr="00B61A85">
        <w:rPr>
          <w:rFonts w:ascii="Times New Roman" w:hAnsi="Times New Roman" w:cs="Times New Roman"/>
          <w:sz w:val="20"/>
          <w:szCs w:val="20"/>
        </w:rPr>
        <w:t xml:space="preserve">. However, we believe that the work should clearly focus on intra-frequency scenarios, as </w:t>
      </w:r>
      <w:r>
        <w:rPr>
          <w:rFonts w:ascii="Times New Roman" w:hAnsi="Times New Roman" w:cs="Times New Roman"/>
          <w:sz w:val="20"/>
          <w:szCs w:val="20"/>
        </w:rPr>
        <w:t xml:space="preserve">we believe that </w:t>
      </w:r>
      <w:r w:rsidRPr="00B61A85">
        <w:rPr>
          <w:rFonts w:ascii="Times New Roman" w:hAnsi="Times New Roman" w:cs="Times New Roman"/>
          <w:sz w:val="20"/>
          <w:szCs w:val="20"/>
        </w:rPr>
        <w:t xml:space="preserve">inter-frequency scenarios would then require </w:t>
      </w:r>
      <w:r>
        <w:rPr>
          <w:rFonts w:ascii="Times New Roman" w:hAnsi="Times New Roman" w:cs="Times New Roman"/>
          <w:sz w:val="20"/>
          <w:szCs w:val="20"/>
        </w:rPr>
        <w:t>more</w:t>
      </w:r>
      <w:r w:rsidRPr="00B61A85">
        <w:rPr>
          <w:rFonts w:ascii="Times New Roman" w:hAnsi="Times New Roman" w:cs="Times New Roman"/>
          <w:sz w:val="20"/>
          <w:szCs w:val="20"/>
        </w:rPr>
        <w:t xml:space="preserve"> </w:t>
      </w:r>
      <w:r>
        <w:rPr>
          <w:rFonts w:ascii="Times New Roman" w:hAnsi="Times New Roman" w:cs="Times New Roman"/>
          <w:sz w:val="20"/>
          <w:szCs w:val="20"/>
        </w:rPr>
        <w:t>RAN4 impact in terms of measurement gap considerations</w:t>
      </w:r>
      <w:r w:rsidRPr="00B61A85">
        <w:rPr>
          <w:rFonts w:ascii="Times New Roman" w:hAnsi="Times New Roman" w:cs="Times New Roman"/>
          <w:sz w:val="20"/>
          <w:szCs w:val="20"/>
        </w:rPr>
        <w:t>.</w:t>
      </w:r>
    </w:p>
    <w:p w:rsidR="002353E6" w:rsidRPr="004A3367" w:rsidRDefault="00B61A85" w:rsidP="004A3367">
      <w:pPr>
        <w:spacing w:after="360"/>
        <w:rPr>
          <w:rFonts w:ascii="Times New Roman" w:hAnsi="Times New Roman" w:cs="Times New Roman"/>
          <w:b/>
          <w:sz w:val="20"/>
          <w:szCs w:val="20"/>
        </w:rPr>
      </w:pPr>
      <w:r w:rsidRPr="00B61A85">
        <w:rPr>
          <w:rFonts w:ascii="Times New Roman" w:hAnsi="Times New Roman" w:cs="Times New Roman"/>
          <w:b/>
          <w:sz w:val="20"/>
          <w:szCs w:val="20"/>
          <w:u w:val="single"/>
        </w:rPr>
        <w:t>Proposal 5</w:t>
      </w:r>
      <w:r w:rsidRPr="00B61A85">
        <w:rPr>
          <w:rFonts w:ascii="Times New Roman" w:hAnsi="Times New Roman" w:cs="Times New Roman"/>
          <w:b/>
          <w:sz w:val="20"/>
          <w:szCs w:val="20"/>
        </w:rPr>
        <w:t xml:space="preserve">: Focus the work </w:t>
      </w:r>
      <w:r w:rsidR="00213076">
        <w:rPr>
          <w:rFonts w:ascii="Times New Roman" w:hAnsi="Times New Roman" w:cs="Times New Roman"/>
          <w:b/>
          <w:sz w:val="20"/>
          <w:szCs w:val="20"/>
        </w:rPr>
        <w:t xml:space="preserve">solely </w:t>
      </w:r>
      <w:r w:rsidRPr="00B61A85">
        <w:rPr>
          <w:rFonts w:ascii="Times New Roman" w:hAnsi="Times New Roman" w:cs="Times New Roman"/>
          <w:b/>
          <w:sz w:val="20"/>
          <w:szCs w:val="20"/>
        </w:rPr>
        <w:t xml:space="preserve">on the intra-frequency scenario </w:t>
      </w:r>
      <w:r w:rsidR="00213076">
        <w:rPr>
          <w:rFonts w:ascii="Times New Roman" w:hAnsi="Times New Roman" w:cs="Times New Roman"/>
          <w:b/>
          <w:sz w:val="20"/>
          <w:szCs w:val="20"/>
        </w:rPr>
        <w:t xml:space="preserve">for L1/2 centric inter-cell mobility </w:t>
      </w:r>
      <w:r w:rsidRPr="00B61A85">
        <w:rPr>
          <w:rFonts w:ascii="Times New Roman" w:hAnsi="Times New Roman" w:cs="Times New Roman"/>
          <w:b/>
          <w:sz w:val="20"/>
          <w:szCs w:val="20"/>
        </w:rPr>
        <w:t>in Rel-17.</w:t>
      </w:r>
    </w:p>
    <w:p w:rsidR="002353E6" w:rsidRPr="004A3367" w:rsidRDefault="00AF3EF8" w:rsidP="00B61A85">
      <w:pPr>
        <w:pStyle w:val="3GPPHeader2"/>
        <w:rPr>
          <w:sz w:val="24"/>
        </w:rPr>
      </w:pPr>
      <w:r w:rsidRPr="004A3367">
        <w:rPr>
          <w:sz w:val="24"/>
        </w:rPr>
        <w:t>4.2</w:t>
      </w:r>
      <w:r w:rsidRPr="004A3367">
        <w:rPr>
          <w:sz w:val="24"/>
        </w:rPr>
        <w:tab/>
      </w:r>
      <w:r w:rsidR="00B61A85" w:rsidRPr="004A3367">
        <w:rPr>
          <w:sz w:val="24"/>
        </w:rPr>
        <w:t xml:space="preserve">Other </w:t>
      </w:r>
      <w:r w:rsidR="00213076">
        <w:rPr>
          <w:sz w:val="24"/>
        </w:rPr>
        <w:t>relevant scoping aspects to address</w:t>
      </w:r>
    </w:p>
    <w:p w:rsidR="004A3367" w:rsidRDefault="00B61A85" w:rsidP="002353E6">
      <w:pPr>
        <w:rPr>
          <w:rFonts w:ascii="Times New Roman" w:hAnsi="Times New Roman" w:cs="Times New Roman"/>
          <w:sz w:val="20"/>
          <w:szCs w:val="20"/>
        </w:rPr>
      </w:pPr>
      <w:r w:rsidRPr="00B61A85">
        <w:rPr>
          <w:rFonts w:ascii="Times New Roman" w:hAnsi="Times New Roman" w:cs="Times New Roman"/>
          <w:sz w:val="20"/>
          <w:szCs w:val="20"/>
          <w:u w:val="single"/>
        </w:rPr>
        <w:t xml:space="preserve">Timing </w:t>
      </w:r>
      <w:r>
        <w:rPr>
          <w:rFonts w:ascii="Times New Roman" w:hAnsi="Times New Roman" w:cs="Times New Roman"/>
          <w:sz w:val="20"/>
          <w:szCs w:val="20"/>
          <w:u w:val="single"/>
        </w:rPr>
        <w:t>alignment</w:t>
      </w:r>
    </w:p>
    <w:p w:rsidR="002353E6" w:rsidRPr="002353E6" w:rsidRDefault="002353E6" w:rsidP="00213076">
      <w:pPr>
        <w:jc w:val="both"/>
        <w:rPr>
          <w:rFonts w:ascii="Times New Roman" w:hAnsi="Times New Roman" w:cs="Times New Roman"/>
          <w:sz w:val="20"/>
          <w:szCs w:val="20"/>
        </w:rPr>
      </w:pPr>
      <w:r w:rsidRPr="002353E6">
        <w:rPr>
          <w:rFonts w:ascii="Times New Roman" w:hAnsi="Times New Roman" w:cs="Times New Roman"/>
          <w:sz w:val="20"/>
          <w:szCs w:val="20"/>
        </w:rPr>
        <w:t>It should be clarified whether the scope can be limited to common timing in DL and UL between source and target TRP/cells. Changing TA configuration would seem to require a RACH from the UE (as in normal handover and CHO today)</w:t>
      </w:r>
      <w:r>
        <w:rPr>
          <w:rFonts w:ascii="Times New Roman" w:hAnsi="Times New Roman" w:cs="Times New Roman"/>
          <w:sz w:val="20"/>
          <w:szCs w:val="20"/>
        </w:rPr>
        <w:t>. I</w:t>
      </w:r>
      <w:r w:rsidRPr="002353E6">
        <w:rPr>
          <w:rFonts w:ascii="Times New Roman" w:hAnsi="Times New Roman" w:cs="Times New Roman"/>
          <w:sz w:val="20"/>
          <w:szCs w:val="20"/>
        </w:rPr>
        <w:t xml:space="preserve">n our view a change in timing would extend the </w:t>
      </w:r>
      <w:r w:rsidR="00213076">
        <w:rPr>
          <w:rFonts w:ascii="Times New Roman" w:hAnsi="Times New Roman" w:cs="Times New Roman"/>
          <w:sz w:val="20"/>
          <w:szCs w:val="20"/>
        </w:rPr>
        <w:t>technical design</w:t>
      </w:r>
      <w:r w:rsidRPr="002353E6">
        <w:rPr>
          <w:rFonts w:ascii="Times New Roman" w:hAnsi="Times New Roman" w:cs="Times New Roman"/>
          <w:sz w:val="20"/>
          <w:szCs w:val="20"/>
        </w:rPr>
        <w:t xml:space="preserve"> </w:t>
      </w:r>
      <w:r w:rsidR="00213076">
        <w:rPr>
          <w:rFonts w:ascii="Times New Roman" w:hAnsi="Times New Roman" w:cs="Times New Roman"/>
          <w:sz w:val="20"/>
          <w:szCs w:val="20"/>
        </w:rPr>
        <w:t>to be quite different from the pure intra-cell concept, and lead to more questions on the benefits</w:t>
      </w:r>
      <w:r w:rsidRPr="002353E6">
        <w:rPr>
          <w:rFonts w:ascii="Times New Roman" w:hAnsi="Times New Roman" w:cs="Times New Roman"/>
          <w:sz w:val="20"/>
          <w:szCs w:val="20"/>
        </w:rPr>
        <w:t xml:space="preserve">. </w:t>
      </w:r>
    </w:p>
    <w:p w:rsidR="002353E6" w:rsidRDefault="002353E6" w:rsidP="002353E6">
      <w:pPr>
        <w:rPr>
          <w:rFonts w:ascii="Times New Roman" w:hAnsi="Times New Roman" w:cs="Times New Roman"/>
          <w:b/>
          <w:sz w:val="20"/>
          <w:szCs w:val="20"/>
        </w:rPr>
      </w:pPr>
      <w:r w:rsidRPr="002353E6">
        <w:rPr>
          <w:rFonts w:ascii="Times New Roman" w:hAnsi="Times New Roman" w:cs="Times New Roman"/>
          <w:b/>
          <w:sz w:val="20"/>
          <w:szCs w:val="20"/>
          <w:u w:val="single"/>
        </w:rPr>
        <w:t>Proposal</w:t>
      </w:r>
      <w:r w:rsidR="00EF727F">
        <w:rPr>
          <w:rFonts w:ascii="Times New Roman" w:hAnsi="Times New Roman" w:cs="Times New Roman"/>
          <w:b/>
          <w:sz w:val="20"/>
          <w:szCs w:val="20"/>
          <w:u w:val="single"/>
        </w:rPr>
        <w:t xml:space="preserve"> </w:t>
      </w:r>
      <w:r w:rsidR="00B61A85">
        <w:rPr>
          <w:rFonts w:ascii="Times New Roman" w:hAnsi="Times New Roman" w:cs="Times New Roman"/>
          <w:b/>
          <w:sz w:val="20"/>
          <w:szCs w:val="20"/>
          <w:u w:val="single"/>
        </w:rPr>
        <w:t>6</w:t>
      </w:r>
      <w:r w:rsidRPr="002353E6">
        <w:rPr>
          <w:rFonts w:ascii="Times New Roman" w:hAnsi="Times New Roman" w:cs="Times New Roman"/>
          <w:b/>
          <w:sz w:val="20"/>
          <w:szCs w:val="20"/>
        </w:rPr>
        <w:t xml:space="preserve">: Limit the </w:t>
      </w:r>
      <w:r w:rsidR="00213076">
        <w:rPr>
          <w:rFonts w:ascii="Times New Roman" w:hAnsi="Times New Roman" w:cs="Times New Roman"/>
          <w:b/>
          <w:sz w:val="20"/>
          <w:szCs w:val="20"/>
        </w:rPr>
        <w:t xml:space="preserve">L1/2 centric inter-cell mobility </w:t>
      </w:r>
      <w:r w:rsidRPr="002353E6">
        <w:rPr>
          <w:rFonts w:ascii="Times New Roman" w:hAnsi="Times New Roman" w:cs="Times New Roman"/>
          <w:b/>
          <w:sz w:val="20"/>
          <w:szCs w:val="20"/>
        </w:rPr>
        <w:t>scope to the case where TRP/cell1 and TRP/cell2 are synchronised and timing advance is maintained sufficiently that a RACH would not be required.</w:t>
      </w:r>
    </w:p>
    <w:p w:rsidR="004A3367" w:rsidRDefault="00B61A85" w:rsidP="00B61A85">
      <w:pPr>
        <w:rPr>
          <w:rFonts w:ascii="Times New Roman" w:hAnsi="Times New Roman" w:cs="Times New Roman"/>
          <w:sz w:val="20"/>
          <w:szCs w:val="20"/>
        </w:rPr>
      </w:pPr>
      <w:r>
        <w:rPr>
          <w:rFonts w:ascii="Times New Roman" w:hAnsi="Times New Roman" w:cs="Times New Roman"/>
          <w:sz w:val="20"/>
          <w:szCs w:val="20"/>
          <w:u w:val="single"/>
        </w:rPr>
        <w:t>Reuse</w:t>
      </w:r>
      <w:r w:rsidRPr="00B61A85">
        <w:rPr>
          <w:rFonts w:ascii="Times New Roman" w:hAnsi="Times New Roman" w:cs="Times New Roman"/>
          <w:sz w:val="20"/>
          <w:szCs w:val="20"/>
          <w:u w:val="single"/>
        </w:rPr>
        <w:t xml:space="preserve"> of CA model for RRC design</w:t>
      </w:r>
    </w:p>
    <w:p w:rsidR="00B61A85" w:rsidRDefault="00B61A85" w:rsidP="00213076">
      <w:pPr>
        <w:jc w:val="both"/>
        <w:rPr>
          <w:rFonts w:ascii="Times New Roman" w:hAnsi="Times New Roman" w:cs="Times New Roman"/>
          <w:sz w:val="20"/>
          <w:szCs w:val="20"/>
        </w:rPr>
      </w:pPr>
      <w:r>
        <w:rPr>
          <w:rFonts w:ascii="Times New Roman" w:hAnsi="Times New Roman" w:cs="Times New Roman"/>
          <w:sz w:val="20"/>
          <w:szCs w:val="20"/>
        </w:rPr>
        <w:t xml:space="preserve">In RAN2 there was also discussion about whether the CA model could be reused for L1/2-centric mobility. In our view, this is not desirable because the CA concept is quite different to the multi-beam concept, and we would anyway need to adapt it to apply to this scenario. In addition, when combined with the normal CA concept this may become difficult to define in future. </w:t>
      </w:r>
    </w:p>
    <w:p w:rsidR="002353E6" w:rsidRDefault="00B61A85" w:rsidP="004A3367">
      <w:pPr>
        <w:spacing w:after="240"/>
        <w:rPr>
          <w:rFonts w:ascii="Times New Roman" w:hAnsi="Times New Roman" w:cs="Times New Roman"/>
          <w:b/>
          <w:sz w:val="20"/>
          <w:szCs w:val="20"/>
        </w:rPr>
      </w:pPr>
      <w:r w:rsidRPr="00CB66A2">
        <w:rPr>
          <w:rFonts w:ascii="Times New Roman" w:hAnsi="Times New Roman" w:cs="Times New Roman"/>
          <w:b/>
          <w:sz w:val="20"/>
          <w:szCs w:val="20"/>
          <w:u w:val="single"/>
        </w:rPr>
        <w:t xml:space="preserve">Proposal </w:t>
      </w:r>
      <w:r>
        <w:rPr>
          <w:rFonts w:ascii="Times New Roman" w:hAnsi="Times New Roman" w:cs="Times New Roman"/>
          <w:b/>
          <w:sz w:val="20"/>
          <w:szCs w:val="20"/>
          <w:u w:val="single"/>
        </w:rPr>
        <w:t>7</w:t>
      </w:r>
      <w:r>
        <w:rPr>
          <w:rFonts w:ascii="Times New Roman" w:hAnsi="Times New Roman" w:cs="Times New Roman"/>
          <w:b/>
          <w:sz w:val="20"/>
          <w:szCs w:val="20"/>
        </w:rPr>
        <w:t xml:space="preserve">: </w:t>
      </w:r>
      <w:r w:rsidRPr="00CB66A2">
        <w:rPr>
          <w:rFonts w:ascii="Times New Roman" w:hAnsi="Times New Roman" w:cs="Times New Roman"/>
          <w:b/>
          <w:sz w:val="20"/>
          <w:szCs w:val="20"/>
        </w:rPr>
        <w:t xml:space="preserve">Protocol stack design </w:t>
      </w:r>
      <w:r>
        <w:rPr>
          <w:rFonts w:ascii="Times New Roman" w:hAnsi="Times New Roman" w:cs="Times New Roman"/>
          <w:b/>
          <w:sz w:val="20"/>
          <w:szCs w:val="20"/>
        </w:rPr>
        <w:t xml:space="preserve">for L1/2 centric inter-cell mobility </w:t>
      </w:r>
      <w:r w:rsidRPr="00CB66A2">
        <w:rPr>
          <w:rFonts w:ascii="Times New Roman" w:hAnsi="Times New Roman" w:cs="Times New Roman"/>
          <w:b/>
          <w:sz w:val="20"/>
          <w:szCs w:val="20"/>
        </w:rPr>
        <w:t xml:space="preserve">will not target re-use of CA </w:t>
      </w:r>
      <w:proofErr w:type="spellStart"/>
      <w:r w:rsidRPr="00CB66A2">
        <w:rPr>
          <w:rFonts w:ascii="Times New Roman" w:hAnsi="Times New Roman" w:cs="Times New Roman"/>
          <w:b/>
          <w:sz w:val="20"/>
          <w:szCs w:val="20"/>
        </w:rPr>
        <w:t>Pcell</w:t>
      </w:r>
      <w:proofErr w:type="spellEnd"/>
      <w:r w:rsidRPr="00CB66A2">
        <w:rPr>
          <w:rFonts w:ascii="Times New Roman" w:hAnsi="Times New Roman" w:cs="Times New Roman"/>
          <w:b/>
          <w:sz w:val="20"/>
          <w:szCs w:val="20"/>
        </w:rPr>
        <w:t>/</w:t>
      </w:r>
      <w:proofErr w:type="spellStart"/>
      <w:r w:rsidRPr="00CB66A2">
        <w:rPr>
          <w:rFonts w:ascii="Times New Roman" w:hAnsi="Times New Roman" w:cs="Times New Roman"/>
          <w:b/>
          <w:sz w:val="20"/>
          <w:szCs w:val="20"/>
        </w:rPr>
        <w:t>Scell</w:t>
      </w:r>
      <w:proofErr w:type="spellEnd"/>
      <w:r w:rsidRPr="00CB66A2">
        <w:rPr>
          <w:rFonts w:ascii="Times New Roman" w:hAnsi="Times New Roman" w:cs="Times New Roman"/>
          <w:b/>
          <w:sz w:val="20"/>
          <w:szCs w:val="20"/>
        </w:rPr>
        <w:t xml:space="preserve"> </w:t>
      </w:r>
      <w:r>
        <w:rPr>
          <w:rFonts w:ascii="Times New Roman" w:hAnsi="Times New Roman" w:cs="Times New Roman"/>
          <w:b/>
          <w:sz w:val="20"/>
          <w:szCs w:val="20"/>
        </w:rPr>
        <w:t>concept</w:t>
      </w:r>
      <w:r w:rsidRPr="00CB66A2">
        <w:rPr>
          <w:rFonts w:ascii="Times New Roman" w:hAnsi="Times New Roman" w:cs="Times New Roman"/>
          <w:b/>
          <w:sz w:val="20"/>
          <w:szCs w:val="20"/>
        </w:rPr>
        <w:t>.</w:t>
      </w:r>
    </w:p>
    <w:p w:rsidR="007302E3" w:rsidRPr="00D50856" w:rsidRDefault="009F1DF4" w:rsidP="009F1DF4">
      <w:pPr>
        <w:pStyle w:val="3GPPHeader1"/>
        <w:rPr>
          <w:sz w:val="32"/>
        </w:rPr>
      </w:pPr>
      <w:r w:rsidRPr="00D50856">
        <w:rPr>
          <w:sz w:val="32"/>
        </w:rPr>
        <w:t>Proposals</w:t>
      </w:r>
    </w:p>
    <w:p w:rsidR="00B61A85" w:rsidRPr="00B61A85" w:rsidRDefault="00B61A85" w:rsidP="00213076">
      <w:pPr>
        <w:jc w:val="both"/>
        <w:rPr>
          <w:rFonts w:ascii="Times New Roman" w:hAnsi="Times New Roman" w:cs="Times New Roman"/>
          <w:sz w:val="20"/>
        </w:rPr>
      </w:pPr>
      <w:r w:rsidRPr="00B61A85">
        <w:rPr>
          <w:rFonts w:ascii="Times New Roman" w:hAnsi="Times New Roman" w:cs="Times New Roman"/>
          <w:sz w:val="20"/>
        </w:rPr>
        <w:t>The following proposals are made for L1/2 centric inter-cell mobility work</w:t>
      </w:r>
      <w:r>
        <w:rPr>
          <w:rFonts w:ascii="Times New Roman" w:hAnsi="Times New Roman" w:cs="Times New Roman"/>
          <w:sz w:val="20"/>
        </w:rPr>
        <w:t>:</w:t>
      </w:r>
    </w:p>
    <w:p w:rsidR="00EF727F" w:rsidRPr="00B61A85" w:rsidRDefault="00EF727F" w:rsidP="00213076">
      <w:pPr>
        <w:jc w:val="both"/>
        <w:rPr>
          <w:rFonts w:ascii="Times New Roman" w:hAnsi="Times New Roman" w:cs="Times New Roman"/>
          <w:sz w:val="20"/>
        </w:rPr>
      </w:pPr>
      <w:r w:rsidRPr="00B61A85">
        <w:rPr>
          <w:rFonts w:ascii="Times New Roman" w:hAnsi="Times New Roman" w:cs="Times New Roman"/>
          <w:sz w:val="20"/>
          <w:u w:val="single"/>
        </w:rPr>
        <w:t>Proposal 1</w:t>
      </w:r>
      <w:r w:rsidRPr="00B61A85">
        <w:rPr>
          <w:rFonts w:ascii="Times New Roman" w:hAnsi="Times New Roman" w:cs="Times New Roman"/>
          <w:sz w:val="20"/>
        </w:rPr>
        <w:t>: Limit the Rel-17 scope to Scenario 1 only for L1/2 centric inter-cell mobility.</w:t>
      </w:r>
    </w:p>
    <w:p w:rsidR="00EF727F" w:rsidRPr="00B61A85" w:rsidRDefault="00EF727F" w:rsidP="00213076">
      <w:pPr>
        <w:jc w:val="both"/>
        <w:rPr>
          <w:sz w:val="20"/>
        </w:rPr>
      </w:pPr>
      <w:r w:rsidRPr="00B61A85">
        <w:rPr>
          <w:rFonts w:ascii="Times New Roman" w:hAnsi="Times New Roman" w:cs="Times New Roman"/>
          <w:sz w:val="20"/>
          <w:u w:val="single"/>
        </w:rPr>
        <w:t>Proposal 2</w:t>
      </w:r>
      <w:r w:rsidRPr="00B61A85">
        <w:rPr>
          <w:rFonts w:ascii="Times New Roman" w:hAnsi="Times New Roman" w:cs="Times New Roman"/>
          <w:sz w:val="20"/>
        </w:rPr>
        <w:t xml:space="preserve">: If Scenario 2 is agreed to be progressed, then a common understanding of the expected gains and </w:t>
      </w:r>
      <w:bookmarkStart w:id="0" w:name="_GoBack"/>
      <w:r w:rsidRPr="00B61A85">
        <w:rPr>
          <w:rFonts w:ascii="Times New Roman" w:hAnsi="Times New Roman" w:cs="Times New Roman"/>
          <w:sz w:val="20"/>
        </w:rPr>
        <w:t xml:space="preserve">where those gains come from would be required to be elaborated before committing </w:t>
      </w:r>
      <w:r w:rsidR="00213076">
        <w:rPr>
          <w:rFonts w:ascii="Times New Roman" w:hAnsi="Times New Roman" w:cs="Times New Roman"/>
          <w:sz w:val="20"/>
        </w:rPr>
        <w:t>WG time</w:t>
      </w:r>
      <w:r w:rsidRPr="00B61A85">
        <w:rPr>
          <w:rFonts w:ascii="Times New Roman" w:hAnsi="Times New Roman" w:cs="Times New Roman"/>
          <w:sz w:val="20"/>
        </w:rPr>
        <w:t>.</w:t>
      </w:r>
      <w:r w:rsidRPr="00B61A85">
        <w:rPr>
          <w:sz w:val="20"/>
        </w:rPr>
        <w:t xml:space="preserve"> </w:t>
      </w:r>
    </w:p>
    <w:bookmarkEnd w:id="0"/>
    <w:p w:rsidR="00B61A85" w:rsidRPr="00B61A85" w:rsidRDefault="00B61A85" w:rsidP="00213076">
      <w:pPr>
        <w:jc w:val="both"/>
        <w:rPr>
          <w:rFonts w:ascii="Times New Roman" w:hAnsi="Times New Roman" w:cs="Times New Roman"/>
          <w:sz w:val="20"/>
          <w:szCs w:val="20"/>
        </w:rPr>
      </w:pPr>
      <w:r w:rsidRPr="00B61A85">
        <w:rPr>
          <w:rFonts w:ascii="Times New Roman" w:hAnsi="Times New Roman" w:cs="Times New Roman"/>
          <w:sz w:val="20"/>
          <w:szCs w:val="20"/>
          <w:u w:val="single"/>
        </w:rPr>
        <w:t>Proposal 3</w:t>
      </w:r>
      <w:r w:rsidRPr="00B61A85">
        <w:rPr>
          <w:rFonts w:ascii="Times New Roman" w:hAnsi="Times New Roman" w:cs="Times New Roman"/>
          <w:sz w:val="20"/>
          <w:szCs w:val="20"/>
        </w:rPr>
        <w:t>: No L3 measurements or enhancements in terms of evaluations or events/proce</w:t>
      </w:r>
      <w:r w:rsidR="00213076">
        <w:rPr>
          <w:rFonts w:ascii="Times New Roman" w:hAnsi="Times New Roman" w:cs="Times New Roman"/>
          <w:sz w:val="20"/>
          <w:szCs w:val="20"/>
        </w:rPr>
        <w:t xml:space="preserve">dures shall be defined for L1/2-centric inter-cell </w:t>
      </w:r>
      <w:r w:rsidRPr="00B61A85">
        <w:rPr>
          <w:rFonts w:ascii="Times New Roman" w:hAnsi="Times New Roman" w:cs="Times New Roman"/>
          <w:sz w:val="20"/>
          <w:szCs w:val="20"/>
        </w:rPr>
        <w:t xml:space="preserve">mobility, meaning that there shall be no RAN2 </w:t>
      </w:r>
      <w:r w:rsidR="00213076">
        <w:rPr>
          <w:rFonts w:ascii="Times New Roman" w:hAnsi="Times New Roman" w:cs="Times New Roman"/>
          <w:sz w:val="20"/>
          <w:szCs w:val="20"/>
        </w:rPr>
        <w:t>impact</w:t>
      </w:r>
      <w:r w:rsidRPr="00B61A85">
        <w:rPr>
          <w:rFonts w:ascii="Times New Roman" w:hAnsi="Times New Roman" w:cs="Times New Roman"/>
          <w:sz w:val="20"/>
          <w:szCs w:val="20"/>
        </w:rPr>
        <w:t>.</w:t>
      </w:r>
    </w:p>
    <w:p w:rsidR="00B61A85" w:rsidRPr="00B61A85" w:rsidRDefault="00B61A85" w:rsidP="00213076">
      <w:pPr>
        <w:jc w:val="both"/>
        <w:rPr>
          <w:rFonts w:ascii="Times New Roman" w:hAnsi="Times New Roman" w:cs="Times New Roman"/>
          <w:sz w:val="20"/>
          <w:szCs w:val="20"/>
        </w:rPr>
      </w:pPr>
      <w:r w:rsidRPr="00B61A85">
        <w:rPr>
          <w:rFonts w:ascii="Times New Roman" w:hAnsi="Times New Roman" w:cs="Times New Roman"/>
          <w:sz w:val="20"/>
          <w:szCs w:val="20"/>
          <w:u w:val="single"/>
        </w:rPr>
        <w:t>Proposal 4</w:t>
      </w:r>
      <w:r w:rsidRPr="00B61A85">
        <w:rPr>
          <w:rFonts w:ascii="Times New Roman" w:hAnsi="Times New Roman" w:cs="Times New Roman"/>
          <w:sz w:val="20"/>
          <w:szCs w:val="20"/>
        </w:rPr>
        <w:t xml:space="preserve">: Single protocol stack will be used for all </w:t>
      </w:r>
      <w:r w:rsidR="00213076" w:rsidRPr="00213076">
        <w:rPr>
          <w:rFonts w:ascii="Times New Roman" w:hAnsi="Times New Roman" w:cs="Times New Roman"/>
          <w:sz w:val="20"/>
          <w:szCs w:val="20"/>
        </w:rPr>
        <w:t>L1/2 centric inter-cell mobility</w:t>
      </w:r>
      <w:r w:rsidR="00213076">
        <w:rPr>
          <w:rFonts w:ascii="Times New Roman" w:hAnsi="Times New Roman" w:cs="Times New Roman"/>
          <w:b/>
          <w:sz w:val="20"/>
          <w:szCs w:val="20"/>
        </w:rPr>
        <w:t xml:space="preserve"> </w:t>
      </w:r>
      <w:r w:rsidRPr="00B61A85">
        <w:rPr>
          <w:rFonts w:ascii="Times New Roman" w:hAnsi="Times New Roman" w:cs="Times New Roman"/>
          <w:sz w:val="20"/>
          <w:szCs w:val="20"/>
        </w:rPr>
        <w:t>scenarios specified, meaning only the intra-DU scenario is supported.</w:t>
      </w:r>
    </w:p>
    <w:p w:rsidR="00B61A85" w:rsidRPr="00B61A85" w:rsidRDefault="00B61A85" w:rsidP="00213076">
      <w:pPr>
        <w:jc w:val="both"/>
        <w:rPr>
          <w:rFonts w:ascii="Times New Roman" w:hAnsi="Times New Roman" w:cs="Times New Roman"/>
          <w:sz w:val="20"/>
          <w:szCs w:val="20"/>
        </w:rPr>
      </w:pPr>
      <w:r w:rsidRPr="00B61A85">
        <w:rPr>
          <w:rFonts w:ascii="Times New Roman" w:hAnsi="Times New Roman" w:cs="Times New Roman"/>
          <w:sz w:val="20"/>
          <w:szCs w:val="20"/>
          <w:u w:val="single"/>
        </w:rPr>
        <w:t>Proposal 5</w:t>
      </w:r>
      <w:r w:rsidRPr="00B61A85">
        <w:rPr>
          <w:rFonts w:ascii="Times New Roman" w:hAnsi="Times New Roman" w:cs="Times New Roman"/>
          <w:sz w:val="20"/>
          <w:szCs w:val="20"/>
        </w:rPr>
        <w:t xml:space="preserve">: Focus the </w:t>
      </w:r>
      <w:r w:rsidR="00213076" w:rsidRPr="00213076">
        <w:rPr>
          <w:rFonts w:ascii="Times New Roman" w:hAnsi="Times New Roman" w:cs="Times New Roman"/>
          <w:sz w:val="20"/>
          <w:szCs w:val="20"/>
        </w:rPr>
        <w:t>L1/2 centric inter-cell mobility</w:t>
      </w:r>
      <w:r w:rsidR="00213076">
        <w:rPr>
          <w:rFonts w:ascii="Times New Roman" w:hAnsi="Times New Roman" w:cs="Times New Roman"/>
          <w:b/>
          <w:sz w:val="20"/>
          <w:szCs w:val="20"/>
        </w:rPr>
        <w:t xml:space="preserve"> </w:t>
      </w:r>
      <w:r w:rsidRPr="00B61A85">
        <w:rPr>
          <w:rFonts w:ascii="Times New Roman" w:hAnsi="Times New Roman" w:cs="Times New Roman"/>
          <w:sz w:val="20"/>
          <w:szCs w:val="20"/>
        </w:rPr>
        <w:t xml:space="preserve">work </w:t>
      </w:r>
      <w:r w:rsidR="00213076">
        <w:rPr>
          <w:rFonts w:ascii="Times New Roman" w:hAnsi="Times New Roman" w:cs="Times New Roman"/>
          <w:sz w:val="20"/>
          <w:szCs w:val="20"/>
        </w:rPr>
        <w:t xml:space="preserve">solely </w:t>
      </w:r>
      <w:r w:rsidRPr="00B61A85">
        <w:rPr>
          <w:rFonts w:ascii="Times New Roman" w:hAnsi="Times New Roman" w:cs="Times New Roman"/>
          <w:sz w:val="20"/>
          <w:szCs w:val="20"/>
        </w:rPr>
        <w:t>on the intra-frequency scenario in Rel-17.</w:t>
      </w:r>
    </w:p>
    <w:p w:rsidR="00B61A85" w:rsidRPr="00B61A85" w:rsidRDefault="00B61A85" w:rsidP="00213076">
      <w:pPr>
        <w:jc w:val="both"/>
        <w:rPr>
          <w:rFonts w:ascii="Times New Roman" w:hAnsi="Times New Roman" w:cs="Times New Roman"/>
          <w:sz w:val="20"/>
          <w:szCs w:val="20"/>
        </w:rPr>
      </w:pPr>
      <w:r w:rsidRPr="00B61A85">
        <w:rPr>
          <w:rFonts w:ascii="Times New Roman" w:hAnsi="Times New Roman" w:cs="Times New Roman"/>
          <w:sz w:val="20"/>
          <w:szCs w:val="20"/>
          <w:u w:val="single"/>
        </w:rPr>
        <w:t>Proposal 6</w:t>
      </w:r>
      <w:r w:rsidRPr="00B61A85">
        <w:rPr>
          <w:rFonts w:ascii="Times New Roman" w:hAnsi="Times New Roman" w:cs="Times New Roman"/>
          <w:sz w:val="20"/>
          <w:szCs w:val="20"/>
        </w:rPr>
        <w:t xml:space="preserve">: Limit the </w:t>
      </w:r>
      <w:r w:rsidR="00213076" w:rsidRPr="00213076">
        <w:rPr>
          <w:rFonts w:ascii="Times New Roman" w:hAnsi="Times New Roman" w:cs="Times New Roman"/>
          <w:sz w:val="20"/>
          <w:szCs w:val="20"/>
        </w:rPr>
        <w:t>L1/2 centric inter-cell mobility</w:t>
      </w:r>
      <w:r w:rsidR="00213076">
        <w:rPr>
          <w:rFonts w:ascii="Times New Roman" w:hAnsi="Times New Roman" w:cs="Times New Roman"/>
          <w:b/>
          <w:sz w:val="20"/>
          <w:szCs w:val="20"/>
        </w:rPr>
        <w:t xml:space="preserve"> </w:t>
      </w:r>
      <w:r w:rsidRPr="00B61A85">
        <w:rPr>
          <w:rFonts w:ascii="Times New Roman" w:hAnsi="Times New Roman" w:cs="Times New Roman"/>
          <w:sz w:val="20"/>
          <w:szCs w:val="20"/>
        </w:rPr>
        <w:t>scope to the case where TRP/cell1 and TRP/cell2 are synchronised and timing advance is maintained sufficiently that a RACH would not be required.</w:t>
      </w:r>
    </w:p>
    <w:p w:rsidR="00B61A85" w:rsidRPr="00CB66A2" w:rsidRDefault="00B61A85" w:rsidP="00213076">
      <w:pPr>
        <w:jc w:val="both"/>
        <w:rPr>
          <w:rFonts w:ascii="Times New Roman" w:hAnsi="Times New Roman" w:cs="Times New Roman"/>
          <w:b/>
          <w:sz w:val="20"/>
          <w:szCs w:val="20"/>
        </w:rPr>
      </w:pPr>
      <w:r w:rsidRPr="00B61A85">
        <w:rPr>
          <w:rFonts w:ascii="Times New Roman" w:hAnsi="Times New Roman" w:cs="Times New Roman"/>
          <w:sz w:val="20"/>
          <w:szCs w:val="20"/>
          <w:u w:val="single"/>
        </w:rPr>
        <w:t>Proposal 7</w:t>
      </w:r>
      <w:r w:rsidRPr="00B61A85">
        <w:rPr>
          <w:rFonts w:ascii="Times New Roman" w:hAnsi="Times New Roman" w:cs="Times New Roman"/>
          <w:sz w:val="20"/>
          <w:szCs w:val="20"/>
        </w:rPr>
        <w:t xml:space="preserve">: Protocol stack design for L1/2 centric inter-cell mobility will not target re-use of CA </w:t>
      </w:r>
      <w:proofErr w:type="spellStart"/>
      <w:r w:rsidRPr="00B61A85">
        <w:rPr>
          <w:rFonts w:ascii="Times New Roman" w:hAnsi="Times New Roman" w:cs="Times New Roman"/>
          <w:sz w:val="20"/>
          <w:szCs w:val="20"/>
        </w:rPr>
        <w:t>Pcell</w:t>
      </w:r>
      <w:proofErr w:type="spellEnd"/>
      <w:r w:rsidRPr="00B61A85">
        <w:rPr>
          <w:rFonts w:ascii="Times New Roman" w:hAnsi="Times New Roman" w:cs="Times New Roman"/>
          <w:sz w:val="20"/>
          <w:szCs w:val="20"/>
        </w:rPr>
        <w:t>/</w:t>
      </w:r>
      <w:proofErr w:type="spellStart"/>
      <w:r w:rsidRPr="00B61A85">
        <w:rPr>
          <w:rFonts w:ascii="Times New Roman" w:hAnsi="Times New Roman" w:cs="Times New Roman"/>
          <w:sz w:val="20"/>
          <w:szCs w:val="20"/>
        </w:rPr>
        <w:t>Scell</w:t>
      </w:r>
      <w:proofErr w:type="spellEnd"/>
      <w:r w:rsidRPr="00B61A85">
        <w:rPr>
          <w:rFonts w:ascii="Times New Roman" w:hAnsi="Times New Roman" w:cs="Times New Roman"/>
          <w:sz w:val="20"/>
          <w:szCs w:val="20"/>
        </w:rPr>
        <w:t xml:space="preserve"> concept.</w:t>
      </w:r>
    </w:p>
    <w:p w:rsidR="00C36899" w:rsidRDefault="00C36899" w:rsidP="00B61A85">
      <w:pPr>
        <w:pBdr>
          <w:bottom w:val="single" w:sz="6" w:space="1" w:color="auto"/>
        </w:pBdr>
        <w:rPr>
          <w:rFonts w:ascii="Times New Roman" w:hAnsi="Times New Roman" w:cs="Times New Roman"/>
          <w:b/>
          <w:sz w:val="20"/>
          <w:szCs w:val="20"/>
        </w:rPr>
      </w:pPr>
    </w:p>
    <w:p w:rsidR="00C36899" w:rsidRPr="00A1680E" w:rsidRDefault="00C36899" w:rsidP="00A1680E">
      <w:pPr>
        <w:pStyle w:val="3GPPHeader1"/>
        <w:rPr>
          <w:sz w:val="32"/>
        </w:rPr>
      </w:pPr>
      <w:r w:rsidRPr="00A1680E">
        <w:rPr>
          <w:sz w:val="32"/>
        </w:rPr>
        <w:t>References</w:t>
      </w:r>
    </w:p>
    <w:p w:rsidR="00C36899" w:rsidRDefault="00C36899" w:rsidP="00B61A85">
      <w:pPr>
        <w:ind w:left="360" w:hanging="360"/>
      </w:pPr>
      <w:r>
        <w:rPr>
          <w:rFonts w:ascii="Times New Roman" w:hAnsi="Times New Roman" w:cs="Times New Roman"/>
          <w:sz w:val="20"/>
          <w:szCs w:val="20"/>
        </w:rPr>
        <w:t>[1]</w:t>
      </w:r>
      <w:r>
        <w:rPr>
          <w:rFonts w:ascii="Times New Roman" w:hAnsi="Times New Roman" w:cs="Times New Roman"/>
          <w:sz w:val="20"/>
          <w:szCs w:val="20"/>
        </w:rPr>
        <w:tab/>
      </w:r>
      <w:r w:rsidRPr="00C36899">
        <w:rPr>
          <w:rFonts w:ascii="Times New Roman" w:hAnsi="Times New Roman" w:cs="Times New Roman"/>
          <w:sz w:val="20"/>
          <w:szCs w:val="20"/>
          <w:lang w:val="en-US"/>
        </w:rPr>
        <w:t>R1-2102248</w:t>
      </w:r>
      <w:r>
        <w:rPr>
          <w:rFonts w:ascii="Times New Roman" w:hAnsi="Times New Roman" w:cs="Times New Roman"/>
          <w:sz w:val="20"/>
          <w:szCs w:val="20"/>
          <w:lang w:val="en-US"/>
        </w:rPr>
        <w:t>:</w:t>
      </w:r>
      <w:r w:rsidRPr="00C36899">
        <w:rPr>
          <w:rFonts w:ascii="Times New Roman" w:hAnsi="Times New Roman" w:cs="Times New Roman"/>
          <w:sz w:val="20"/>
          <w:szCs w:val="20"/>
          <w:lang w:val="en-US"/>
        </w:rPr>
        <w:t xml:space="preserve"> </w:t>
      </w:r>
      <w:r w:rsidRPr="00B61A85">
        <w:rPr>
          <w:rFonts w:ascii="Times New Roman" w:hAnsi="Times New Roman" w:cs="Times New Roman"/>
          <w:sz w:val="20"/>
          <w:szCs w:val="20"/>
        </w:rPr>
        <w:t>L</w:t>
      </w:r>
      <w:r w:rsidRPr="00B61A85">
        <w:rPr>
          <w:rFonts w:ascii="Times New Roman" w:hAnsi="Times New Roman" w:cs="Times New Roman"/>
          <w:sz w:val="20"/>
          <w:szCs w:val="20"/>
          <w:lang w:eastAsia="zh-CN"/>
        </w:rPr>
        <w:t>S on</w:t>
      </w:r>
      <w:r w:rsidRPr="00B61A85">
        <w:rPr>
          <w:rFonts w:ascii="Times New Roman" w:hAnsi="Times New Roman" w:cs="Times New Roman"/>
          <w:sz w:val="20"/>
          <w:szCs w:val="20"/>
        </w:rPr>
        <w:t xml:space="preserve"> TCI State Update for L1/L2-Centric Inter-Cell Mobility</w:t>
      </w:r>
      <w:r>
        <w:rPr>
          <w:rFonts w:ascii="Times New Roman" w:hAnsi="Times New Roman" w:cs="Times New Roman"/>
          <w:sz w:val="20"/>
          <w:szCs w:val="20"/>
        </w:rPr>
        <w:t>,</w:t>
      </w:r>
      <w:r w:rsidRPr="00B61A85">
        <w:rPr>
          <w:rFonts w:ascii="Times New Roman" w:hAnsi="Times New Roman" w:cs="Times New Roman"/>
          <w:sz w:val="20"/>
          <w:szCs w:val="20"/>
        </w:rPr>
        <w:t xml:space="preserve"> </w:t>
      </w:r>
      <w:r w:rsidRPr="00B61A85">
        <w:rPr>
          <w:rFonts w:ascii="Times New Roman" w:hAnsi="Times New Roman" w:cs="Times New Roman"/>
          <w:i/>
          <w:sz w:val="20"/>
          <w:szCs w:val="20"/>
          <w:lang w:val="en-US"/>
        </w:rPr>
        <w:t>from RAN1 to RAN2, cc RAN3/RAN4/TSG-RAN</w:t>
      </w:r>
      <w:r w:rsidRPr="00B61A85" w:rsidDel="00EF727F">
        <w:rPr>
          <w:i/>
        </w:rPr>
        <w:t xml:space="preserve"> </w:t>
      </w:r>
    </w:p>
    <w:p w:rsidR="009F1DF4" w:rsidRPr="009F1DF4" w:rsidRDefault="00C36899" w:rsidP="00B61A85">
      <w:pPr>
        <w:ind w:left="360" w:hanging="360"/>
      </w:pPr>
      <w:r w:rsidRPr="00B61A85">
        <w:rPr>
          <w:rFonts w:ascii="Times New Roman" w:hAnsi="Times New Roman" w:cs="Times New Roman"/>
          <w:sz w:val="20"/>
        </w:rPr>
        <w:t>[2]</w:t>
      </w:r>
      <w:r>
        <w:rPr>
          <w:rFonts w:ascii="Times New Roman" w:hAnsi="Times New Roman" w:cs="Times New Roman"/>
          <w:sz w:val="20"/>
        </w:rPr>
        <w:tab/>
      </w:r>
      <w:r w:rsidRPr="00C36899">
        <w:rPr>
          <w:rFonts w:ascii="Times New Roman" w:hAnsi="Times New Roman" w:cs="Times New Roman"/>
          <w:sz w:val="20"/>
          <w:szCs w:val="20"/>
          <w:lang w:val="en-US"/>
        </w:rPr>
        <w:t xml:space="preserve">R2-2106787: </w:t>
      </w:r>
      <w:r w:rsidRPr="00B61A85">
        <w:rPr>
          <w:rFonts w:ascii="Times New Roman" w:hAnsi="Times New Roman" w:cs="Times New Roman"/>
          <w:sz w:val="20"/>
          <w:szCs w:val="20"/>
        </w:rPr>
        <w:t xml:space="preserve">LS Reply on </w:t>
      </w:r>
      <w:r w:rsidRPr="00B61A85">
        <w:rPr>
          <w:rFonts w:ascii="Times New Roman" w:hAnsi="Times New Roman" w:cs="Times New Roman"/>
          <w:bCs/>
          <w:sz w:val="20"/>
          <w:szCs w:val="20"/>
        </w:rPr>
        <w:t>TCI State Update for L1/L2-Centric Inter-Cell Mobility</w:t>
      </w:r>
      <w:r w:rsidRPr="00C36899">
        <w:rPr>
          <w:rFonts w:ascii="Times New Roman" w:hAnsi="Times New Roman" w:cs="Times New Roman"/>
          <w:sz w:val="20"/>
          <w:szCs w:val="20"/>
          <w:lang w:val="en-US"/>
        </w:rPr>
        <w:t xml:space="preserve">, </w:t>
      </w:r>
      <w:r w:rsidRPr="00C36899">
        <w:rPr>
          <w:rFonts w:ascii="Times New Roman" w:hAnsi="Times New Roman" w:cs="Times New Roman"/>
          <w:i/>
          <w:sz w:val="20"/>
          <w:szCs w:val="20"/>
          <w:lang w:val="en-US"/>
        </w:rPr>
        <w:t>from RAN2 to RAN1, cc RAN3/RAN4/TSG-RAN</w:t>
      </w:r>
      <w:r w:rsidRPr="00B61A85" w:rsidDel="00EF727F">
        <w:rPr>
          <w:rFonts w:ascii="Times New Roman" w:hAnsi="Times New Roman" w:cs="Times New Roman"/>
          <w:i/>
        </w:rPr>
        <w:t xml:space="preserve"> </w:t>
      </w:r>
    </w:p>
    <w:sectPr w:rsidR="009F1DF4" w:rsidRPr="009F1D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11301"/>
    <w:multiLevelType w:val="hybridMultilevel"/>
    <w:tmpl w:val="678E23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E92E63"/>
    <w:multiLevelType w:val="hybridMultilevel"/>
    <w:tmpl w:val="F48C2FDE"/>
    <w:lvl w:ilvl="0" w:tplc="08090011">
      <w:start w:val="1"/>
      <w:numFmt w:val="decimal"/>
      <w:lvlText w:val="%1)"/>
      <w:lvlJc w:val="left"/>
      <w:pPr>
        <w:ind w:left="357" w:hanging="360"/>
      </w:pPr>
      <w:rPr>
        <w:rFonts w:hint="default"/>
      </w:rPr>
    </w:lvl>
    <w:lvl w:ilvl="1" w:tplc="08090019">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2" w15:restartNumberingAfterBreak="0">
    <w:nsid w:val="0FDB04CB"/>
    <w:multiLevelType w:val="hybridMultilevel"/>
    <w:tmpl w:val="2C4A9FE6"/>
    <w:lvl w:ilvl="0" w:tplc="C43A7DBE">
      <w:start w:val="1"/>
      <w:numFmt w:val="bullet"/>
      <w:lvlText w:val="•"/>
      <w:lvlJc w:val="left"/>
      <w:pPr>
        <w:tabs>
          <w:tab w:val="num" w:pos="360"/>
        </w:tabs>
        <w:ind w:left="360" w:hanging="360"/>
      </w:pPr>
      <w:rPr>
        <w:rFonts w:ascii="Arial" w:hAnsi="Arial" w:hint="default"/>
      </w:rPr>
    </w:lvl>
    <w:lvl w:ilvl="1" w:tplc="7BBE83A2" w:tentative="1">
      <w:start w:val="1"/>
      <w:numFmt w:val="bullet"/>
      <w:lvlText w:val="•"/>
      <w:lvlJc w:val="left"/>
      <w:pPr>
        <w:tabs>
          <w:tab w:val="num" w:pos="1080"/>
        </w:tabs>
        <w:ind w:left="1080" w:hanging="360"/>
      </w:pPr>
      <w:rPr>
        <w:rFonts w:ascii="Arial" w:hAnsi="Arial" w:hint="default"/>
      </w:rPr>
    </w:lvl>
    <w:lvl w:ilvl="2" w:tplc="72243DFC" w:tentative="1">
      <w:start w:val="1"/>
      <w:numFmt w:val="bullet"/>
      <w:lvlText w:val="•"/>
      <w:lvlJc w:val="left"/>
      <w:pPr>
        <w:tabs>
          <w:tab w:val="num" w:pos="1800"/>
        </w:tabs>
        <w:ind w:left="1800" w:hanging="360"/>
      </w:pPr>
      <w:rPr>
        <w:rFonts w:ascii="Arial" w:hAnsi="Arial" w:hint="default"/>
      </w:rPr>
    </w:lvl>
    <w:lvl w:ilvl="3" w:tplc="77D6A802" w:tentative="1">
      <w:start w:val="1"/>
      <w:numFmt w:val="bullet"/>
      <w:lvlText w:val="•"/>
      <w:lvlJc w:val="left"/>
      <w:pPr>
        <w:tabs>
          <w:tab w:val="num" w:pos="2520"/>
        </w:tabs>
        <w:ind w:left="2520" w:hanging="360"/>
      </w:pPr>
      <w:rPr>
        <w:rFonts w:ascii="Arial" w:hAnsi="Arial" w:hint="default"/>
      </w:rPr>
    </w:lvl>
    <w:lvl w:ilvl="4" w:tplc="0952E7FE" w:tentative="1">
      <w:start w:val="1"/>
      <w:numFmt w:val="bullet"/>
      <w:lvlText w:val="•"/>
      <w:lvlJc w:val="left"/>
      <w:pPr>
        <w:tabs>
          <w:tab w:val="num" w:pos="3240"/>
        </w:tabs>
        <w:ind w:left="3240" w:hanging="360"/>
      </w:pPr>
      <w:rPr>
        <w:rFonts w:ascii="Arial" w:hAnsi="Arial" w:hint="default"/>
      </w:rPr>
    </w:lvl>
    <w:lvl w:ilvl="5" w:tplc="866084A2" w:tentative="1">
      <w:start w:val="1"/>
      <w:numFmt w:val="bullet"/>
      <w:lvlText w:val="•"/>
      <w:lvlJc w:val="left"/>
      <w:pPr>
        <w:tabs>
          <w:tab w:val="num" w:pos="3960"/>
        </w:tabs>
        <w:ind w:left="3960" w:hanging="360"/>
      </w:pPr>
      <w:rPr>
        <w:rFonts w:ascii="Arial" w:hAnsi="Arial" w:hint="default"/>
      </w:rPr>
    </w:lvl>
    <w:lvl w:ilvl="6" w:tplc="BF628592" w:tentative="1">
      <w:start w:val="1"/>
      <w:numFmt w:val="bullet"/>
      <w:lvlText w:val="•"/>
      <w:lvlJc w:val="left"/>
      <w:pPr>
        <w:tabs>
          <w:tab w:val="num" w:pos="4680"/>
        </w:tabs>
        <w:ind w:left="4680" w:hanging="360"/>
      </w:pPr>
      <w:rPr>
        <w:rFonts w:ascii="Arial" w:hAnsi="Arial" w:hint="default"/>
      </w:rPr>
    </w:lvl>
    <w:lvl w:ilvl="7" w:tplc="BCA49A94" w:tentative="1">
      <w:start w:val="1"/>
      <w:numFmt w:val="bullet"/>
      <w:lvlText w:val="•"/>
      <w:lvlJc w:val="left"/>
      <w:pPr>
        <w:tabs>
          <w:tab w:val="num" w:pos="5400"/>
        </w:tabs>
        <w:ind w:left="5400" w:hanging="360"/>
      </w:pPr>
      <w:rPr>
        <w:rFonts w:ascii="Arial" w:hAnsi="Arial" w:hint="default"/>
      </w:rPr>
    </w:lvl>
    <w:lvl w:ilvl="8" w:tplc="ACC697AE"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112C0A19"/>
    <w:multiLevelType w:val="multilevel"/>
    <w:tmpl w:val="0050791E"/>
    <w:lvl w:ilvl="0">
      <w:start w:val="1"/>
      <w:numFmt w:val="decimal"/>
      <w:pStyle w:val="3GPPHeader1"/>
      <w:lvlText w:val="%1."/>
      <w:lvlJc w:val="left"/>
      <w:pPr>
        <w:ind w:left="3621"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14524E4A"/>
    <w:multiLevelType w:val="hybridMultilevel"/>
    <w:tmpl w:val="5A82BE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52318C6"/>
    <w:multiLevelType w:val="hybridMultilevel"/>
    <w:tmpl w:val="413CED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5535570"/>
    <w:multiLevelType w:val="hybridMultilevel"/>
    <w:tmpl w:val="E72C10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03A130E"/>
    <w:multiLevelType w:val="hybridMultilevel"/>
    <w:tmpl w:val="4E9C0C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89E7671"/>
    <w:multiLevelType w:val="hybridMultilevel"/>
    <w:tmpl w:val="17346E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64047D"/>
    <w:multiLevelType w:val="hybridMultilevel"/>
    <w:tmpl w:val="C2303B58"/>
    <w:lvl w:ilvl="0" w:tplc="1280219A">
      <w:start w:val="1"/>
      <w:numFmt w:val="bullet"/>
      <w:lvlText w:val="•"/>
      <w:lvlJc w:val="left"/>
      <w:pPr>
        <w:tabs>
          <w:tab w:val="num" w:pos="720"/>
        </w:tabs>
        <w:ind w:left="720" w:hanging="360"/>
      </w:pPr>
      <w:rPr>
        <w:rFonts w:ascii="Arial" w:hAnsi="Arial" w:hint="default"/>
      </w:rPr>
    </w:lvl>
    <w:lvl w:ilvl="1" w:tplc="6114D0B4">
      <w:numFmt w:val="bullet"/>
      <w:lvlText w:val="–"/>
      <w:lvlJc w:val="left"/>
      <w:pPr>
        <w:tabs>
          <w:tab w:val="num" w:pos="1440"/>
        </w:tabs>
        <w:ind w:left="1440" w:hanging="360"/>
      </w:pPr>
      <w:rPr>
        <w:rFonts w:ascii="Calibri Light" w:hAnsi="Calibri Light" w:hint="default"/>
      </w:rPr>
    </w:lvl>
    <w:lvl w:ilvl="2" w:tplc="3A2E633C">
      <w:numFmt w:val="bullet"/>
      <w:lvlText w:val="-"/>
      <w:lvlJc w:val="left"/>
      <w:pPr>
        <w:tabs>
          <w:tab w:val="num" w:pos="2160"/>
        </w:tabs>
        <w:ind w:left="2160" w:hanging="360"/>
      </w:pPr>
      <w:rPr>
        <w:rFonts w:ascii="Arial" w:hAnsi="Arial" w:hint="default"/>
      </w:rPr>
    </w:lvl>
    <w:lvl w:ilvl="3" w:tplc="897E390C" w:tentative="1">
      <w:start w:val="1"/>
      <w:numFmt w:val="bullet"/>
      <w:lvlText w:val="•"/>
      <w:lvlJc w:val="left"/>
      <w:pPr>
        <w:tabs>
          <w:tab w:val="num" w:pos="2880"/>
        </w:tabs>
        <w:ind w:left="2880" w:hanging="360"/>
      </w:pPr>
      <w:rPr>
        <w:rFonts w:ascii="Arial" w:hAnsi="Arial" w:hint="default"/>
      </w:rPr>
    </w:lvl>
    <w:lvl w:ilvl="4" w:tplc="F5D47C02" w:tentative="1">
      <w:start w:val="1"/>
      <w:numFmt w:val="bullet"/>
      <w:lvlText w:val="•"/>
      <w:lvlJc w:val="left"/>
      <w:pPr>
        <w:tabs>
          <w:tab w:val="num" w:pos="3600"/>
        </w:tabs>
        <w:ind w:left="3600" w:hanging="360"/>
      </w:pPr>
      <w:rPr>
        <w:rFonts w:ascii="Arial" w:hAnsi="Arial" w:hint="default"/>
      </w:rPr>
    </w:lvl>
    <w:lvl w:ilvl="5" w:tplc="B4709A4E" w:tentative="1">
      <w:start w:val="1"/>
      <w:numFmt w:val="bullet"/>
      <w:lvlText w:val="•"/>
      <w:lvlJc w:val="left"/>
      <w:pPr>
        <w:tabs>
          <w:tab w:val="num" w:pos="4320"/>
        </w:tabs>
        <w:ind w:left="4320" w:hanging="360"/>
      </w:pPr>
      <w:rPr>
        <w:rFonts w:ascii="Arial" w:hAnsi="Arial" w:hint="default"/>
      </w:rPr>
    </w:lvl>
    <w:lvl w:ilvl="6" w:tplc="45901D6A" w:tentative="1">
      <w:start w:val="1"/>
      <w:numFmt w:val="bullet"/>
      <w:lvlText w:val="•"/>
      <w:lvlJc w:val="left"/>
      <w:pPr>
        <w:tabs>
          <w:tab w:val="num" w:pos="5040"/>
        </w:tabs>
        <w:ind w:left="5040" w:hanging="360"/>
      </w:pPr>
      <w:rPr>
        <w:rFonts w:ascii="Arial" w:hAnsi="Arial" w:hint="default"/>
      </w:rPr>
    </w:lvl>
    <w:lvl w:ilvl="7" w:tplc="AF12ECE8" w:tentative="1">
      <w:start w:val="1"/>
      <w:numFmt w:val="bullet"/>
      <w:lvlText w:val="•"/>
      <w:lvlJc w:val="left"/>
      <w:pPr>
        <w:tabs>
          <w:tab w:val="num" w:pos="5760"/>
        </w:tabs>
        <w:ind w:left="5760" w:hanging="360"/>
      </w:pPr>
      <w:rPr>
        <w:rFonts w:ascii="Arial" w:hAnsi="Arial" w:hint="default"/>
      </w:rPr>
    </w:lvl>
    <w:lvl w:ilvl="8" w:tplc="36E081A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2911D0A"/>
    <w:multiLevelType w:val="hybridMultilevel"/>
    <w:tmpl w:val="5FA6F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7F5FE4"/>
    <w:multiLevelType w:val="hybridMultilevel"/>
    <w:tmpl w:val="E242812A"/>
    <w:lvl w:ilvl="0" w:tplc="88B8779A">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7E76635"/>
    <w:multiLevelType w:val="hybridMultilevel"/>
    <w:tmpl w:val="6B8444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8415AC"/>
    <w:multiLevelType w:val="hybridMultilevel"/>
    <w:tmpl w:val="28F819C0"/>
    <w:lvl w:ilvl="0" w:tplc="B1129150">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FF1A39"/>
    <w:multiLevelType w:val="hybridMultilevel"/>
    <w:tmpl w:val="57223F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FEA18A2"/>
    <w:multiLevelType w:val="hybridMultilevel"/>
    <w:tmpl w:val="E64C8BCE"/>
    <w:lvl w:ilvl="0" w:tplc="30C6A2FA">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5A5F27"/>
    <w:multiLevelType w:val="hybridMultilevel"/>
    <w:tmpl w:val="D0BAE5F6"/>
    <w:lvl w:ilvl="0" w:tplc="708C1708">
      <w:start w:val="2"/>
      <w:numFmt w:val="bullet"/>
      <w:lvlText w:val="-"/>
      <w:lvlJc w:val="left"/>
      <w:pPr>
        <w:ind w:left="360" w:hanging="360"/>
      </w:pPr>
      <w:rPr>
        <w:rFonts w:ascii="Times New Roman" w:eastAsiaTheme="minorHAns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521C30BC"/>
    <w:multiLevelType w:val="hybridMultilevel"/>
    <w:tmpl w:val="B69620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571A598D"/>
    <w:multiLevelType w:val="hybridMultilevel"/>
    <w:tmpl w:val="5DBA3344"/>
    <w:lvl w:ilvl="0" w:tplc="3EE67B66">
      <w:start w:val="1"/>
      <w:numFmt w:val="decimal"/>
      <w:lvlText w:val="%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8157360"/>
    <w:multiLevelType w:val="hybridMultilevel"/>
    <w:tmpl w:val="FAC61ED0"/>
    <w:lvl w:ilvl="0" w:tplc="8E9A2248">
      <w:start w:val="1"/>
      <w:numFmt w:val="bullet"/>
      <w:lvlText w:val="–"/>
      <w:lvlJc w:val="left"/>
      <w:pPr>
        <w:tabs>
          <w:tab w:val="num" w:pos="720"/>
        </w:tabs>
        <w:ind w:left="720" w:hanging="360"/>
      </w:pPr>
      <w:rPr>
        <w:rFonts w:ascii="Calibri Light" w:hAnsi="Calibri Light" w:hint="default"/>
      </w:rPr>
    </w:lvl>
    <w:lvl w:ilvl="1" w:tplc="73FC074A">
      <w:start w:val="1"/>
      <w:numFmt w:val="bullet"/>
      <w:lvlText w:val="–"/>
      <w:lvlJc w:val="left"/>
      <w:pPr>
        <w:tabs>
          <w:tab w:val="num" w:pos="1440"/>
        </w:tabs>
        <w:ind w:left="1440" w:hanging="360"/>
      </w:pPr>
      <w:rPr>
        <w:rFonts w:ascii="Calibri Light" w:hAnsi="Calibri Light" w:hint="default"/>
      </w:rPr>
    </w:lvl>
    <w:lvl w:ilvl="2" w:tplc="F09E722A" w:tentative="1">
      <w:start w:val="1"/>
      <w:numFmt w:val="bullet"/>
      <w:lvlText w:val="–"/>
      <w:lvlJc w:val="left"/>
      <w:pPr>
        <w:tabs>
          <w:tab w:val="num" w:pos="2160"/>
        </w:tabs>
        <w:ind w:left="2160" w:hanging="360"/>
      </w:pPr>
      <w:rPr>
        <w:rFonts w:ascii="Calibri Light" w:hAnsi="Calibri Light" w:hint="default"/>
      </w:rPr>
    </w:lvl>
    <w:lvl w:ilvl="3" w:tplc="451E191E" w:tentative="1">
      <w:start w:val="1"/>
      <w:numFmt w:val="bullet"/>
      <w:lvlText w:val="–"/>
      <w:lvlJc w:val="left"/>
      <w:pPr>
        <w:tabs>
          <w:tab w:val="num" w:pos="2880"/>
        </w:tabs>
        <w:ind w:left="2880" w:hanging="360"/>
      </w:pPr>
      <w:rPr>
        <w:rFonts w:ascii="Calibri Light" w:hAnsi="Calibri Light" w:hint="default"/>
      </w:rPr>
    </w:lvl>
    <w:lvl w:ilvl="4" w:tplc="DFB25010" w:tentative="1">
      <w:start w:val="1"/>
      <w:numFmt w:val="bullet"/>
      <w:lvlText w:val="–"/>
      <w:lvlJc w:val="left"/>
      <w:pPr>
        <w:tabs>
          <w:tab w:val="num" w:pos="3600"/>
        </w:tabs>
        <w:ind w:left="3600" w:hanging="360"/>
      </w:pPr>
      <w:rPr>
        <w:rFonts w:ascii="Calibri Light" w:hAnsi="Calibri Light" w:hint="default"/>
      </w:rPr>
    </w:lvl>
    <w:lvl w:ilvl="5" w:tplc="C944B38C" w:tentative="1">
      <w:start w:val="1"/>
      <w:numFmt w:val="bullet"/>
      <w:lvlText w:val="–"/>
      <w:lvlJc w:val="left"/>
      <w:pPr>
        <w:tabs>
          <w:tab w:val="num" w:pos="4320"/>
        </w:tabs>
        <w:ind w:left="4320" w:hanging="360"/>
      </w:pPr>
      <w:rPr>
        <w:rFonts w:ascii="Calibri Light" w:hAnsi="Calibri Light" w:hint="default"/>
      </w:rPr>
    </w:lvl>
    <w:lvl w:ilvl="6" w:tplc="A6021980" w:tentative="1">
      <w:start w:val="1"/>
      <w:numFmt w:val="bullet"/>
      <w:lvlText w:val="–"/>
      <w:lvlJc w:val="left"/>
      <w:pPr>
        <w:tabs>
          <w:tab w:val="num" w:pos="5040"/>
        </w:tabs>
        <w:ind w:left="5040" w:hanging="360"/>
      </w:pPr>
      <w:rPr>
        <w:rFonts w:ascii="Calibri Light" w:hAnsi="Calibri Light" w:hint="default"/>
      </w:rPr>
    </w:lvl>
    <w:lvl w:ilvl="7" w:tplc="95101608" w:tentative="1">
      <w:start w:val="1"/>
      <w:numFmt w:val="bullet"/>
      <w:lvlText w:val="–"/>
      <w:lvlJc w:val="left"/>
      <w:pPr>
        <w:tabs>
          <w:tab w:val="num" w:pos="5760"/>
        </w:tabs>
        <w:ind w:left="5760" w:hanging="360"/>
      </w:pPr>
      <w:rPr>
        <w:rFonts w:ascii="Calibri Light" w:hAnsi="Calibri Light" w:hint="default"/>
      </w:rPr>
    </w:lvl>
    <w:lvl w:ilvl="8" w:tplc="7900707C" w:tentative="1">
      <w:start w:val="1"/>
      <w:numFmt w:val="bullet"/>
      <w:lvlText w:val="–"/>
      <w:lvlJc w:val="left"/>
      <w:pPr>
        <w:tabs>
          <w:tab w:val="num" w:pos="6480"/>
        </w:tabs>
        <w:ind w:left="6480" w:hanging="360"/>
      </w:pPr>
      <w:rPr>
        <w:rFonts w:ascii="Calibri Light" w:hAnsi="Calibri Light" w:hint="default"/>
      </w:rPr>
    </w:lvl>
  </w:abstractNum>
  <w:abstractNum w:abstractNumId="21" w15:restartNumberingAfterBreak="0">
    <w:nsid w:val="590027E3"/>
    <w:multiLevelType w:val="hybridMultilevel"/>
    <w:tmpl w:val="D0CA4FE0"/>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910775F"/>
    <w:multiLevelType w:val="hybridMultilevel"/>
    <w:tmpl w:val="7B3C4988"/>
    <w:lvl w:ilvl="0" w:tplc="7D1054B8">
      <w:start w:val="1"/>
      <w:numFmt w:val="bullet"/>
      <w:lvlText w:val="•"/>
      <w:lvlJc w:val="left"/>
      <w:pPr>
        <w:tabs>
          <w:tab w:val="num" w:pos="360"/>
        </w:tabs>
        <w:ind w:left="360" w:hanging="360"/>
      </w:pPr>
      <w:rPr>
        <w:rFonts w:ascii="Arial" w:hAnsi="Arial" w:hint="default"/>
      </w:rPr>
    </w:lvl>
    <w:lvl w:ilvl="1" w:tplc="8F6A4AEE">
      <w:start w:val="1"/>
      <w:numFmt w:val="bullet"/>
      <w:lvlText w:val="•"/>
      <w:lvlJc w:val="left"/>
      <w:pPr>
        <w:tabs>
          <w:tab w:val="num" w:pos="1080"/>
        </w:tabs>
        <w:ind w:left="1080" w:hanging="360"/>
      </w:pPr>
      <w:rPr>
        <w:rFonts w:ascii="Arial" w:hAnsi="Arial" w:hint="default"/>
      </w:rPr>
    </w:lvl>
    <w:lvl w:ilvl="2" w:tplc="FF90E434">
      <w:start w:val="1"/>
      <w:numFmt w:val="bullet"/>
      <w:lvlText w:val="•"/>
      <w:lvlJc w:val="left"/>
      <w:pPr>
        <w:tabs>
          <w:tab w:val="num" w:pos="1800"/>
        </w:tabs>
        <w:ind w:left="1800" w:hanging="360"/>
      </w:pPr>
      <w:rPr>
        <w:rFonts w:ascii="Arial" w:hAnsi="Arial" w:hint="default"/>
      </w:rPr>
    </w:lvl>
    <w:lvl w:ilvl="3" w:tplc="479ED6D4" w:tentative="1">
      <w:start w:val="1"/>
      <w:numFmt w:val="bullet"/>
      <w:lvlText w:val="•"/>
      <w:lvlJc w:val="left"/>
      <w:pPr>
        <w:tabs>
          <w:tab w:val="num" w:pos="2520"/>
        </w:tabs>
        <w:ind w:left="2520" w:hanging="360"/>
      </w:pPr>
      <w:rPr>
        <w:rFonts w:ascii="Arial" w:hAnsi="Arial" w:hint="default"/>
      </w:rPr>
    </w:lvl>
    <w:lvl w:ilvl="4" w:tplc="37E6C91A" w:tentative="1">
      <w:start w:val="1"/>
      <w:numFmt w:val="bullet"/>
      <w:lvlText w:val="•"/>
      <w:lvlJc w:val="left"/>
      <w:pPr>
        <w:tabs>
          <w:tab w:val="num" w:pos="3240"/>
        </w:tabs>
        <w:ind w:left="3240" w:hanging="360"/>
      </w:pPr>
      <w:rPr>
        <w:rFonts w:ascii="Arial" w:hAnsi="Arial" w:hint="default"/>
      </w:rPr>
    </w:lvl>
    <w:lvl w:ilvl="5" w:tplc="84BA6D74" w:tentative="1">
      <w:start w:val="1"/>
      <w:numFmt w:val="bullet"/>
      <w:lvlText w:val="•"/>
      <w:lvlJc w:val="left"/>
      <w:pPr>
        <w:tabs>
          <w:tab w:val="num" w:pos="3960"/>
        </w:tabs>
        <w:ind w:left="3960" w:hanging="360"/>
      </w:pPr>
      <w:rPr>
        <w:rFonts w:ascii="Arial" w:hAnsi="Arial" w:hint="default"/>
      </w:rPr>
    </w:lvl>
    <w:lvl w:ilvl="6" w:tplc="5BD6A2FA" w:tentative="1">
      <w:start w:val="1"/>
      <w:numFmt w:val="bullet"/>
      <w:lvlText w:val="•"/>
      <w:lvlJc w:val="left"/>
      <w:pPr>
        <w:tabs>
          <w:tab w:val="num" w:pos="4680"/>
        </w:tabs>
        <w:ind w:left="4680" w:hanging="360"/>
      </w:pPr>
      <w:rPr>
        <w:rFonts w:ascii="Arial" w:hAnsi="Arial" w:hint="default"/>
      </w:rPr>
    </w:lvl>
    <w:lvl w:ilvl="7" w:tplc="DF0A1CF0" w:tentative="1">
      <w:start w:val="1"/>
      <w:numFmt w:val="bullet"/>
      <w:lvlText w:val="•"/>
      <w:lvlJc w:val="left"/>
      <w:pPr>
        <w:tabs>
          <w:tab w:val="num" w:pos="5400"/>
        </w:tabs>
        <w:ind w:left="5400" w:hanging="360"/>
      </w:pPr>
      <w:rPr>
        <w:rFonts w:ascii="Arial" w:hAnsi="Arial" w:hint="default"/>
      </w:rPr>
    </w:lvl>
    <w:lvl w:ilvl="8" w:tplc="A4A86E2C"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FDC5663"/>
    <w:multiLevelType w:val="hybridMultilevel"/>
    <w:tmpl w:val="BCCA23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61AC3EB1"/>
    <w:multiLevelType w:val="hybridMultilevel"/>
    <w:tmpl w:val="725CD4AA"/>
    <w:lvl w:ilvl="0" w:tplc="4B9AA92C">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677729"/>
    <w:multiLevelType w:val="hybridMultilevel"/>
    <w:tmpl w:val="68AC2500"/>
    <w:lvl w:ilvl="0" w:tplc="88B8779A">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CFD68F0"/>
    <w:multiLevelType w:val="hybridMultilevel"/>
    <w:tmpl w:val="718C9638"/>
    <w:lvl w:ilvl="0" w:tplc="E3F4AAB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58E0BAE"/>
    <w:multiLevelType w:val="hybridMultilevel"/>
    <w:tmpl w:val="BC2EE1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686D71"/>
    <w:multiLevelType w:val="hybridMultilevel"/>
    <w:tmpl w:val="2CAE54AA"/>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E37477E"/>
    <w:multiLevelType w:val="hybridMultilevel"/>
    <w:tmpl w:val="C82CD10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3"/>
  </w:num>
  <w:num w:numId="2">
    <w:abstractNumId w:val="13"/>
  </w:num>
  <w:num w:numId="3">
    <w:abstractNumId w:val="14"/>
  </w:num>
  <w:num w:numId="4">
    <w:abstractNumId w:val="19"/>
  </w:num>
  <w:num w:numId="5">
    <w:abstractNumId w:val="19"/>
    <w:lvlOverride w:ilvl="0">
      <w:startOverride w:val="2"/>
    </w:lvlOverride>
  </w:num>
  <w:num w:numId="6">
    <w:abstractNumId w:val="22"/>
  </w:num>
  <w:num w:numId="7">
    <w:abstractNumId w:val="26"/>
  </w:num>
  <w:num w:numId="8">
    <w:abstractNumId w:val="0"/>
  </w:num>
  <w:num w:numId="9">
    <w:abstractNumId w:val="21"/>
  </w:num>
  <w:num w:numId="10">
    <w:abstractNumId w:val="17"/>
  </w:num>
  <w:num w:numId="11">
    <w:abstractNumId w:val="1"/>
  </w:num>
  <w:num w:numId="12">
    <w:abstractNumId w:val="3"/>
    <w:lvlOverride w:ilvl="0">
      <w:startOverride w:val="2"/>
    </w:lvlOverride>
    <w:lvlOverride w:ilvl="1">
      <w:startOverride w:val="4"/>
    </w:lvlOverride>
  </w:num>
  <w:num w:numId="13">
    <w:abstractNumId w:val="3"/>
    <w:lvlOverride w:ilvl="0">
      <w:startOverride w:val="2"/>
    </w:lvlOverride>
    <w:lvlOverride w:ilvl="1">
      <w:startOverride w:val="4"/>
    </w:lvlOverride>
  </w:num>
  <w:num w:numId="14">
    <w:abstractNumId w:val="3"/>
    <w:lvlOverride w:ilvl="0">
      <w:startOverride w:val="2"/>
    </w:lvlOverride>
    <w:lvlOverride w:ilvl="1">
      <w:startOverride w:val="4"/>
    </w:lvlOverride>
  </w:num>
  <w:num w:numId="15">
    <w:abstractNumId w:val="6"/>
  </w:num>
  <w:num w:numId="16">
    <w:abstractNumId w:val="7"/>
  </w:num>
  <w:num w:numId="17">
    <w:abstractNumId w:val="16"/>
  </w:num>
  <w:num w:numId="18">
    <w:abstractNumId w:val="29"/>
  </w:num>
  <w:num w:numId="19">
    <w:abstractNumId w:val="28"/>
  </w:num>
  <w:num w:numId="20">
    <w:abstractNumId w:val="12"/>
  </w:num>
  <w:num w:numId="21">
    <w:abstractNumId w:val="4"/>
  </w:num>
  <w:num w:numId="22">
    <w:abstractNumId w:val="11"/>
  </w:num>
  <w:num w:numId="23">
    <w:abstractNumId w:val="25"/>
  </w:num>
  <w:num w:numId="24">
    <w:abstractNumId w:val="8"/>
  </w:num>
  <w:num w:numId="25">
    <w:abstractNumId w:val="24"/>
  </w:num>
  <w:num w:numId="26">
    <w:abstractNumId w:val="2"/>
  </w:num>
  <w:num w:numId="27">
    <w:abstractNumId w:val="9"/>
  </w:num>
  <w:num w:numId="28">
    <w:abstractNumId w:val="30"/>
  </w:num>
  <w:num w:numId="29">
    <w:abstractNumId w:val="20"/>
  </w:num>
  <w:num w:numId="30">
    <w:abstractNumId w:val="27"/>
  </w:num>
  <w:num w:numId="31">
    <w:abstractNumId w:val="18"/>
  </w:num>
  <w:num w:numId="32">
    <w:abstractNumId w:val="23"/>
  </w:num>
  <w:num w:numId="33">
    <w:abstractNumId w:val="15"/>
  </w:num>
  <w:num w:numId="34">
    <w:abstractNumId w:val="5"/>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567"/>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675"/>
    <w:rsid w:val="00035420"/>
    <w:rsid w:val="000654B0"/>
    <w:rsid w:val="0012064A"/>
    <w:rsid w:val="001226F1"/>
    <w:rsid w:val="00171E0E"/>
    <w:rsid w:val="0019031E"/>
    <w:rsid w:val="001C040D"/>
    <w:rsid w:val="001C3650"/>
    <w:rsid w:val="00213076"/>
    <w:rsid w:val="002353E6"/>
    <w:rsid w:val="002C28F9"/>
    <w:rsid w:val="00370BD2"/>
    <w:rsid w:val="00396675"/>
    <w:rsid w:val="003C36E1"/>
    <w:rsid w:val="003D34C7"/>
    <w:rsid w:val="004A3367"/>
    <w:rsid w:val="004C62D1"/>
    <w:rsid w:val="00535BE8"/>
    <w:rsid w:val="005B0E71"/>
    <w:rsid w:val="005B29B4"/>
    <w:rsid w:val="005D1F6B"/>
    <w:rsid w:val="005E3B8E"/>
    <w:rsid w:val="00600C52"/>
    <w:rsid w:val="00630695"/>
    <w:rsid w:val="006A3E51"/>
    <w:rsid w:val="006B46A2"/>
    <w:rsid w:val="007302E3"/>
    <w:rsid w:val="00902FA4"/>
    <w:rsid w:val="00986697"/>
    <w:rsid w:val="009F1DF4"/>
    <w:rsid w:val="00A1680E"/>
    <w:rsid w:val="00A25187"/>
    <w:rsid w:val="00A45BA4"/>
    <w:rsid w:val="00A51657"/>
    <w:rsid w:val="00AF3EF8"/>
    <w:rsid w:val="00B61A85"/>
    <w:rsid w:val="00B909FC"/>
    <w:rsid w:val="00BE1FEE"/>
    <w:rsid w:val="00C2544D"/>
    <w:rsid w:val="00C36899"/>
    <w:rsid w:val="00C90E3D"/>
    <w:rsid w:val="00CC284C"/>
    <w:rsid w:val="00D470C9"/>
    <w:rsid w:val="00D50856"/>
    <w:rsid w:val="00D5113D"/>
    <w:rsid w:val="00E77518"/>
    <w:rsid w:val="00EF727F"/>
    <w:rsid w:val="00F81ECA"/>
    <w:rsid w:val="00FD50E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4F3C8E-A85F-47F8-A3C8-B9F0C39B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2518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1">
    <w:name w:val="3GPP Header1"/>
    <w:basedOn w:val="Normal"/>
    <w:next w:val="Normal"/>
    <w:link w:val="3GPPHeader1Char"/>
    <w:qFormat/>
    <w:rsid w:val="007302E3"/>
    <w:pPr>
      <w:numPr>
        <w:numId w:val="1"/>
      </w:numPr>
      <w:spacing w:line="240" w:lineRule="auto"/>
      <w:ind w:left="360"/>
    </w:pPr>
    <w:rPr>
      <w:rFonts w:ascii="Arial" w:hAnsi="Arial" w:cs="Arial"/>
      <w:sz w:val="24"/>
    </w:rPr>
  </w:style>
  <w:style w:type="paragraph" w:styleId="ListParagraph">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列表段落,목록"/>
    <w:basedOn w:val="Normal"/>
    <w:link w:val="ListParagraphChar"/>
    <w:uiPriority w:val="34"/>
    <w:qFormat/>
    <w:rsid w:val="007302E3"/>
    <w:pPr>
      <w:ind w:left="720"/>
      <w:contextualSpacing/>
    </w:pPr>
  </w:style>
  <w:style w:type="character" w:customStyle="1" w:styleId="3GPPHeader1Char">
    <w:name w:val="3GPP Header1 Char"/>
    <w:basedOn w:val="DefaultParagraphFont"/>
    <w:link w:val="3GPPHeader1"/>
    <w:rsid w:val="007302E3"/>
    <w:rPr>
      <w:rFonts w:ascii="Arial" w:hAnsi="Arial" w:cs="Arial"/>
      <w:sz w:val="24"/>
    </w:rPr>
  </w:style>
  <w:style w:type="character" w:customStyle="1" w:styleId="ListParagraphChar">
    <w:name w:val="List Paragraph Char"/>
    <w:aliases w:val="- Bullets Char,?? ?? Char,????? Char,???? Char,Lista1 Char,列出段落1 Char,中等深浅网格 1 - 着色 21 Char,リスト段落 Char,¥¡¡¡¡ì¬º¥¹¥È¶ÎÂä Char,ÁÐ³ö¶ÎÂä Char,列表段落1 Char,—ño’i—Ž Char,¥ê¥¹¥È¶ÎÂä Char,1st level - Bullet List Paragraph Char,목록단락 Char"/>
    <w:link w:val="ListParagraph"/>
    <w:uiPriority w:val="34"/>
    <w:qFormat/>
    <w:rsid w:val="007302E3"/>
  </w:style>
  <w:style w:type="paragraph" w:customStyle="1" w:styleId="3GPPHeader2">
    <w:name w:val="3GPP Header 2"/>
    <w:basedOn w:val="Heading2"/>
    <w:next w:val="Normal"/>
    <w:link w:val="3GPPHeader2Char"/>
    <w:qFormat/>
    <w:rsid w:val="00A25187"/>
    <w:pPr>
      <w:spacing w:before="0" w:after="120"/>
    </w:pPr>
    <w:rPr>
      <w:rFonts w:ascii="Arial" w:hAnsi="Arial"/>
      <w:color w:val="auto"/>
      <w:sz w:val="22"/>
    </w:rPr>
  </w:style>
  <w:style w:type="character" w:customStyle="1" w:styleId="3GPPHeader2Char">
    <w:name w:val="3GPP Header 2 Char"/>
    <w:basedOn w:val="3GPPHeader1Char"/>
    <w:link w:val="3GPPHeader2"/>
    <w:rsid w:val="00A25187"/>
    <w:rPr>
      <w:rFonts w:ascii="Arial" w:eastAsiaTheme="majorEastAsia" w:hAnsi="Arial" w:cstheme="majorBidi"/>
      <w:sz w:val="24"/>
      <w:szCs w:val="26"/>
    </w:rPr>
  </w:style>
  <w:style w:type="character" w:customStyle="1" w:styleId="Heading2Char">
    <w:name w:val="Heading 2 Char"/>
    <w:basedOn w:val="DefaultParagraphFont"/>
    <w:link w:val="Heading2"/>
    <w:uiPriority w:val="9"/>
    <w:semiHidden/>
    <w:rsid w:val="00A25187"/>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5B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3D34C7"/>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qFormat/>
    <w:rsid w:val="003D34C7"/>
    <w:rPr>
      <w:rFonts w:ascii="Arial" w:eastAsia="Times New Roman" w:hAnsi="Arial" w:cs="Times New Roman"/>
      <w:b/>
      <w:sz w:val="18"/>
      <w:szCs w:val="20"/>
    </w:rPr>
  </w:style>
  <w:style w:type="paragraph" w:customStyle="1" w:styleId="TAC">
    <w:name w:val="TAC"/>
    <w:basedOn w:val="Normal"/>
    <w:link w:val="TACChar"/>
    <w:qFormat/>
    <w:rsid w:val="005D1F6B"/>
    <w:pPr>
      <w:keepNext/>
      <w:keepLines/>
      <w:spacing w:after="0"/>
      <w:jc w:val="center"/>
    </w:pPr>
    <w:rPr>
      <w:rFonts w:ascii="Arial" w:eastAsiaTheme="minorEastAsia" w:hAnsi="Arial" w:cs="Times New Roman"/>
      <w:sz w:val="18"/>
      <w:szCs w:val="20"/>
    </w:rPr>
  </w:style>
  <w:style w:type="character" w:customStyle="1" w:styleId="TACChar">
    <w:name w:val="TAC Char"/>
    <w:link w:val="TAC"/>
    <w:qFormat/>
    <w:rsid w:val="005D1F6B"/>
    <w:rPr>
      <w:rFonts w:ascii="Arial" w:eastAsiaTheme="minorEastAsia" w:hAnsi="Arial" w:cs="Times New Roman"/>
      <w:sz w:val="18"/>
      <w:szCs w:val="20"/>
    </w:rPr>
  </w:style>
  <w:style w:type="paragraph" w:customStyle="1" w:styleId="Agreement">
    <w:name w:val="Agreement"/>
    <w:basedOn w:val="Normal"/>
    <w:next w:val="Normal"/>
    <w:uiPriority w:val="99"/>
    <w:qFormat/>
    <w:rsid w:val="002353E6"/>
    <w:pPr>
      <w:numPr>
        <w:numId w:val="30"/>
      </w:numPr>
      <w:tabs>
        <w:tab w:val="clear" w:pos="4046"/>
        <w:tab w:val="num" w:pos="1069"/>
      </w:tabs>
      <w:spacing w:before="60" w:after="0" w:line="240" w:lineRule="auto"/>
      <w:ind w:left="1069"/>
    </w:pPr>
    <w:rPr>
      <w:rFonts w:ascii="Arial" w:eastAsia="MS Mincho" w:hAnsi="Arial" w:cs="Times New Roman"/>
      <w:b/>
      <w:sz w:val="20"/>
      <w:szCs w:val="24"/>
      <w:lang w:eastAsia="en-GB"/>
    </w:rPr>
  </w:style>
  <w:style w:type="paragraph" w:styleId="BalloonText">
    <w:name w:val="Balloon Text"/>
    <w:basedOn w:val="Normal"/>
    <w:link w:val="BalloonTextChar"/>
    <w:uiPriority w:val="99"/>
    <w:semiHidden/>
    <w:unhideWhenUsed/>
    <w:rsid w:val="00EF727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F72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4989588">
      <w:bodyDiv w:val="1"/>
      <w:marLeft w:val="0"/>
      <w:marRight w:val="0"/>
      <w:marTop w:val="0"/>
      <w:marBottom w:val="0"/>
      <w:divBdr>
        <w:top w:val="none" w:sz="0" w:space="0" w:color="auto"/>
        <w:left w:val="none" w:sz="0" w:space="0" w:color="auto"/>
        <w:bottom w:val="none" w:sz="0" w:space="0" w:color="auto"/>
        <w:right w:val="none" w:sz="0" w:space="0" w:color="auto"/>
      </w:divBdr>
      <w:divsChild>
        <w:div w:id="1908565125">
          <w:marLeft w:val="432"/>
          <w:marRight w:val="0"/>
          <w:marTop w:val="240"/>
          <w:marBottom w:val="0"/>
          <w:divBdr>
            <w:top w:val="none" w:sz="0" w:space="0" w:color="auto"/>
            <w:left w:val="none" w:sz="0" w:space="0" w:color="auto"/>
            <w:bottom w:val="none" w:sz="0" w:space="0" w:color="auto"/>
            <w:right w:val="none" w:sz="0" w:space="0" w:color="auto"/>
          </w:divBdr>
        </w:div>
        <w:div w:id="1770150996">
          <w:marLeft w:val="432"/>
          <w:marRight w:val="0"/>
          <w:marTop w:val="240"/>
          <w:marBottom w:val="0"/>
          <w:divBdr>
            <w:top w:val="none" w:sz="0" w:space="0" w:color="auto"/>
            <w:left w:val="none" w:sz="0" w:space="0" w:color="auto"/>
            <w:bottom w:val="none" w:sz="0" w:space="0" w:color="auto"/>
            <w:right w:val="none" w:sz="0" w:space="0" w:color="auto"/>
          </w:divBdr>
        </w:div>
        <w:div w:id="1131821373">
          <w:marLeft w:val="432"/>
          <w:marRight w:val="0"/>
          <w:marTop w:val="240"/>
          <w:marBottom w:val="0"/>
          <w:divBdr>
            <w:top w:val="none" w:sz="0" w:space="0" w:color="auto"/>
            <w:left w:val="none" w:sz="0" w:space="0" w:color="auto"/>
            <w:bottom w:val="none" w:sz="0" w:space="0" w:color="auto"/>
            <w:right w:val="none" w:sz="0" w:space="0" w:color="auto"/>
          </w:divBdr>
        </w:div>
        <w:div w:id="1352798534">
          <w:marLeft w:val="432"/>
          <w:marRight w:val="0"/>
          <w:marTop w:val="240"/>
          <w:marBottom w:val="0"/>
          <w:divBdr>
            <w:top w:val="none" w:sz="0" w:space="0" w:color="auto"/>
            <w:left w:val="none" w:sz="0" w:space="0" w:color="auto"/>
            <w:bottom w:val="none" w:sz="0" w:space="0" w:color="auto"/>
            <w:right w:val="none" w:sz="0" w:space="0" w:color="auto"/>
          </w:divBdr>
        </w:div>
      </w:divsChild>
    </w:div>
    <w:div w:id="1020207858">
      <w:bodyDiv w:val="1"/>
      <w:marLeft w:val="0"/>
      <w:marRight w:val="0"/>
      <w:marTop w:val="0"/>
      <w:marBottom w:val="0"/>
      <w:divBdr>
        <w:top w:val="none" w:sz="0" w:space="0" w:color="auto"/>
        <w:left w:val="none" w:sz="0" w:space="0" w:color="auto"/>
        <w:bottom w:val="none" w:sz="0" w:space="0" w:color="auto"/>
        <w:right w:val="none" w:sz="0" w:space="0" w:color="auto"/>
      </w:divBdr>
    </w:div>
    <w:div w:id="1299799071">
      <w:bodyDiv w:val="1"/>
      <w:marLeft w:val="0"/>
      <w:marRight w:val="0"/>
      <w:marTop w:val="0"/>
      <w:marBottom w:val="0"/>
      <w:divBdr>
        <w:top w:val="none" w:sz="0" w:space="0" w:color="auto"/>
        <w:left w:val="none" w:sz="0" w:space="0" w:color="auto"/>
        <w:bottom w:val="none" w:sz="0" w:space="0" w:color="auto"/>
        <w:right w:val="none" w:sz="0" w:space="0" w:color="auto"/>
      </w:divBdr>
    </w:div>
    <w:div w:id="1679236670">
      <w:bodyDiv w:val="1"/>
      <w:marLeft w:val="0"/>
      <w:marRight w:val="0"/>
      <w:marTop w:val="0"/>
      <w:marBottom w:val="0"/>
      <w:divBdr>
        <w:top w:val="none" w:sz="0" w:space="0" w:color="auto"/>
        <w:left w:val="none" w:sz="0" w:space="0" w:color="auto"/>
        <w:bottom w:val="none" w:sz="0" w:space="0" w:color="auto"/>
        <w:right w:val="none" w:sz="0" w:space="0" w:color="auto"/>
      </w:divBdr>
      <w:divsChild>
        <w:div w:id="1895190288">
          <w:marLeft w:val="432"/>
          <w:marRight w:val="0"/>
          <w:marTop w:val="240"/>
          <w:marBottom w:val="0"/>
          <w:divBdr>
            <w:top w:val="none" w:sz="0" w:space="0" w:color="auto"/>
            <w:left w:val="none" w:sz="0" w:space="0" w:color="auto"/>
            <w:bottom w:val="none" w:sz="0" w:space="0" w:color="auto"/>
            <w:right w:val="none" w:sz="0" w:space="0" w:color="auto"/>
          </w:divBdr>
        </w:div>
        <w:div w:id="305353644">
          <w:marLeft w:val="1267"/>
          <w:marRight w:val="0"/>
          <w:marTop w:val="180"/>
          <w:marBottom w:val="0"/>
          <w:divBdr>
            <w:top w:val="none" w:sz="0" w:space="0" w:color="auto"/>
            <w:left w:val="none" w:sz="0" w:space="0" w:color="auto"/>
            <w:bottom w:val="none" w:sz="0" w:space="0" w:color="auto"/>
            <w:right w:val="none" w:sz="0" w:space="0" w:color="auto"/>
          </w:divBdr>
        </w:div>
        <w:div w:id="1933971634">
          <w:marLeft w:val="1267"/>
          <w:marRight w:val="0"/>
          <w:marTop w:val="180"/>
          <w:marBottom w:val="0"/>
          <w:divBdr>
            <w:top w:val="none" w:sz="0" w:space="0" w:color="auto"/>
            <w:left w:val="none" w:sz="0" w:space="0" w:color="auto"/>
            <w:bottom w:val="none" w:sz="0" w:space="0" w:color="auto"/>
            <w:right w:val="none" w:sz="0" w:space="0" w:color="auto"/>
          </w:divBdr>
        </w:div>
        <w:div w:id="546382892">
          <w:marLeft w:val="432"/>
          <w:marRight w:val="0"/>
          <w:marTop w:val="240"/>
          <w:marBottom w:val="0"/>
          <w:divBdr>
            <w:top w:val="none" w:sz="0" w:space="0" w:color="auto"/>
            <w:left w:val="none" w:sz="0" w:space="0" w:color="auto"/>
            <w:bottom w:val="none" w:sz="0" w:space="0" w:color="auto"/>
            <w:right w:val="none" w:sz="0" w:space="0" w:color="auto"/>
          </w:divBdr>
        </w:div>
        <w:div w:id="1085031567">
          <w:marLeft w:val="1267"/>
          <w:marRight w:val="0"/>
          <w:marTop w:val="180"/>
          <w:marBottom w:val="0"/>
          <w:divBdr>
            <w:top w:val="none" w:sz="0" w:space="0" w:color="auto"/>
            <w:left w:val="none" w:sz="0" w:space="0" w:color="auto"/>
            <w:bottom w:val="none" w:sz="0" w:space="0" w:color="auto"/>
            <w:right w:val="none" w:sz="0" w:space="0" w:color="auto"/>
          </w:divBdr>
        </w:div>
        <w:div w:id="321201021">
          <w:marLeft w:val="1267"/>
          <w:marRight w:val="0"/>
          <w:marTop w:val="180"/>
          <w:marBottom w:val="0"/>
          <w:divBdr>
            <w:top w:val="none" w:sz="0" w:space="0" w:color="auto"/>
            <w:left w:val="none" w:sz="0" w:space="0" w:color="auto"/>
            <w:bottom w:val="none" w:sz="0" w:space="0" w:color="auto"/>
            <w:right w:val="none" w:sz="0" w:space="0" w:color="auto"/>
          </w:divBdr>
        </w:div>
        <w:div w:id="362481880">
          <w:marLeft w:val="1699"/>
          <w:marRight w:val="0"/>
          <w:marTop w:val="120"/>
          <w:marBottom w:val="0"/>
          <w:divBdr>
            <w:top w:val="none" w:sz="0" w:space="0" w:color="auto"/>
            <w:left w:val="none" w:sz="0" w:space="0" w:color="auto"/>
            <w:bottom w:val="none" w:sz="0" w:space="0" w:color="auto"/>
            <w:right w:val="none" w:sz="0" w:space="0" w:color="auto"/>
          </w:divBdr>
        </w:div>
        <w:div w:id="527761744">
          <w:marLeft w:val="432"/>
          <w:marRight w:val="0"/>
          <w:marTop w:val="240"/>
          <w:marBottom w:val="0"/>
          <w:divBdr>
            <w:top w:val="none" w:sz="0" w:space="0" w:color="auto"/>
            <w:left w:val="none" w:sz="0" w:space="0" w:color="auto"/>
            <w:bottom w:val="none" w:sz="0" w:space="0" w:color="auto"/>
            <w:right w:val="none" w:sz="0" w:space="0" w:color="auto"/>
          </w:divBdr>
        </w:div>
        <w:div w:id="899901651">
          <w:marLeft w:val="1699"/>
          <w:marRight w:val="0"/>
          <w:marTop w:val="120"/>
          <w:marBottom w:val="0"/>
          <w:divBdr>
            <w:top w:val="none" w:sz="0" w:space="0" w:color="auto"/>
            <w:left w:val="none" w:sz="0" w:space="0" w:color="auto"/>
            <w:bottom w:val="none" w:sz="0" w:space="0" w:color="auto"/>
            <w:right w:val="none" w:sz="0" w:space="0" w:color="auto"/>
          </w:divBdr>
        </w:div>
        <w:div w:id="1184436121">
          <w:marLeft w:val="1699"/>
          <w:marRight w:val="0"/>
          <w:marTop w:val="120"/>
          <w:marBottom w:val="0"/>
          <w:divBdr>
            <w:top w:val="none" w:sz="0" w:space="0" w:color="auto"/>
            <w:left w:val="none" w:sz="0" w:space="0" w:color="auto"/>
            <w:bottom w:val="none" w:sz="0" w:space="0" w:color="auto"/>
            <w:right w:val="none" w:sz="0" w:space="0" w:color="auto"/>
          </w:divBdr>
        </w:div>
      </w:divsChild>
    </w:div>
    <w:div w:id="1756516720">
      <w:bodyDiv w:val="1"/>
      <w:marLeft w:val="0"/>
      <w:marRight w:val="0"/>
      <w:marTop w:val="0"/>
      <w:marBottom w:val="0"/>
      <w:divBdr>
        <w:top w:val="none" w:sz="0" w:space="0" w:color="auto"/>
        <w:left w:val="none" w:sz="0" w:space="0" w:color="auto"/>
        <w:bottom w:val="none" w:sz="0" w:space="0" w:color="auto"/>
        <w:right w:val="none" w:sz="0" w:space="0" w:color="auto"/>
      </w:divBdr>
      <w:divsChild>
        <w:div w:id="660549411">
          <w:marLeft w:val="1267"/>
          <w:marRight w:val="0"/>
          <w:marTop w:val="180"/>
          <w:marBottom w:val="0"/>
          <w:divBdr>
            <w:top w:val="none" w:sz="0" w:space="0" w:color="auto"/>
            <w:left w:val="none" w:sz="0" w:space="0" w:color="auto"/>
            <w:bottom w:val="none" w:sz="0" w:space="0" w:color="auto"/>
            <w:right w:val="none" w:sz="0" w:space="0" w:color="auto"/>
          </w:divBdr>
        </w:div>
      </w:divsChild>
    </w:div>
    <w:div w:id="1922837525">
      <w:bodyDiv w:val="1"/>
      <w:marLeft w:val="0"/>
      <w:marRight w:val="0"/>
      <w:marTop w:val="0"/>
      <w:marBottom w:val="0"/>
      <w:divBdr>
        <w:top w:val="none" w:sz="0" w:space="0" w:color="auto"/>
        <w:left w:val="none" w:sz="0" w:space="0" w:color="auto"/>
        <w:bottom w:val="none" w:sz="0" w:space="0" w:color="auto"/>
        <w:right w:val="none" w:sz="0" w:space="0" w:color="auto"/>
      </w:divBdr>
      <w:divsChild>
        <w:div w:id="2026635831">
          <w:marLeft w:val="1800"/>
          <w:marRight w:val="0"/>
          <w:marTop w:val="100"/>
          <w:marBottom w:val="0"/>
          <w:divBdr>
            <w:top w:val="none" w:sz="0" w:space="0" w:color="auto"/>
            <w:left w:val="none" w:sz="0" w:space="0" w:color="auto"/>
            <w:bottom w:val="none" w:sz="0" w:space="0" w:color="auto"/>
            <w:right w:val="none" w:sz="0" w:space="0" w:color="auto"/>
          </w:divBdr>
        </w:div>
        <w:div w:id="1501391259">
          <w:marLeft w:val="1800"/>
          <w:marRight w:val="0"/>
          <w:marTop w:val="100"/>
          <w:marBottom w:val="0"/>
          <w:divBdr>
            <w:top w:val="none" w:sz="0" w:space="0" w:color="auto"/>
            <w:left w:val="none" w:sz="0" w:space="0" w:color="auto"/>
            <w:bottom w:val="none" w:sz="0" w:space="0" w:color="auto"/>
            <w:right w:val="none" w:sz="0" w:space="0" w:color="auto"/>
          </w:divBdr>
        </w:div>
        <w:div w:id="1416785020">
          <w:marLeft w:val="1800"/>
          <w:marRight w:val="0"/>
          <w:marTop w:val="100"/>
          <w:marBottom w:val="0"/>
          <w:divBdr>
            <w:top w:val="none" w:sz="0" w:space="0" w:color="auto"/>
            <w:left w:val="none" w:sz="0" w:space="0" w:color="auto"/>
            <w:bottom w:val="none" w:sz="0" w:space="0" w:color="auto"/>
            <w:right w:val="none" w:sz="0" w:space="0" w:color="auto"/>
          </w:divBdr>
        </w:div>
        <w:div w:id="2110079657">
          <w:marLeft w:val="1800"/>
          <w:marRight w:val="0"/>
          <w:marTop w:val="100"/>
          <w:marBottom w:val="0"/>
          <w:divBdr>
            <w:top w:val="none" w:sz="0" w:space="0" w:color="auto"/>
            <w:left w:val="none" w:sz="0" w:space="0" w:color="auto"/>
            <w:bottom w:val="none" w:sz="0" w:space="0" w:color="auto"/>
            <w:right w:val="none" w:sz="0" w:space="0" w:color="auto"/>
          </w:divBdr>
        </w:div>
        <w:div w:id="1538851636">
          <w:marLeft w:val="1800"/>
          <w:marRight w:val="0"/>
          <w:marTop w:val="100"/>
          <w:marBottom w:val="0"/>
          <w:divBdr>
            <w:top w:val="none" w:sz="0" w:space="0" w:color="auto"/>
            <w:left w:val="none" w:sz="0" w:space="0" w:color="auto"/>
            <w:bottom w:val="none" w:sz="0" w:space="0" w:color="auto"/>
            <w:right w:val="none" w:sz="0" w:space="0" w:color="auto"/>
          </w:divBdr>
        </w:div>
        <w:div w:id="161278312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978</Words>
  <Characters>5575</Characters>
  <Application>Microsoft Office Word</Application>
  <DocSecurity>0</DocSecurity>
  <Lines>46</Lines>
  <Paragraphs>13</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4.1	Some RAN2 preferences/assumptions provided in [2]</vt:lpstr>
      <vt:lpstr>    4.2	Other areas to be determined</vt:lpstr>
    </vt:vector>
  </TitlesOfParts>
  <Company/>
  <LinksUpToDate>false</LinksUpToDate>
  <CharactersWithSpaces>6540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Frost</dc:creator>
  <cp:keywords/>
  <dc:description/>
  <cp:lastModifiedBy>Tim Frost</cp:lastModifiedBy>
  <cp:revision>4</cp:revision>
  <dcterms:created xsi:type="dcterms:W3CDTF">2021-06-07T16:06:00Z</dcterms:created>
  <dcterms:modified xsi:type="dcterms:W3CDTF">2021-06-07T16:09:00Z</dcterms:modified>
</cp:coreProperties>
</file>