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59986" w14:textId="3C4D859A" w:rsidR="006A4A88" w:rsidRPr="003A5461" w:rsidRDefault="009357A8" w:rsidP="000373FB">
      <w:pPr>
        <w:pStyle w:val="CRCoverPage"/>
        <w:tabs>
          <w:tab w:val="right" w:pos="9639"/>
        </w:tabs>
        <w:spacing w:after="0"/>
      </w:pPr>
      <w:r w:rsidRPr="7D9DE6A8">
        <w:rPr>
          <w:b/>
          <w:sz w:val="24"/>
          <w:szCs w:val="24"/>
        </w:rPr>
        <w:t xml:space="preserve">3GPP TSG-RAN Meeting </w:t>
      </w:r>
      <w:r w:rsidR="0042119C" w:rsidRPr="7D9DE6A8">
        <w:rPr>
          <w:b/>
          <w:sz w:val="24"/>
          <w:szCs w:val="24"/>
        </w:rPr>
        <w:t>#</w:t>
      </w:r>
      <w:r w:rsidR="003B162C" w:rsidRPr="7D9DE6A8">
        <w:rPr>
          <w:b/>
          <w:sz w:val="24"/>
          <w:szCs w:val="24"/>
        </w:rPr>
        <w:t>92</w:t>
      </w:r>
      <w:r w:rsidR="004A3220" w:rsidRPr="7D9DE6A8">
        <w:rPr>
          <w:b/>
          <w:sz w:val="24"/>
          <w:szCs w:val="24"/>
        </w:rPr>
        <w:t>-e</w:t>
      </w:r>
      <w:r w:rsidR="006A4A88">
        <w:tab/>
      </w:r>
      <w:r w:rsidR="65DDE331" w:rsidRPr="005860C7">
        <w:rPr>
          <w:rFonts w:cs="Arial"/>
          <w:b/>
          <w:bCs/>
          <w:sz w:val="24"/>
          <w:lang w:val="en-US" w:eastAsia="ja-JP"/>
        </w:rPr>
        <w:t>RP-211364</w:t>
      </w:r>
    </w:p>
    <w:p w14:paraId="4D56DEE9" w14:textId="7DD7B362" w:rsidR="00F12DF5" w:rsidRDefault="00F12DF5" w:rsidP="00F12DF5">
      <w:pPr>
        <w:pStyle w:val="Header"/>
        <w:rPr>
          <w:bCs/>
          <w:noProof w:val="0"/>
          <w:sz w:val="24"/>
          <w:szCs w:val="24"/>
        </w:rPr>
      </w:pPr>
      <w:r w:rsidRPr="002778BD">
        <w:rPr>
          <w:bCs/>
          <w:noProof w:val="0"/>
          <w:sz w:val="24"/>
          <w:szCs w:val="24"/>
        </w:rPr>
        <w:t xml:space="preserve">e-Meeting, </w:t>
      </w:r>
      <w:r w:rsidR="003B162C">
        <w:rPr>
          <w:bCs/>
          <w:noProof w:val="0"/>
          <w:sz w:val="24"/>
          <w:szCs w:val="24"/>
        </w:rPr>
        <w:t>June 14</w:t>
      </w:r>
      <w:r w:rsidR="003B162C" w:rsidRPr="003B162C">
        <w:rPr>
          <w:bCs/>
          <w:noProof w:val="0"/>
          <w:sz w:val="24"/>
          <w:szCs w:val="24"/>
          <w:vertAlign w:val="superscript"/>
        </w:rPr>
        <w:t>th</w:t>
      </w:r>
      <w:r w:rsidR="003B162C">
        <w:rPr>
          <w:bCs/>
          <w:noProof w:val="0"/>
          <w:sz w:val="24"/>
          <w:szCs w:val="24"/>
        </w:rPr>
        <w:t xml:space="preserve"> – 18</w:t>
      </w:r>
      <w:r w:rsidR="003B162C" w:rsidRPr="003B162C">
        <w:rPr>
          <w:bCs/>
          <w:noProof w:val="0"/>
          <w:sz w:val="24"/>
          <w:szCs w:val="24"/>
          <w:vertAlign w:val="superscript"/>
        </w:rPr>
        <w:t>th</w:t>
      </w:r>
      <w:r w:rsidRPr="002778BD">
        <w:rPr>
          <w:bCs/>
          <w:noProof w:val="0"/>
          <w:sz w:val="24"/>
          <w:szCs w:val="24"/>
        </w:rPr>
        <w:t>, 202</w:t>
      </w:r>
      <w:r w:rsidR="00CA5607">
        <w:rPr>
          <w:bCs/>
          <w:noProof w:val="0"/>
          <w:sz w:val="24"/>
          <w:szCs w:val="24"/>
        </w:rPr>
        <w:t>1</w:t>
      </w:r>
    </w:p>
    <w:p w14:paraId="0CBA198B" w14:textId="77777777" w:rsidR="007D040F" w:rsidRPr="00BB3A4E" w:rsidRDefault="007D040F" w:rsidP="007D040F">
      <w:pPr>
        <w:pStyle w:val="CRCoverPage"/>
        <w:rPr>
          <w:rFonts w:cs="Arial"/>
          <w:b/>
          <w:bCs/>
          <w:sz w:val="24"/>
          <w:lang w:val="en-US"/>
        </w:rPr>
      </w:pPr>
    </w:p>
    <w:p w14:paraId="5A72964D" w14:textId="050B4A67"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5F2664">
        <w:rPr>
          <w:rFonts w:cs="Arial"/>
          <w:b/>
          <w:bCs/>
          <w:sz w:val="24"/>
          <w:lang w:val="en-US"/>
        </w:rPr>
        <w:t>9.7.1.1</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3066C1D1"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06511B">
        <w:rPr>
          <w:rFonts w:ascii="Arial" w:hAnsi="Arial" w:cs="Arial"/>
          <w:b/>
          <w:bCs/>
          <w:sz w:val="24"/>
          <w:lang w:val="en-US"/>
        </w:rPr>
        <w:t>Views on FeMIMO WID</w:t>
      </w:r>
      <w:r w:rsidR="003B162C">
        <w:rPr>
          <w:rFonts w:ascii="Arial" w:hAnsi="Arial" w:cs="Arial"/>
          <w:b/>
          <w:bCs/>
          <w:sz w:val="24"/>
          <w:lang w:val="en-US"/>
        </w:rPr>
        <w:t xml:space="preserve"> </w:t>
      </w:r>
      <w:r w:rsidR="55D7FE1F" w:rsidRPr="413CEA0C">
        <w:rPr>
          <w:rFonts w:ascii="Arial" w:hAnsi="Arial" w:cs="Arial"/>
          <w:b/>
          <w:bCs/>
          <w:sz w:val="24"/>
          <w:szCs w:val="24"/>
          <w:lang w:val="en-US"/>
        </w:rPr>
        <w:t>scope</w:t>
      </w:r>
    </w:p>
    <w:p w14:paraId="70916F63" w14:textId="38335FB6" w:rsidR="003B162C" w:rsidRPr="003B162C" w:rsidRDefault="003B162C" w:rsidP="003B162C">
      <w:pPr>
        <w:ind w:left="1985" w:hanging="1985"/>
        <w:rPr>
          <w:rFonts w:ascii="Arial" w:hAnsi="Arial" w:cs="Arial"/>
          <w:b/>
          <w:bCs/>
          <w:sz w:val="24"/>
          <w:lang w:val="en-US"/>
        </w:rPr>
      </w:pPr>
      <w:r w:rsidRPr="003B162C">
        <w:rPr>
          <w:rFonts w:ascii="Arial" w:hAnsi="Arial" w:cs="Arial"/>
          <w:b/>
          <w:bCs/>
          <w:sz w:val="24"/>
          <w:lang w:val="en-US"/>
        </w:rPr>
        <w:t>WI</w:t>
      </w:r>
      <w:r>
        <w:rPr>
          <w:rFonts w:ascii="Arial" w:hAnsi="Arial" w:cs="Arial"/>
          <w:b/>
          <w:bCs/>
          <w:sz w:val="24"/>
          <w:lang w:val="en-US"/>
        </w:rPr>
        <w:t xml:space="preserve"> code</w:t>
      </w:r>
      <w:r w:rsidRPr="003B162C">
        <w:rPr>
          <w:rFonts w:ascii="Arial" w:hAnsi="Arial" w:cs="Arial"/>
          <w:b/>
          <w:bCs/>
          <w:sz w:val="24"/>
          <w:lang w:val="en-US"/>
        </w:rPr>
        <w:t xml:space="preserve">: </w:t>
      </w:r>
      <w:r>
        <w:rPr>
          <w:rFonts w:ascii="Arial" w:hAnsi="Arial" w:cs="Arial"/>
          <w:b/>
          <w:bCs/>
          <w:sz w:val="24"/>
          <w:lang w:val="en-US"/>
        </w:rPr>
        <w:tab/>
      </w:r>
      <w:r w:rsidR="00020EBF" w:rsidRPr="00020EBF">
        <w:rPr>
          <w:rFonts w:ascii="Arial" w:hAnsi="Arial" w:cs="Arial"/>
          <w:b/>
          <w:bCs/>
          <w:sz w:val="24"/>
          <w:lang w:val="en-US"/>
        </w:rPr>
        <w:t>NR_FeMIMO</w:t>
      </w:r>
      <w:r w:rsidR="005F2664">
        <w:rPr>
          <w:rFonts w:ascii="Arial" w:hAnsi="Arial" w:cs="Arial"/>
          <w:b/>
          <w:bCs/>
          <w:sz w:val="24"/>
          <w:lang w:val="en-US"/>
        </w:rPr>
        <w:t xml:space="preserve"> - Release 17</w:t>
      </w:r>
    </w:p>
    <w:p w14:paraId="7A84ED52" w14:textId="4DAFE92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1EDC831D" w:rsidR="003E2C42" w:rsidRPr="00BB3A4E" w:rsidRDefault="003E2C42" w:rsidP="00AC42A0">
      <w:pPr>
        <w:pStyle w:val="Heading1"/>
        <w:numPr>
          <w:ilvl w:val="0"/>
          <w:numId w:val="4"/>
        </w:numPr>
      </w:pPr>
      <w:r w:rsidRPr="00BB3A4E">
        <w:t>Introduction</w:t>
      </w:r>
    </w:p>
    <w:p w14:paraId="079AA40E" w14:textId="6124C284" w:rsidR="00A04340" w:rsidRPr="0006511B" w:rsidRDefault="003B162C" w:rsidP="0006511B">
      <w:pPr>
        <w:jc w:val="both"/>
        <w:rPr>
          <w:lang w:eastAsia="zh-CN"/>
        </w:rPr>
      </w:pPr>
      <w:r w:rsidRPr="4DE5AF77">
        <w:rPr>
          <w:lang w:eastAsia="zh-CN"/>
        </w:rPr>
        <w:t xml:space="preserve">During RAN#91-e, there </w:t>
      </w:r>
      <w:r w:rsidR="0006511B" w:rsidRPr="4DE5AF77">
        <w:rPr>
          <w:lang w:eastAsia="zh-CN"/>
        </w:rPr>
        <w:t xml:space="preserve">has been discussions on the scope of </w:t>
      </w:r>
      <w:r w:rsidR="00020EBF" w:rsidRPr="4DE5AF77">
        <w:rPr>
          <w:lang w:eastAsia="zh-CN"/>
        </w:rPr>
        <w:t>Further enhancements on MIMO for NR (</w:t>
      </w:r>
      <w:r w:rsidR="0006511B" w:rsidRPr="4DE5AF77">
        <w:rPr>
          <w:lang w:eastAsia="zh-CN"/>
        </w:rPr>
        <w:t>FeMIMO</w:t>
      </w:r>
      <w:r w:rsidR="00020EBF" w:rsidRPr="4DE5AF77">
        <w:rPr>
          <w:lang w:eastAsia="zh-CN"/>
        </w:rPr>
        <w:t>)</w:t>
      </w:r>
      <w:r w:rsidR="0006511B" w:rsidRPr="4DE5AF77">
        <w:rPr>
          <w:lang w:eastAsia="zh-CN"/>
        </w:rPr>
        <w:t xml:space="preserve"> WID, in particular relating L1/L2 mobility, and how this topic is expected to be handled across WGs. There has  been progress during April and May WG meetings, both in RAN1 </w:t>
      </w:r>
      <w:r w:rsidR="002E23FE" w:rsidRPr="4DE5AF77">
        <w:rPr>
          <w:lang w:eastAsia="zh-CN"/>
        </w:rPr>
        <w:t>as well as RAN2, RAN3 and RAN4</w:t>
      </w:r>
      <w:r w:rsidR="0006511B" w:rsidRPr="4DE5AF77">
        <w:rPr>
          <w:lang w:eastAsia="zh-CN"/>
        </w:rPr>
        <w:t>, with RAN2</w:t>
      </w:r>
      <w:r w:rsidR="002E23FE" w:rsidRPr="4DE5AF77">
        <w:rPr>
          <w:lang w:eastAsia="zh-CN"/>
        </w:rPr>
        <w:t>/3/4</w:t>
      </w:r>
      <w:r w:rsidR="0006511B" w:rsidRPr="4DE5AF77">
        <w:rPr>
          <w:lang w:eastAsia="zh-CN"/>
        </w:rPr>
        <w:t xml:space="preserve"> now providing reply LS </w:t>
      </w:r>
      <w:r w:rsidR="64864868" w:rsidRPr="4DE5AF77">
        <w:rPr>
          <w:lang w:eastAsia="zh-CN"/>
        </w:rPr>
        <w:t xml:space="preserve">answers </w:t>
      </w:r>
      <w:r w:rsidR="1B42F940" w:rsidRPr="4DE5AF77">
        <w:rPr>
          <w:lang w:eastAsia="zh-CN"/>
        </w:rPr>
        <w:t xml:space="preserve">(and questions) </w:t>
      </w:r>
      <w:r w:rsidR="0006511B" w:rsidRPr="4DE5AF77">
        <w:rPr>
          <w:lang w:eastAsia="zh-CN"/>
        </w:rPr>
        <w:t>on their understanding regarding this topic [1]</w:t>
      </w:r>
      <w:r w:rsidR="002E23FE" w:rsidRPr="4DE5AF77">
        <w:rPr>
          <w:lang w:eastAsia="zh-CN"/>
        </w:rPr>
        <w:t>[2][3]</w:t>
      </w:r>
      <w:r w:rsidR="0006511B" w:rsidRPr="4DE5AF77">
        <w:rPr>
          <w:lang w:eastAsia="zh-CN"/>
        </w:rPr>
        <w:t xml:space="preserve">. </w:t>
      </w:r>
      <w:r w:rsidRPr="4DE5AF77">
        <w:rPr>
          <w:lang w:eastAsia="zh-CN"/>
        </w:rPr>
        <w:t xml:space="preserve"> </w:t>
      </w:r>
      <w:r w:rsidR="0006511B" w:rsidRPr="4DE5AF77">
        <w:rPr>
          <w:lang w:eastAsia="zh-CN"/>
        </w:rPr>
        <w:t xml:space="preserve">In addition, it has been acknowledged in RAN#91-e that the entirety of 2021 will comprise of electronic meetings, which makes it imperative that the work item scopes are managed accordingly, taking into account the inherently lower efficiency of electronic meetings. </w:t>
      </w:r>
      <w:r w:rsidR="0006511B" w:rsidRPr="4DE5AF77">
        <w:rPr>
          <w:lang w:val="en-US" w:eastAsia="zh-CN"/>
        </w:rPr>
        <w:t>In this contribution we present our views on how to handle the FeMIMO work item for the remainder of Rel-17.</w:t>
      </w:r>
    </w:p>
    <w:p w14:paraId="01A2D6F4" w14:textId="77777777" w:rsidR="00A04340" w:rsidRPr="00A04340" w:rsidRDefault="00A04340" w:rsidP="00A04340">
      <w:pPr>
        <w:pStyle w:val="ListParagraph"/>
        <w:jc w:val="both"/>
        <w:rPr>
          <w:b/>
          <w:bCs/>
          <w:lang w:val="en-US" w:eastAsia="zh-CN"/>
        </w:rPr>
      </w:pPr>
    </w:p>
    <w:p w14:paraId="737AAC97" w14:textId="53A242FD" w:rsidR="00344144" w:rsidRDefault="00A04340" w:rsidP="00AC42A0">
      <w:pPr>
        <w:pStyle w:val="Heading1"/>
        <w:numPr>
          <w:ilvl w:val="0"/>
          <w:numId w:val="4"/>
        </w:numPr>
        <w:rPr>
          <w:lang w:eastAsia="zh-CN"/>
        </w:rPr>
      </w:pPr>
      <w:r>
        <w:t xml:space="preserve">Discussion on status of </w:t>
      </w:r>
      <w:r w:rsidR="0006511B">
        <w:t>L1/L2</w:t>
      </w:r>
      <w:r w:rsidR="00020EBF">
        <w:t>-centric</w:t>
      </w:r>
      <w:r w:rsidR="0006511B">
        <w:t xml:space="preserve"> mobility</w:t>
      </w:r>
    </w:p>
    <w:p w14:paraId="0661962A" w14:textId="7854E622" w:rsidR="007963EF" w:rsidRDefault="00020EBF" w:rsidP="00A929B4">
      <w:pPr>
        <w:rPr>
          <w:lang w:val="en-US" w:eastAsia="zh-CN"/>
        </w:rPr>
      </w:pPr>
      <w:r w:rsidRPr="3C240125">
        <w:rPr>
          <w:lang w:val="en-US" w:eastAsia="zh-CN"/>
        </w:rPr>
        <w:t>In FeMIMO WID, L1/L2-centric mobility is covered by the following objective  [</w:t>
      </w:r>
      <w:r w:rsidR="002E23FE" w:rsidRPr="3C240125">
        <w:rPr>
          <w:lang w:val="en-US" w:eastAsia="zh-CN"/>
        </w:rPr>
        <w:t>4</w:t>
      </w:r>
      <w:r w:rsidRPr="3C240125">
        <w:rPr>
          <w:lang w:val="en-US" w:eastAsia="zh-CN"/>
        </w:rPr>
        <w:t>]:</w:t>
      </w:r>
    </w:p>
    <w:p w14:paraId="36179CF1" w14:textId="77777777" w:rsidR="00020EBF" w:rsidRDefault="00020EBF" w:rsidP="00020EBF">
      <w:pPr>
        <w:pStyle w:val="ListParagraph"/>
        <w:numPr>
          <w:ilvl w:val="0"/>
          <w:numId w:val="25"/>
        </w:numPr>
        <w:spacing w:after="0"/>
        <w:ind w:left="720"/>
        <w:contextualSpacing w:val="0"/>
        <w:jc w:val="both"/>
        <w:rPr>
          <w:lang w:eastAsia="en-GB"/>
        </w:rPr>
      </w:pPr>
      <w:r>
        <w:t xml:space="preserve">Enhancement on multi-beam operation, mainly targeting FR2 while also applicable to FR1: </w:t>
      </w:r>
    </w:p>
    <w:p w14:paraId="36D9DF67" w14:textId="77777777" w:rsidR="00020EBF" w:rsidRDefault="00020EBF" w:rsidP="00020EBF">
      <w:pPr>
        <w:pStyle w:val="ListParagraph"/>
        <w:numPr>
          <w:ilvl w:val="1"/>
          <w:numId w:val="25"/>
        </w:numPr>
        <w:spacing w:after="0"/>
        <w:ind w:left="1440"/>
        <w:contextualSpacing w:val="0"/>
        <w:jc w:val="both"/>
        <w:rPr>
          <w:lang w:eastAsia="en-GB"/>
        </w:rPr>
      </w:pPr>
      <w:r w:rsidRPr="00733FD7">
        <w:rPr>
          <w:highlight w:val="yellow"/>
        </w:rPr>
        <w:t>Identify and specify features</w:t>
      </w:r>
      <w:r>
        <w:t xml:space="preserve"> to facilitate more efficient (lower latency and overhead) DL/UL beam management </w:t>
      </w:r>
      <w:r w:rsidRPr="7DF7FE95">
        <w:rPr>
          <w:highlight w:val="yellow"/>
        </w:rPr>
        <w:t>to support higher intra- and L1/L2-centric inter-cell mobility</w:t>
      </w:r>
      <w:r>
        <w:t xml:space="preserve"> and/or a larger number of configured TCI states:</w:t>
      </w:r>
    </w:p>
    <w:p w14:paraId="5F5C3208" w14:textId="77777777" w:rsidR="00020EBF" w:rsidRPr="00733FD7" w:rsidRDefault="00020EBF" w:rsidP="00020EBF">
      <w:pPr>
        <w:pStyle w:val="ListParagraph"/>
        <w:numPr>
          <w:ilvl w:val="2"/>
          <w:numId w:val="25"/>
        </w:numPr>
        <w:spacing w:after="0"/>
        <w:ind w:left="2160"/>
        <w:contextualSpacing w:val="0"/>
        <w:jc w:val="both"/>
        <w:rPr>
          <w:highlight w:val="green"/>
        </w:rPr>
      </w:pPr>
      <w:r w:rsidRPr="00733FD7">
        <w:rPr>
          <w:highlight w:val="green"/>
        </w:rPr>
        <w:t>Common beam for data and control transmission/reception for DL and UL, especially for intra-band CA</w:t>
      </w:r>
    </w:p>
    <w:p w14:paraId="6EF83EE9" w14:textId="77777777" w:rsidR="00020EBF" w:rsidRDefault="00020EBF" w:rsidP="00020EBF">
      <w:pPr>
        <w:pStyle w:val="ListParagraph"/>
        <w:numPr>
          <w:ilvl w:val="2"/>
          <w:numId w:val="25"/>
        </w:numPr>
        <w:spacing w:after="0"/>
        <w:ind w:left="2160"/>
        <w:contextualSpacing w:val="0"/>
        <w:jc w:val="both"/>
      </w:pPr>
      <w:r>
        <w:t>Unified TCI framework for DL and UL beam indication</w:t>
      </w:r>
    </w:p>
    <w:p w14:paraId="449260F6" w14:textId="693E58DC" w:rsidR="00020EBF" w:rsidRDefault="00020EBF" w:rsidP="00020EBF">
      <w:pPr>
        <w:pStyle w:val="ListParagraph"/>
        <w:numPr>
          <w:ilvl w:val="2"/>
          <w:numId w:val="25"/>
        </w:numPr>
        <w:spacing w:after="0"/>
        <w:ind w:left="2160"/>
        <w:contextualSpacing w:val="0"/>
        <w:jc w:val="both"/>
      </w:pPr>
      <w:r>
        <w:t>Enhancement on signalling mechanisms for the above features to improve latency and efficiency with more usage of dynamic control signaling (as opposed to RRC)</w:t>
      </w:r>
    </w:p>
    <w:p w14:paraId="280F560C" w14:textId="324749C3" w:rsidR="00064AE7" w:rsidRDefault="0044104E" w:rsidP="00733FD7">
      <w:pPr>
        <w:spacing w:before="180"/>
      </w:pPr>
      <w:r>
        <w:t xml:space="preserve">However, the </w:t>
      </w:r>
      <w:r w:rsidR="00FA2659">
        <w:t>second ob</w:t>
      </w:r>
      <w:r w:rsidR="00064AE7">
        <w:t>jective also shares some similarities with the first one (highlight added to illustrate this):</w:t>
      </w:r>
    </w:p>
    <w:p w14:paraId="62D39DA0" w14:textId="77777777" w:rsidR="00064AE7" w:rsidRPr="00064AE7" w:rsidRDefault="00064AE7" w:rsidP="00733FD7">
      <w:pPr>
        <w:numPr>
          <w:ilvl w:val="0"/>
          <w:numId w:val="25"/>
        </w:numPr>
        <w:overflowPunct w:val="0"/>
        <w:autoSpaceDE w:val="0"/>
        <w:autoSpaceDN w:val="0"/>
        <w:adjustRightInd w:val="0"/>
        <w:spacing w:after="0"/>
        <w:jc w:val="both"/>
        <w:textAlignment w:val="baseline"/>
        <w:rPr>
          <w:rFonts w:eastAsia="Malgun Gothic"/>
        </w:rPr>
      </w:pPr>
      <w:r w:rsidRPr="00064AE7">
        <w:rPr>
          <w:rFonts w:eastAsia="Malgun Gothic"/>
        </w:rPr>
        <w:t>Enhancement on the support for multi-TRP deployment, targeting both FR1 and FR2:</w:t>
      </w:r>
    </w:p>
    <w:p w14:paraId="6B52E08F" w14:textId="77777777" w:rsidR="00064AE7" w:rsidRPr="00064AE7" w:rsidRDefault="00064AE7" w:rsidP="00064AE7">
      <w:pPr>
        <w:numPr>
          <w:ilvl w:val="1"/>
          <w:numId w:val="28"/>
        </w:numPr>
        <w:overflowPunct w:val="0"/>
        <w:autoSpaceDE w:val="0"/>
        <w:autoSpaceDN w:val="0"/>
        <w:adjustRightInd w:val="0"/>
        <w:spacing w:after="0"/>
        <w:jc w:val="both"/>
        <w:textAlignment w:val="baseline"/>
        <w:rPr>
          <w:rFonts w:eastAsia="Malgun Gothic"/>
        </w:rPr>
      </w:pPr>
      <w:r w:rsidRPr="00064AE7">
        <w:rPr>
          <w:rFonts w:eastAsia="Malgun Gothic"/>
        </w:rPr>
        <w:t xml:space="preserve">Identify and specify features to improve reliability and robustness for channels other than PDSCH (that is, PDCCH, PUSCH, and PUCCH) using multi-TRP and/or multi-panel, with Rel.16 reliability features as the baseline </w:t>
      </w:r>
    </w:p>
    <w:p w14:paraId="657DBB31" w14:textId="77777777" w:rsidR="00064AE7" w:rsidRPr="00733FD7" w:rsidRDefault="00064AE7" w:rsidP="00064AE7">
      <w:pPr>
        <w:numPr>
          <w:ilvl w:val="1"/>
          <w:numId w:val="28"/>
        </w:numPr>
        <w:overflowPunct w:val="0"/>
        <w:autoSpaceDE w:val="0"/>
        <w:autoSpaceDN w:val="0"/>
        <w:adjustRightInd w:val="0"/>
        <w:spacing w:after="0"/>
        <w:jc w:val="both"/>
        <w:textAlignment w:val="baseline"/>
        <w:rPr>
          <w:rFonts w:eastAsia="Malgun Gothic"/>
          <w:highlight w:val="yellow"/>
        </w:rPr>
      </w:pPr>
      <w:r w:rsidRPr="00733FD7">
        <w:rPr>
          <w:rFonts w:eastAsia="Malgun Gothic"/>
          <w:highlight w:val="yellow"/>
        </w:rPr>
        <w:t>Identify and specify QCL/TCI-related enhancements to enable inter-cell multi-TRP operations, assuming multi-DCI based multi-PDSCH reception</w:t>
      </w:r>
    </w:p>
    <w:p w14:paraId="238340B6" w14:textId="77777777" w:rsidR="00064AE7" w:rsidRPr="00733FD7" w:rsidRDefault="00064AE7" w:rsidP="00064AE7">
      <w:pPr>
        <w:numPr>
          <w:ilvl w:val="1"/>
          <w:numId w:val="28"/>
        </w:numPr>
        <w:overflowPunct w:val="0"/>
        <w:autoSpaceDE w:val="0"/>
        <w:autoSpaceDN w:val="0"/>
        <w:adjustRightInd w:val="0"/>
        <w:spacing w:after="0"/>
        <w:jc w:val="both"/>
        <w:textAlignment w:val="baseline"/>
        <w:rPr>
          <w:rFonts w:eastAsia="Malgun Gothic"/>
          <w:highlight w:val="green"/>
        </w:rPr>
      </w:pPr>
      <w:r w:rsidRPr="00733FD7">
        <w:rPr>
          <w:rFonts w:eastAsia="Malgun Gothic"/>
          <w:highlight w:val="green"/>
        </w:rPr>
        <w:t>Evaluate and, if needed, specify beam-management-related enhancements for simultaneous multi-TRP transmission with multi-panel reception</w:t>
      </w:r>
    </w:p>
    <w:p w14:paraId="7D564DE5" w14:textId="77777777" w:rsidR="00064AE7" w:rsidRPr="00064AE7" w:rsidRDefault="00064AE7" w:rsidP="00064AE7">
      <w:pPr>
        <w:numPr>
          <w:ilvl w:val="1"/>
          <w:numId w:val="28"/>
        </w:numPr>
        <w:overflowPunct w:val="0"/>
        <w:autoSpaceDE w:val="0"/>
        <w:autoSpaceDN w:val="0"/>
        <w:adjustRightInd w:val="0"/>
        <w:spacing w:after="0"/>
        <w:jc w:val="both"/>
        <w:textAlignment w:val="baseline"/>
        <w:rPr>
          <w:rFonts w:eastAsia="Malgun Gothic"/>
        </w:rPr>
      </w:pPr>
      <w:r w:rsidRPr="00064AE7">
        <w:rPr>
          <w:rFonts w:eastAsia="Malgun Gothic"/>
        </w:rPr>
        <w:t>Enhancement to support HST-SFN deployment scenario:</w:t>
      </w:r>
    </w:p>
    <w:p w14:paraId="72F74AD7" w14:textId="77777777" w:rsidR="00064AE7" w:rsidRPr="00064AE7" w:rsidRDefault="00064AE7" w:rsidP="00064AE7">
      <w:pPr>
        <w:numPr>
          <w:ilvl w:val="2"/>
          <w:numId w:val="28"/>
        </w:numPr>
        <w:overflowPunct w:val="0"/>
        <w:autoSpaceDE w:val="0"/>
        <w:autoSpaceDN w:val="0"/>
        <w:adjustRightInd w:val="0"/>
        <w:spacing w:after="0"/>
        <w:jc w:val="both"/>
        <w:textAlignment w:val="baseline"/>
        <w:rPr>
          <w:rFonts w:eastAsia="Malgun Gothic"/>
        </w:rPr>
      </w:pPr>
      <w:r w:rsidRPr="00064AE7">
        <w:rPr>
          <w:rFonts w:eastAsia="Malgun Gothic"/>
        </w:rPr>
        <w:t>Identify and specify solution(s) on QCL assumption for DMRS, e.g. multiple QCL assumptions for the same DMRS port(s), targeting DL-only transmission</w:t>
      </w:r>
    </w:p>
    <w:p w14:paraId="13FF15AA" w14:textId="77777777" w:rsidR="00064AE7" w:rsidRPr="00064AE7" w:rsidRDefault="00064AE7" w:rsidP="00064AE7">
      <w:pPr>
        <w:numPr>
          <w:ilvl w:val="2"/>
          <w:numId w:val="28"/>
        </w:numPr>
        <w:overflowPunct w:val="0"/>
        <w:autoSpaceDE w:val="0"/>
        <w:autoSpaceDN w:val="0"/>
        <w:adjustRightInd w:val="0"/>
        <w:spacing w:after="0"/>
        <w:jc w:val="both"/>
        <w:textAlignment w:val="baseline"/>
        <w:rPr>
          <w:rFonts w:eastAsia="Malgun Gothic"/>
        </w:rPr>
      </w:pPr>
      <w:r w:rsidRPr="00064AE7">
        <w:rPr>
          <w:rFonts w:eastAsia="Malgun Gothic"/>
        </w:rPr>
        <w:t>Evaluate and, if the benefit over Rel.16 HST enhancement baseline is demonstrated, specify QCL/QCL-like relation (including applicable type(s) and the associated requirement) between DL and UL signal by reusing the unified TCI framework</w:t>
      </w:r>
    </w:p>
    <w:p w14:paraId="469FDA8E" w14:textId="13FE910D" w:rsidR="00D43E36" w:rsidRPr="00CB1E11" w:rsidRDefault="0044104E" w:rsidP="00D43E36">
      <w:r>
        <w:lastRenderedPageBreak/>
        <w:t xml:space="preserve"> </w:t>
      </w:r>
    </w:p>
    <w:p w14:paraId="27157E69" w14:textId="2C883C6F" w:rsidR="00D43E36" w:rsidRDefault="0B072D07" w:rsidP="00D43E36">
      <w:pPr>
        <w:jc w:val="both"/>
      </w:pPr>
      <w:r>
        <w:t>However, it should be noted that RAN1 has been discussing the "beam management" part of both objectives jointly under one agenda item (which is the one that triggered sending the LS to RAN2/3/4 in the first place)</w:t>
      </w:r>
      <w:r w:rsidR="11D8545B">
        <w:t>A</w:t>
      </w:r>
      <w:r w:rsidR="50E7BD05">
        <w:t>n</w:t>
      </w:r>
      <w:r w:rsidR="11D8545B">
        <w:t xml:space="preserve"> LS has been sent from RAN1 towards RAN2</w:t>
      </w:r>
      <w:r w:rsidR="22600517">
        <w:t>/3/4</w:t>
      </w:r>
      <w:r w:rsidR="11D8545B">
        <w:t xml:space="preserve"> to clarify the impacts of the </w:t>
      </w:r>
      <w:r w:rsidR="22600517">
        <w:t xml:space="preserve">above </w:t>
      </w:r>
      <w:r w:rsidR="11D8545B">
        <w:t>objective</w:t>
      </w:r>
      <w:r w:rsidR="22600517">
        <w:t>(s)</w:t>
      </w:r>
      <w:r w:rsidR="11D8545B">
        <w:t xml:space="preserve"> to </w:t>
      </w:r>
      <w:r w:rsidR="22600517">
        <w:t xml:space="preserve">those </w:t>
      </w:r>
      <w:r w:rsidR="11D8545B">
        <w:t>WG</w:t>
      </w:r>
      <w:r w:rsidR="22600517">
        <w:t>s</w:t>
      </w:r>
      <w:r w:rsidR="11D8545B">
        <w:t>. The topic has been discussed in RAN2</w:t>
      </w:r>
      <w:r w:rsidR="22600517">
        <w:t>/</w:t>
      </w:r>
      <w:r w:rsidR="308F7DA1">
        <w:t>3/4</w:t>
      </w:r>
      <w:r w:rsidR="11D8545B">
        <w:t xml:space="preserve"> and LS repl</w:t>
      </w:r>
      <w:r w:rsidR="22600517">
        <w:t>ies</w:t>
      </w:r>
      <w:r w:rsidR="11D8545B">
        <w:t xml:space="preserve"> ha</w:t>
      </w:r>
      <w:r w:rsidR="1ABA6BBF">
        <w:t>ve</w:t>
      </w:r>
      <w:r w:rsidR="11D8545B">
        <w:t xml:space="preserve"> been agreed after May meeting in [1</w:t>
      </w:r>
      <w:r w:rsidR="2A775654">
        <w:t xml:space="preserve">, </w:t>
      </w:r>
      <w:r w:rsidR="1A9BB08D">
        <w:t>2</w:t>
      </w:r>
      <w:r w:rsidR="2A775654">
        <w:t xml:space="preserve">, </w:t>
      </w:r>
      <w:r w:rsidR="296090F1">
        <w:t>3</w:t>
      </w:r>
      <w:r w:rsidR="11D8545B">
        <w:t xml:space="preserve">]. From </w:t>
      </w:r>
      <w:r w:rsidR="6654D771">
        <w:t>these</w:t>
      </w:r>
      <w:r w:rsidR="11D8545B">
        <w:t xml:space="preserve"> repl</w:t>
      </w:r>
      <w:r w:rsidR="6654D771">
        <w:t>ies,</w:t>
      </w:r>
      <w:r w:rsidR="11D8545B">
        <w:t xml:space="preserve"> the following</w:t>
      </w:r>
      <w:r w:rsidR="6654D771">
        <w:t xml:space="preserve"> can be observed</w:t>
      </w:r>
      <w:r w:rsidR="11D8545B">
        <w:t>:</w:t>
      </w:r>
    </w:p>
    <w:p w14:paraId="6D3A4535" w14:textId="54B1B4BB" w:rsidR="00020EBF" w:rsidRDefault="48CBE0D2" w:rsidP="00020EBF">
      <w:pPr>
        <w:pStyle w:val="ListParagraph"/>
        <w:numPr>
          <w:ilvl w:val="0"/>
          <w:numId w:val="26"/>
        </w:numPr>
        <w:jc w:val="both"/>
      </w:pPr>
      <w:r>
        <w:t>Technical components facilitating L1/2 inter-cell mobility operation</w:t>
      </w:r>
      <w:r w:rsidR="00820F8B">
        <w:t xml:space="preserve"> require substantial amount of  work</w:t>
      </w:r>
      <w:r w:rsidR="005860C7">
        <w:t xml:space="preserve"> (at least in RAN2)</w:t>
      </w:r>
    </w:p>
    <w:p w14:paraId="38E72AB9" w14:textId="56D41525" w:rsidR="00020EBF" w:rsidRDefault="000C6269" w:rsidP="00020EBF">
      <w:pPr>
        <w:pStyle w:val="ListParagraph"/>
        <w:numPr>
          <w:ilvl w:val="0"/>
          <w:numId w:val="26"/>
        </w:numPr>
        <w:jc w:val="both"/>
      </w:pPr>
      <w:r>
        <w:t xml:space="preserve">To ensure reasonable progress, </w:t>
      </w:r>
      <w:r w:rsidR="00020EBF">
        <w:t xml:space="preserve">close </w:t>
      </w:r>
      <w:r>
        <w:t xml:space="preserve">collaboration </w:t>
      </w:r>
      <w:r w:rsidR="00020EBF">
        <w:t xml:space="preserve">between RAN1 and RAN2 </w:t>
      </w:r>
      <w:r>
        <w:t>is needed</w:t>
      </w:r>
    </w:p>
    <w:p w14:paraId="6FACA0B8" w14:textId="0D54A993" w:rsidR="0EF7B98F" w:rsidRDefault="0EF7B98F" w:rsidP="7DF7FE95">
      <w:pPr>
        <w:pStyle w:val="ListParagraph"/>
        <w:numPr>
          <w:ilvl w:val="0"/>
          <w:numId w:val="26"/>
        </w:numPr>
        <w:jc w:val="both"/>
      </w:pPr>
      <w:r>
        <w:t xml:space="preserve">To justify specification effort, performance gains need to be provided and identified with respect to legacy operation. </w:t>
      </w:r>
    </w:p>
    <w:p w14:paraId="1BBD746A" w14:textId="0A9B362E" w:rsidR="00020EBF" w:rsidRDefault="00020EBF" w:rsidP="00020EBF">
      <w:pPr>
        <w:pStyle w:val="ListParagraph"/>
        <w:numPr>
          <w:ilvl w:val="0"/>
          <w:numId w:val="26"/>
        </w:numPr>
        <w:jc w:val="both"/>
      </w:pPr>
      <w:r>
        <w:t>Current RAN2 allocation is far too small to handle all the implications of introducing the feature</w:t>
      </w:r>
    </w:p>
    <w:p w14:paraId="2855B2C5" w14:textId="406F4379" w:rsidR="00494411" w:rsidRDefault="00494411" w:rsidP="00020EBF">
      <w:pPr>
        <w:pStyle w:val="ListParagraph"/>
        <w:numPr>
          <w:ilvl w:val="0"/>
          <w:numId w:val="26"/>
        </w:numPr>
        <w:jc w:val="both"/>
      </w:pPr>
      <w:r>
        <w:t>There is no RAN3 TU allocation to do the required work for this topi</w:t>
      </w:r>
      <w:r w:rsidR="00894F81">
        <w:t>c</w:t>
      </w:r>
      <w:r w:rsidR="00526FA6">
        <w:t xml:space="preserve"> (as stated in the RAN3 LS </w:t>
      </w:r>
      <w:hyperlink r:id="rId13" w:history="1">
        <w:r w:rsidR="005860C7">
          <w:rPr>
            <w:rStyle w:val="Hyperlink"/>
            <w:rFonts w:eastAsia="Nokia Pure Text Light"/>
          </w:rPr>
          <w:t>[2]</w:t>
        </w:r>
      </w:hyperlink>
      <w:r w:rsidR="00526FA6">
        <w:t>)</w:t>
      </w:r>
    </w:p>
    <w:p w14:paraId="2683DDB7" w14:textId="0E7DE537" w:rsidR="00894F81" w:rsidRDefault="0036210C" w:rsidP="00020EBF">
      <w:pPr>
        <w:pStyle w:val="ListParagraph"/>
        <w:numPr>
          <w:ilvl w:val="0"/>
          <w:numId w:val="26"/>
        </w:numPr>
        <w:jc w:val="both"/>
      </w:pPr>
      <w:r>
        <w:t xml:space="preserve">The RAN4 implications are potentially significant </w:t>
      </w:r>
      <w:r w:rsidR="002F56A5">
        <w:t>(depending on the exact scope of the work)</w:t>
      </w:r>
    </w:p>
    <w:p w14:paraId="7F7A362F" w14:textId="179300C7" w:rsidR="00020EBF" w:rsidRDefault="00020EBF" w:rsidP="00020EBF">
      <w:pPr>
        <w:jc w:val="both"/>
      </w:pPr>
      <w:r>
        <w:t xml:space="preserve">In addition, it should be noted that </w:t>
      </w:r>
      <w:r w:rsidR="002F56A5">
        <w:t xml:space="preserve">the </w:t>
      </w:r>
      <w:r w:rsidR="00952F4C">
        <w:t xml:space="preserve">analysis on </w:t>
      </w:r>
      <w:r w:rsidR="002F56A5">
        <w:t>RAN2/RAN3/</w:t>
      </w:r>
      <w:r>
        <w:t xml:space="preserve">RAN4 implications has </w:t>
      </w:r>
      <w:r w:rsidR="00952F4C">
        <w:t>just been started and more detailed treatise needs is still needed in all WGs depending on the supported scenarios and use cases</w:t>
      </w:r>
      <w:r>
        <w:t>.</w:t>
      </w:r>
      <w:r w:rsidR="3F8938EB">
        <w:t xml:space="preserve"> The LS answers are in fact containing questions towards RAN1, indicating that there is unlikely the </w:t>
      </w:r>
      <w:r w:rsidR="659C28D0">
        <w:t>necessary</w:t>
      </w:r>
      <w:r w:rsidR="3F8938EB">
        <w:t xml:space="preserve"> time needed for inter-WG communication</w:t>
      </w:r>
      <w:r w:rsidR="0BD17A09">
        <w:t xml:space="preserve"> until the end of the release</w:t>
      </w:r>
      <w:r w:rsidR="3F8938EB">
        <w:t>.</w:t>
      </w:r>
      <w:r w:rsidR="00BE34AF">
        <w:t xml:space="preserve"> There are big implications to many areas in RAN2, including (but not necessarily limited to):</w:t>
      </w:r>
    </w:p>
    <w:p w14:paraId="3399AF2F" w14:textId="077C551F" w:rsidR="00BE34AF" w:rsidRDefault="00BE34AF" w:rsidP="00BE34AF">
      <w:pPr>
        <w:pStyle w:val="ListParagraph"/>
        <w:numPr>
          <w:ilvl w:val="0"/>
          <w:numId w:val="26"/>
        </w:numPr>
        <w:jc w:val="both"/>
      </w:pPr>
      <w:r w:rsidRPr="005860C7">
        <w:rPr>
          <w:b/>
          <w:bCs/>
        </w:rPr>
        <w:t>RRM measurement framework:</w:t>
      </w:r>
      <w:r>
        <w:t xml:space="preserve"> </w:t>
      </w:r>
      <w:r w:rsidR="00A66CB8">
        <w:t>Given that L1 measurements</w:t>
      </w:r>
      <w:r w:rsidR="00D803EE">
        <w:t xml:space="preserve"> </w:t>
      </w:r>
      <w:r w:rsidR="00A66CB8">
        <w:t xml:space="preserve">are needed for the L1/L2-centric mobility, </w:t>
      </w:r>
      <w:r w:rsidR="003376D3">
        <w:t>it has to be discussed how those relate to existing L3 measurements</w:t>
      </w:r>
      <w:r w:rsidR="000C5A64">
        <w:t xml:space="preserve">. </w:t>
      </w:r>
      <w:r w:rsidR="00733FD7">
        <w:t>Since RRM is man</w:t>
      </w:r>
      <w:r w:rsidR="009E5BE5">
        <w:t>a</w:t>
      </w:r>
      <w:r w:rsidR="00733FD7">
        <w:t xml:space="preserve">ged by CU and L1/L2-centric mobility control would be done in DU, this also ties into the CU/DU </w:t>
      </w:r>
      <w:r w:rsidR="005860C7">
        <w:t>discussion</w:t>
      </w:r>
      <w:r w:rsidR="00733FD7">
        <w:t xml:space="preserve"> (see below).</w:t>
      </w:r>
    </w:p>
    <w:p w14:paraId="53AACD10" w14:textId="4B48D615" w:rsidR="00D803EE" w:rsidRDefault="00741482" w:rsidP="00BE34AF">
      <w:pPr>
        <w:pStyle w:val="ListParagraph"/>
        <w:numPr>
          <w:ilvl w:val="0"/>
          <w:numId w:val="26"/>
        </w:numPr>
        <w:jc w:val="both"/>
      </w:pPr>
      <w:r w:rsidRPr="005860C7">
        <w:rPr>
          <w:b/>
          <w:bCs/>
        </w:rPr>
        <w:t>UP impacts:</w:t>
      </w:r>
      <w:r>
        <w:t xml:space="preserve"> While RAN2 concluded to use a single protocol stack, </w:t>
      </w:r>
      <w:r w:rsidR="003436D8">
        <w:t>there will still be impacts to</w:t>
      </w:r>
      <w:r w:rsidR="00B77FC5">
        <w:t xml:space="preserve"> TCI states</w:t>
      </w:r>
      <w:r w:rsidR="003436D8">
        <w:t xml:space="preserve">, RACH and </w:t>
      </w:r>
      <w:r w:rsidR="005C510C">
        <w:t>uplink timing alignment</w:t>
      </w:r>
      <w:r w:rsidR="001A2633">
        <w:t>.</w:t>
      </w:r>
      <w:r w:rsidR="00D92DE2">
        <w:t xml:space="preserve"> </w:t>
      </w:r>
      <w:r w:rsidR="00733FD7">
        <w:t>It's known that with e.g. active BWP reconfiguration (which includes TCI state update), there</w:t>
      </w:r>
      <w:r w:rsidR="005860C7">
        <w:t xml:space="preserve"> </w:t>
      </w:r>
      <w:r w:rsidR="00733FD7">
        <w:t>is an interruption to UP, so it should be understood how this impacts the L1/L2-centric mobility operation.</w:t>
      </w:r>
    </w:p>
    <w:p w14:paraId="3A9C76D7" w14:textId="32A26CF1" w:rsidR="001A2633" w:rsidRDefault="00D32259" w:rsidP="00BE34AF">
      <w:pPr>
        <w:pStyle w:val="ListParagraph"/>
        <w:numPr>
          <w:ilvl w:val="0"/>
          <w:numId w:val="26"/>
        </w:numPr>
        <w:jc w:val="both"/>
      </w:pPr>
      <w:r w:rsidRPr="005860C7">
        <w:rPr>
          <w:b/>
          <w:bCs/>
        </w:rPr>
        <w:t>CU/DU aspects:</w:t>
      </w:r>
      <w:r>
        <w:t xml:space="preserve"> While these are mostly the matter of RAN3, both RAN2 and RAN3 will have to be involved in this</w:t>
      </w:r>
      <w:r w:rsidR="00AD7475">
        <w:t>: Some inter-node messaging seems necessary and the details will require some RAN2/RAN3 interactions.</w:t>
      </w:r>
    </w:p>
    <w:p w14:paraId="13493B22" w14:textId="7BF62C02" w:rsidR="0017399C" w:rsidRDefault="0017399C" w:rsidP="0017399C">
      <w:pPr>
        <w:pStyle w:val="ListParagraph"/>
        <w:numPr>
          <w:ilvl w:val="0"/>
          <w:numId w:val="26"/>
        </w:numPr>
        <w:jc w:val="both"/>
      </w:pPr>
      <w:r w:rsidRPr="005860C7">
        <w:rPr>
          <w:b/>
          <w:bCs/>
        </w:rPr>
        <w:t xml:space="preserve">Interaction with </w:t>
      </w:r>
      <w:r>
        <w:rPr>
          <w:b/>
          <w:bCs/>
        </w:rPr>
        <w:t>existing features</w:t>
      </w:r>
      <w:r w:rsidRPr="005860C7">
        <w:rPr>
          <w:b/>
          <w:bCs/>
        </w:rPr>
        <w:t>:</w:t>
      </w:r>
      <w:r>
        <w:t xml:space="preserve"> At least CA/DC, CHO and DAPS HO interactions needs to be considered (to understand how they relate to the L1-based operation)</w:t>
      </w:r>
      <w:r w:rsidR="00DA264F">
        <w:t xml:space="preserve">. </w:t>
      </w:r>
      <w:r w:rsidR="00041088">
        <w:t xml:space="preserve">If the feature is applicable to </w:t>
      </w:r>
      <w:r w:rsidR="00D86D5E">
        <w:t>CA/DC</w:t>
      </w:r>
      <w:r w:rsidR="00041088">
        <w:t xml:space="preserve">, some other features (e.g. </w:t>
      </w:r>
      <w:r w:rsidR="00DE4C49">
        <w:t>fast MCG recovery</w:t>
      </w:r>
      <w:r w:rsidR="00D86D5E">
        <w:t>) may need to be considered</w:t>
      </w:r>
      <w:r w:rsidR="009436ED">
        <w:t xml:space="preserve"> in addition</w:t>
      </w:r>
      <w:r w:rsidR="00D86D5E">
        <w:t>.</w:t>
      </w:r>
    </w:p>
    <w:p w14:paraId="5C6D61D2" w14:textId="6EB9AAA5" w:rsidR="0017399C" w:rsidRDefault="0017399C" w:rsidP="0017399C">
      <w:pPr>
        <w:pStyle w:val="ListParagraph"/>
        <w:numPr>
          <w:ilvl w:val="0"/>
          <w:numId w:val="26"/>
        </w:numPr>
        <w:jc w:val="both"/>
      </w:pPr>
      <w:r w:rsidRPr="005860C7">
        <w:rPr>
          <w:b/>
          <w:bCs/>
        </w:rPr>
        <w:t>Security implications:</w:t>
      </w:r>
      <w:r>
        <w:t xml:space="preserve"> L1/L2 signalling is not ciphered, </w:t>
      </w:r>
      <w:r w:rsidR="00E03E40">
        <w:t xml:space="preserve">which could create security concerns (see e.g. recent GSMA LS to RAN2/SA3 on MAC CE vulnerabilities). To understand if there are risks, </w:t>
      </w:r>
      <w:r w:rsidR="00094DC5">
        <w:t>SA3 needs to be consulted once it is understood how the L1/L2 signalling of HO could work.</w:t>
      </w:r>
    </w:p>
    <w:p w14:paraId="6925F1CE" w14:textId="0D72E378" w:rsidR="00A36E53" w:rsidRDefault="00A36E53" w:rsidP="0017399C">
      <w:pPr>
        <w:pStyle w:val="ListParagraph"/>
        <w:numPr>
          <w:ilvl w:val="0"/>
          <w:numId w:val="26"/>
        </w:numPr>
        <w:jc w:val="both"/>
      </w:pPr>
      <w:r w:rsidRPr="005860C7">
        <w:rPr>
          <w:b/>
          <w:bCs/>
        </w:rPr>
        <w:t>MAC/RRC interactions for L1 HO triggering:</w:t>
      </w:r>
      <w:r>
        <w:t xml:space="preserve"> If HO is triggered by network via MAC CE, there is some cross-layer interaction and timing relations that have to be resolved in both RAN2 and RAN4 (including interaction with TCI state change MAC CEs that may be required).</w:t>
      </w:r>
      <w:r w:rsidR="00FE334D">
        <w:t xml:space="preserve"> As this may also involve UP interruption, the impacts need to be understood well. </w:t>
      </w:r>
    </w:p>
    <w:p w14:paraId="69804B0D" w14:textId="47DA49C6" w:rsidR="00094DC5" w:rsidRDefault="00A44309" w:rsidP="0017399C">
      <w:pPr>
        <w:pStyle w:val="ListParagraph"/>
        <w:numPr>
          <w:ilvl w:val="0"/>
          <w:numId w:val="26"/>
        </w:numPr>
        <w:jc w:val="both"/>
      </w:pPr>
      <w:r w:rsidRPr="005860C7">
        <w:rPr>
          <w:b/>
          <w:bCs/>
        </w:rPr>
        <w:t>Basic UE capabilities:</w:t>
      </w:r>
      <w:r>
        <w:t xml:space="preserve"> The basic capabilities will come from RAN1</w:t>
      </w:r>
      <w:r w:rsidR="00AD7475">
        <w:t xml:space="preserve"> (and possibly also RAN4)</w:t>
      </w:r>
      <w:r>
        <w:t xml:space="preserve">, but as with many mobility features it is expected RAN2 will have to work on those as well and integrate them all together. This will require time </w:t>
      </w:r>
      <w:r w:rsidR="005220CA">
        <w:t xml:space="preserve">due to </w:t>
      </w:r>
      <w:r w:rsidR="00AD7475">
        <w:t>inter-WG coordination</w:t>
      </w:r>
      <w:r w:rsidR="00A35A37">
        <w:t>, as has been seen from Rel-15 and Rel-16 capability discussions</w:t>
      </w:r>
      <w:r w:rsidR="00AD7475">
        <w:t>.</w:t>
      </w:r>
    </w:p>
    <w:p w14:paraId="1EA93271" w14:textId="664C27C2" w:rsidR="009A2EC6" w:rsidRDefault="009A2EC6" w:rsidP="0017399C">
      <w:pPr>
        <w:pStyle w:val="ListParagraph"/>
        <w:numPr>
          <w:ilvl w:val="0"/>
          <w:numId w:val="26"/>
        </w:numPr>
        <w:jc w:val="both"/>
      </w:pPr>
      <w:r w:rsidRPr="005860C7">
        <w:rPr>
          <w:b/>
          <w:bCs/>
        </w:rPr>
        <w:t>CR finalization:</w:t>
      </w:r>
      <w:r>
        <w:t xml:space="preserve"> As with all complex features, </w:t>
      </w:r>
      <w:r w:rsidR="00372222">
        <w:t>the CR finalization itself requires sufficient time (typically at least 2 meetings, but often more than that). This will also consume meeting time as the finer points in the CRs need to be discusssed and decisions made.</w:t>
      </w:r>
    </w:p>
    <w:p w14:paraId="227707A7" w14:textId="1C4CFDA9" w:rsidR="00AD7475" w:rsidRDefault="00AD7475" w:rsidP="00020EBF">
      <w:pPr>
        <w:jc w:val="both"/>
      </w:pPr>
      <w:r>
        <w:t xml:space="preserve">All of the above </w:t>
      </w:r>
      <w:r w:rsidR="009826C6">
        <w:t xml:space="preserve">8 areas </w:t>
      </w:r>
      <w:r>
        <w:t xml:space="preserve">are </w:t>
      </w:r>
      <w:r w:rsidR="009A2EC6">
        <w:t>(at least) small-to-medium size tasks, requiring at least ~1-2 TUs each (which may span multiple meetings).</w:t>
      </w:r>
      <w:r w:rsidR="009826C6">
        <w:t xml:space="preserve"> Thus, considering that there are 4 meetings left, this would require 2-4 TUs / RAN2 meeting alone to complete the work. </w:t>
      </w:r>
      <w:r w:rsidR="000D156F">
        <w:t xml:space="preserve">And note that there are also other aspects in the RAN1 FeMIMO WI that also require RAN2 work, which will </w:t>
      </w:r>
      <w:r w:rsidR="005860C7">
        <w:t>n</w:t>
      </w:r>
      <w:r w:rsidR="000D156F">
        <w:t>eed at least 1-2 TUs</w:t>
      </w:r>
      <w:r w:rsidR="003E5BAD">
        <w:t xml:space="preserve"> (over 4 meetings) to be finalized. Hence, finalizing the current WI scope just </w:t>
      </w:r>
      <w:r w:rsidR="009826C6">
        <w:t xml:space="preserve">doesn't seem </w:t>
      </w:r>
      <w:r w:rsidR="003E5BAD">
        <w:t xml:space="preserve">feasible </w:t>
      </w:r>
      <w:r w:rsidR="00733FD7">
        <w:t>without explicit downscoping of the objectives and ensuring that the remaining scope fits within the allocated TUs.</w:t>
      </w:r>
    </w:p>
    <w:p w14:paraId="49DF4BAB" w14:textId="2F84983A" w:rsidR="009826C6" w:rsidRPr="0018585F" w:rsidRDefault="009826C6" w:rsidP="00020EBF">
      <w:pPr>
        <w:jc w:val="both"/>
        <w:rPr>
          <w:b/>
          <w:bCs/>
        </w:rPr>
      </w:pPr>
      <w:r w:rsidRPr="005860C7">
        <w:rPr>
          <w:b/>
          <w:bCs/>
        </w:rPr>
        <w:t>Observation 1:</w:t>
      </w:r>
      <w:r w:rsidRPr="0018585F">
        <w:rPr>
          <w:b/>
          <w:bCs/>
        </w:rPr>
        <w:t xml:space="preserve"> The estimated RAN2 work for the topic is quite large</w:t>
      </w:r>
      <w:r w:rsidR="000D156F" w:rsidRPr="0018585F">
        <w:rPr>
          <w:b/>
          <w:bCs/>
        </w:rPr>
        <w:t xml:space="preserve"> and cannot be completed without downscoping the current FeMIMO objectives</w:t>
      </w:r>
      <w:r w:rsidR="00526FA6" w:rsidRPr="0018585F">
        <w:rPr>
          <w:b/>
          <w:bCs/>
        </w:rPr>
        <w:t>.</w:t>
      </w:r>
    </w:p>
    <w:p w14:paraId="6BA4A361" w14:textId="3967D155" w:rsidR="001E4828" w:rsidRDefault="00020EBF" w:rsidP="00020EBF">
      <w:pPr>
        <w:jc w:val="both"/>
      </w:pPr>
      <w:r>
        <w:lastRenderedPageBreak/>
        <w:t xml:space="preserve">Given that </w:t>
      </w:r>
      <w:r w:rsidR="00952F4C">
        <w:t xml:space="preserve">all of </w:t>
      </w:r>
      <w:r>
        <w:t>RAN2</w:t>
      </w:r>
      <w:r w:rsidR="00952F4C">
        <w:t>, RAN3</w:t>
      </w:r>
      <w:r>
        <w:t xml:space="preserve"> and RAN4 are clearly heavily loaded, together with the fact that all remaining meetings in 2021 are scheduled as e-meetings, it is hard to </w:t>
      </w:r>
      <w:r w:rsidR="155016D9">
        <w:t xml:space="preserve">expect more TUs will be found to make this topic viable in those WGs. At the same time it is not meaningful to complete the work in RAN1 alone, if the functionality is not fully defined, and hence </w:t>
      </w:r>
      <w:r w:rsidR="06FE87E5">
        <w:t>the featur</w:t>
      </w:r>
      <w:r w:rsidR="155016D9">
        <w:t>e</w:t>
      </w:r>
      <w:r w:rsidR="691A8C28">
        <w:t xml:space="preserve"> risks at becoming broken in practice, or it may </w:t>
      </w:r>
      <w:r w:rsidR="41456B00">
        <w:t>jeopardize</w:t>
      </w:r>
      <w:r w:rsidDel="155016D9">
        <w:t>.</w:t>
      </w:r>
      <w:r w:rsidR="49E5353D">
        <w:t xml:space="preserve"> </w:t>
      </w:r>
      <w:r w:rsidR="7249C7EB">
        <w:t>t</w:t>
      </w:r>
      <w:r w:rsidR="49E5353D">
        <w:t>he finalization of the Rel</w:t>
      </w:r>
      <w:r w:rsidR="00CC05B0">
        <w:t>-</w:t>
      </w:r>
      <w:r w:rsidR="49E5353D">
        <w:t>17</w:t>
      </w:r>
      <w:r w:rsidR="0B72D521">
        <w:t xml:space="preserve"> in other WGs. </w:t>
      </w:r>
      <w:r w:rsidR="00D821EF">
        <w:t xml:space="preserve">Further, as we have shown in our simulation results (see </w:t>
      </w:r>
      <w:hyperlink r:id="rId14" w:history="1">
        <w:r w:rsidR="001B2743" w:rsidRPr="0018585F">
          <w:t>[5]</w:t>
        </w:r>
      </w:hyperlink>
      <w:r w:rsidR="00D821EF">
        <w:t xml:space="preserve"> and </w:t>
      </w:r>
      <w:hyperlink r:id="rId15" w:history="1">
        <w:r w:rsidR="001B2743" w:rsidRPr="0018585F">
          <w:t>[6]</w:t>
        </w:r>
      </w:hyperlink>
      <w:r w:rsidR="00D821EF">
        <w:t xml:space="preserve">, as well as Annex A of this contribution), the </w:t>
      </w:r>
      <w:r w:rsidR="00EF5AD0">
        <w:t xml:space="preserve">actual performance gains of the L1 mobility </w:t>
      </w:r>
      <w:r w:rsidR="00D821EF">
        <w:t xml:space="preserve">compared to L3 HOs are not so clear </w:t>
      </w:r>
      <w:r w:rsidR="006604B3">
        <w:t>(except with very unrealistic simulation models)</w:t>
      </w:r>
      <w:r w:rsidR="00AC3792">
        <w:t xml:space="preserve">. </w:t>
      </w:r>
    </w:p>
    <w:p w14:paraId="6F021213" w14:textId="5959F496" w:rsidR="001E4828" w:rsidRDefault="001E4828" w:rsidP="001E4828">
      <w:pPr>
        <w:jc w:val="both"/>
      </w:pPr>
      <w:r w:rsidRPr="00C42294">
        <w:rPr>
          <w:b/>
          <w:bCs/>
        </w:rPr>
        <w:t xml:space="preserve">Observation </w:t>
      </w:r>
      <w:r>
        <w:rPr>
          <w:b/>
          <w:bCs/>
        </w:rPr>
        <w:t>2</w:t>
      </w:r>
      <w:r w:rsidRPr="008B02EE">
        <w:rPr>
          <w:b/>
          <w:bCs/>
        </w:rPr>
        <w:t>:</w:t>
      </w:r>
      <w:r w:rsidRPr="0018585F">
        <w:rPr>
          <w:b/>
          <w:bCs/>
        </w:rPr>
        <w:t xml:space="preserve"> The evaluation results are not showing performance gains of the L1/L2 mobility compared to L3 HO.</w:t>
      </w:r>
      <w:r>
        <w:t xml:space="preserve"> </w:t>
      </w:r>
    </w:p>
    <w:p w14:paraId="523FC5A5" w14:textId="77777777" w:rsidR="005860C7" w:rsidRDefault="005860C7" w:rsidP="005860C7">
      <w:pPr>
        <w:jc w:val="both"/>
      </w:pPr>
      <w:r>
        <w:t>Based on above observations, we make the following proposal:</w:t>
      </w:r>
    </w:p>
    <w:p w14:paraId="738E2DEB" w14:textId="77777777" w:rsidR="005860C7" w:rsidRPr="008B02EE" w:rsidRDefault="005860C7" w:rsidP="005860C7">
      <w:pPr>
        <w:jc w:val="both"/>
        <w:rPr>
          <w:b/>
          <w:bCs/>
        </w:rPr>
      </w:pPr>
      <w:r w:rsidRPr="005860C7">
        <w:rPr>
          <w:b/>
          <w:bCs/>
        </w:rPr>
        <w:t xml:space="preserve">Proposal: De-prioritize the work on L1/L2-centric mobility </w:t>
      </w:r>
      <w:r w:rsidRPr="0018585F">
        <w:rPr>
          <w:b/>
          <w:bCs/>
        </w:rPr>
        <w:t xml:space="preserve">(including the </w:t>
      </w:r>
      <w:r w:rsidRPr="0018585F">
        <w:rPr>
          <w:rFonts w:eastAsia="Malgun Gothic"/>
          <w:b/>
          <w:bCs/>
        </w:rPr>
        <w:t>inter-cell dynamic point selection or inter-cell beam management</w:t>
      </w:r>
      <w:r w:rsidRPr="0018585F">
        <w:rPr>
          <w:b/>
          <w:bCs/>
        </w:rPr>
        <w:t>)</w:t>
      </w:r>
      <w:r w:rsidRPr="005860C7">
        <w:rPr>
          <w:b/>
          <w:bCs/>
        </w:rPr>
        <w:t xml:space="preserve"> </w:t>
      </w:r>
      <w:r w:rsidRPr="008B02EE">
        <w:rPr>
          <w:b/>
          <w:bCs/>
        </w:rPr>
        <w:t>in all working groups</w:t>
      </w:r>
    </w:p>
    <w:p w14:paraId="6B08F8DA" w14:textId="2664BC5A" w:rsidR="005860C7" w:rsidRDefault="005860C7" w:rsidP="005860C7">
      <w:pPr>
        <w:pStyle w:val="Heading3"/>
      </w:pPr>
      <w:r>
        <w:t>Overlapping objectives</w:t>
      </w:r>
    </w:p>
    <w:p w14:paraId="36F9FA6F" w14:textId="654B44CD" w:rsidR="001E4828" w:rsidRDefault="001E4828" w:rsidP="00020EBF">
      <w:pPr>
        <w:jc w:val="both"/>
      </w:pPr>
      <w:r>
        <w:t>RAN1 discussions on L1/L2 mobility and Inter-cell multi-TRP operation seems to have an overlap</w:t>
      </w:r>
      <w:r w:rsidR="00E35316">
        <w:t xml:space="preserve">. In particular, L1/L2 centric mobility in RAN1 agenda 8.1.1 seems to be generalizing the solution to support scenario 1 </w:t>
      </w:r>
      <w:r w:rsidR="00353E40">
        <w:t>(</w:t>
      </w:r>
      <w:r w:rsidR="00E35316">
        <w:t>referred in RAN2 LS</w:t>
      </w:r>
      <w:r w:rsidR="00353E40">
        <w:t>)</w:t>
      </w:r>
      <w:r w:rsidR="00E35316">
        <w:t xml:space="preserve"> as </w:t>
      </w:r>
      <w:r w:rsidR="00353E40">
        <w:t>“</w:t>
      </w:r>
      <w:r w:rsidR="00E35316">
        <w:t>inter-cell beam management</w:t>
      </w:r>
      <w:r w:rsidR="00353E40">
        <w:t>”</w:t>
      </w:r>
      <w:r w:rsidR="00E35316">
        <w:t xml:space="preserve"> or </w:t>
      </w:r>
      <w:r w:rsidR="00353E40">
        <w:t>“</w:t>
      </w:r>
      <w:r w:rsidR="00E35316">
        <w:t>inter-cell dynamic point selection</w:t>
      </w:r>
      <w:r w:rsidR="00353E40">
        <w:t>”</w:t>
      </w:r>
      <w:r w:rsidR="00E35316">
        <w:t xml:space="preserve">, which </w:t>
      </w:r>
      <w:r w:rsidR="00353E40">
        <w:t>is</w:t>
      </w:r>
      <w:r w:rsidR="00E35316">
        <w:t xml:space="preserve"> partly under discussion in RAN1 agenda item 8.1.2.2</w:t>
      </w:r>
      <w:r w:rsidR="00353E40">
        <w:t>, inter-cell multi-TRP operation</w:t>
      </w:r>
      <w:r w:rsidR="00E35316">
        <w:t xml:space="preserve">.  </w:t>
      </w:r>
      <w:r w:rsidR="00353E40">
        <w:t>However, i</w:t>
      </w:r>
      <w:r w:rsidR="00E35316">
        <w:t xml:space="preserve">nter-cell multi-TRP </w:t>
      </w:r>
      <w:r w:rsidR="00353E40">
        <w:t>operation</w:t>
      </w:r>
      <w:r w:rsidR="00E35316">
        <w:t xml:space="preserve"> in RAN1 agenda 8.1.2.2 </w:t>
      </w:r>
      <w:r w:rsidR="00353E40">
        <w:t>should focus on</w:t>
      </w:r>
      <w:r w:rsidR="00E35316">
        <w:t xml:space="preserve"> extending </w:t>
      </w:r>
      <w:r w:rsidR="00353E40">
        <w:t xml:space="preserve">the support of multi-DCI based multi-TRP operation to </w:t>
      </w:r>
      <w:r w:rsidR="00E35316">
        <w:t xml:space="preserve">inter-cell scenario </w:t>
      </w:r>
      <w:r w:rsidR="00353E40">
        <w:t>as</w:t>
      </w:r>
      <w:r w:rsidR="00E35316">
        <w:t xml:space="preserve"> </w:t>
      </w:r>
      <w:r w:rsidR="005860C7">
        <w:t>described</w:t>
      </w:r>
      <w:r w:rsidR="00E35316">
        <w:t xml:space="preserve"> in the WI objective</w:t>
      </w:r>
      <w:r w:rsidR="005860C7">
        <w:t>. D</w:t>
      </w:r>
      <w:r w:rsidR="00E35316">
        <w:t xml:space="preserve">iscussions related to inter-cell dynamic point selection (as </w:t>
      </w:r>
      <w:r w:rsidR="00353E40">
        <w:t xml:space="preserve">now being considered as </w:t>
      </w:r>
      <w:r w:rsidR="00E35316">
        <w:t>one alternative within inter-cell multi-TRP operation)</w:t>
      </w:r>
      <w:r w:rsidR="00353E40">
        <w:t xml:space="preserve"> </w:t>
      </w:r>
      <w:r w:rsidR="005860C7">
        <w:t>are</w:t>
      </w:r>
      <w:r w:rsidR="00353E40">
        <w:t xml:space="preserve"> adding unnecessary overhead when finalizing the work associated with </w:t>
      </w:r>
      <w:r w:rsidR="005860C7">
        <w:t xml:space="preserve">AI </w:t>
      </w:r>
      <w:r w:rsidR="00353E40">
        <w:t>8.1.2.2</w:t>
      </w:r>
      <w:r w:rsidR="00E35316">
        <w:t xml:space="preserve">. Even though none of these </w:t>
      </w:r>
      <w:r w:rsidR="005860C7">
        <w:t>have been</w:t>
      </w:r>
      <w:r w:rsidR="00E35316">
        <w:t xml:space="preserve"> agreed yet, it seem</w:t>
      </w:r>
      <w:r w:rsidR="00353E40">
        <w:t>s</w:t>
      </w:r>
      <w:r w:rsidR="00E35316">
        <w:t xml:space="preserve"> that one agenda</w:t>
      </w:r>
      <w:r w:rsidR="00353E40">
        <w:t xml:space="preserve"> </w:t>
      </w:r>
      <w:r w:rsidR="005860C7">
        <w:t xml:space="preserve">item </w:t>
      </w:r>
      <w:r w:rsidR="00353E40">
        <w:t>(8.1.1)</w:t>
      </w:r>
      <w:r w:rsidR="00E35316">
        <w:t xml:space="preserve"> discuss</w:t>
      </w:r>
      <w:r w:rsidR="005860C7">
        <w:t>es</w:t>
      </w:r>
      <w:r w:rsidR="00E35316">
        <w:t xml:space="preserve"> inter-cell DPS with Rel-17 unified TCI framework while another agenda</w:t>
      </w:r>
      <w:r w:rsidR="005860C7">
        <w:t xml:space="preserve"> item</w:t>
      </w:r>
      <w:r w:rsidR="00353E40">
        <w:t xml:space="preserve"> (8.1.2.2)</w:t>
      </w:r>
      <w:r w:rsidR="00E35316">
        <w:t xml:space="preserve"> </w:t>
      </w:r>
      <w:r w:rsidR="005860C7">
        <w:t xml:space="preserve">is </w:t>
      </w:r>
      <w:r w:rsidR="00E35316">
        <w:t>discussing DPS with Rel-15/16 TCI framework</w:t>
      </w:r>
      <w:r w:rsidR="005860C7">
        <w:t>.</w:t>
      </w:r>
      <w:r w:rsidR="00E35316">
        <w:t xml:space="preserve"> RAN1 shall avoid extra work associated with such unnecessary overlaps. </w:t>
      </w:r>
    </w:p>
    <w:p w14:paraId="5A7F26C7" w14:textId="2C5B65DF" w:rsidR="00E35316" w:rsidRDefault="00E35316" w:rsidP="00E35316">
      <w:pPr>
        <w:jc w:val="both"/>
      </w:pPr>
      <w:r w:rsidRPr="00C42294">
        <w:rPr>
          <w:b/>
          <w:bCs/>
        </w:rPr>
        <w:t xml:space="preserve">Observation </w:t>
      </w:r>
      <w:r>
        <w:rPr>
          <w:b/>
          <w:bCs/>
        </w:rPr>
        <w:t>3</w:t>
      </w:r>
      <w:r w:rsidRPr="005860C7">
        <w:rPr>
          <w:b/>
          <w:bCs/>
        </w:rPr>
        <w:t>:</w:t>
      </w:r>
      <w:r w:rsidRPr="0018585F">
        <w:rPr>
          <w:b/>
          <w:bCs/>
        </w:rPr>
        <w:t xml:space="preserve"> There is </w:t>
      </w:r>
      <w:r w:rsidR="00353E40" w:rsidRPr="0018585F">
        <w:rPr>
          <w:b/>
          <w:bCs/>
        </w:rPr>
        <w:t xml:space="preserve">an </w:t>
      </w:r>
      <w:r w:rsidRPr="0018585F">
        <w:rPr>
          <w:b/>
          <w:bCs/>
        </w:rPr>
        <w:t xml:space="preserve">overlapping discussion </w:t>
      </w:r>
      <w:r w:rsidR="00353E40" w:rsidRPr="0018585F">
        <w:rPr>
          <w:b/>
          <w:bCs/>
        </w:rPr>
        <w:t xml:space="preserve">to define </w:t>
      </w:r>
      <w:r w:rsidR="005860C7" w:rsidRPr="0018585F">
        <w:rPr>
          <w:b/>
          <w:bCs/>
        </w:rPr>
        <w:t>similar</w:t>
      </w:r>
      <w:r w:rsidR="00353E40" w:rsidRPr="0018585F">
        <w:rPr>
          <w:b/>
          <w:bCs/>
        </w:rPr>
        <w:t xml:space="preserve"> solution of inter-cell dynamic point selection under two different RAN1 sub-agendas of feMIMO WI.</w:t>
      </w:r>
      <w:r w:rsidR="00353E40">
        <w:t xml:space="preserve"> </w:t>
      </w:r>
      <w:r>
        <w:t xml:space="preserve"> </w:t>
      </w:r>
    </w:p>
    <w:p w14:paraId="495FE5F7" w14:textId="77777777" w:rsidR="008B02EE" w:rsidRDefault="008B02EE" w:rsidP="00E35316">
      <w:pPr>
        <w:jc w:val="both"/>
      </w:pPr>
    </w:p>
    <w:p w14:paraId="76C68936" w14:textId="3999381B" w:rsidR="00D43E36" w:rsidRDefault="000F590D" w:rsidP="00AC42A0">
      <w:pPr>
        <w:pStyle w:val="Heading1"/>
        <w:numPr>
          <w:ilvl w:val="0"/>
          <w:numId w:val="4"/>
        </w:numPr>
      </w:pPr>
      <w:r>
        <w:t>Summary and Conclusions</w:t>
      </w:r>
    </w:p>
    <w:p w14:paraId="1BCCB124" w14:textId="49BB3B62" w:rsidR="00D43E36" w:rsidRDefault="000F590D" w:rsidP="00D43E36">
      <w:pPr>
        <w:rPr>
          <w:lang w:val="en-US"/>
        </w:rPr>
      </w:pPr>
      <w:r>
        <w:rPr>
          <w:lang w:val="en-US"/>
        </w:rPr>
        <w:t xml:space="preserve">In this document we discussed the status of the Rel-17 </w:t>
      </w:r>
      <w:r w:rsidR="0006511B">
        <w:rPr>
          <w:lang w:val="en-US"/>
        </w:rPr>
        <w:t>FeMIMO WI</w:t>
      </w:r>
      <w:r>
        <w:rPr>
          <w:lang w:val="en-US"/>
        </w:rPr>
        <w:t xml:space="preserve">. Based on the discussions the following observations and proposals are brought forward: </w:t>
      </w:r>
    </w:p>
    <w:p w14:paraId="25D2FD66" w14:textId="48A9CDD3" w:rsidR="008B02EE" w:rsidRDefault="008B02EE" w:rsidP="008B02EE">
      <w:pPr>
        <w:jc w:val="both"/>
        <w:rPr>
          <w:b/>
          <w:bCs/>
        </w:rPr>
      </w:pPr>
      <w:r w:rsidRPr="005860C7">
        <w:rPr>
          <w:b/>
          <w:bCs/>
        </w:rPr>
        <w:t>Observation 1:</w:t>
      </w:r>
      <w:r w:rsidRPr="0031229C">
        <w:rPr>
          <w:b/>
          <w:bCs/>
        </w:rPr>
        <w:t xml:space="preserve"> The estimated RAN2 work for the topic is quite large and cannot be completed without downscoping the current FeMIMO objectives.</w:t>
      </w:r>
    </w:p>
    <w:p w14:paraId="717FF7E8" w14:textId="77777777" w:rsidR="008B02EE" w:rsidRDefault="008B02EE" w:rsidP="008B02EE">
      <w:pPr>
        <w:jc w:val="both"/>
      </w:pPr>
      <w:r w:rsidRPr="00C42294">
        <w:rPr>
          <w:b/>
          <w:bCs/>
        </w:rPr>
        <w:t xml:space="preserve">Observation </w:t>
      </w:r>
      <w:r>
        <w:rPr>
          <w:b/>
          <w:bCs/>
        </w:rPr>
        <w:t>2</w:t>
      </w:r>
      <w:r w:rsidRPr="008B02EE">
        <w:rPr>
          <w:b/>
          <w:bCs/>
        </w:rPr>
        <w:t>:</w:t>
      </w:r>
      <w:r w:rsidRPr="0031229C">
        <w:rPr>
          <w:b/>
          <w:bCs/>
        </w:rPr>
        <w:t xml:space="preserve"> The evaluation results are not showing performance gains of the L1/L2 mobility compared to L3 HO.</w:t>
      </w:r>
      <w:r>
        <w:t xml:space="preserve"> </w:t>
      </w:r>
    </w:p>
    <w:p w14:paraId="3A70B885" w14:textId="77777777" w:rsidR="008B02EE" w:rsidRPr="008B02EE" w:rsidRDefault="008B02EE" w:rsidP="008B02EE">
      <w:pPr>
        <w:jc w:val="both"/>
        <w:rPr>
          <w:b/>
          <w:bCs/>
        </w:rPr>
      </w:pPr>
      <w:r w:rsidRPr="005860C7">
        <w:rPr>
          <w:b/>
          <w:bCs/>
        </w:rPr>
        <w:t xml:space="preserve">Proposal: De-prioritize the work on L1/L2-centric mobility </w:t>
      </w:r>
      <w:r w:rsidRPr="0031229C">
        <w:rPr>
          <w:b/>
          <w:bCs/>
        </w:rPr>
        <w:t xml:space="preserve">(including the </w:t>
      </w:r>
      <w:r w:rsidRPr="0031229C">
        <w:rPr>
          <w:rFonts w:eastAsia="Malgun Gothic"/>
          <w:b/>
          <w:bCs/>
        </w:rPr>
        <w:t>inter-cell dynamic point selection or inter-cell beam management</w:t>
      </w:r>
      <w:r w:rsidRPr="0031229C">
        <w:rPr>
          <w:b/>
          <w:bCs/>
        </w:rPr>
        <w:t>)</w:t>
      </w:r>
      <w:r w:rsidRPr="005860C7">
        <w:rPr>
          <w:b/>
          <w:bCs/>
        </w:rPr>
        <w:t xml:space="preserve"> </w:t>
      </w:r>
      <w:r w:rsidRPr="008B02EE">
        <w:rPr>
          <w:b/>
          <w:bCs/>
        </w:rPr>
        <w:t>in all working groups</w:t>
      </w:r>
    </w:p>
    <w:p w14:paraId="3903E0A0" w14:textId="77777777" w:rsidR="008B02EE" w:rsidRDefault="008B02EE" w:rsidP="008B02EE">
      <w:pPr>
        <w:jc w:val="both"/>
      </w:pPr>
      <w:r w:rsidRPr="00C42294">
        <w:rPr>
          <w:b/>
          <w:bCs/>
        </w:rPr>
        <w:t xml:space="preserve">Observation </w:t>
      </w:r>
      <w:r>
        <w:rPr>
          <w:b/>
          <w:bCs/>
        </w:rPr>
        <w:t>3</w:t>
      </w:r>
      <w:r w:rsidRPr="005860C7">
        <w:rPr>
          <w:b/>
          <w:bCs/>
        </w:rPr>
        <w:t>:</w:t>
      </w:r>
      <w:r w:rsidRPr="0031229C">
        <w:rPr>
          <w:b/>
          <w:bCs/>
        </w:rPr>
        <w:t xml:space="preserve"> There is an overlapping discussion to define similar solution of inter-cell dynamic point selection under two different RAN1 sub-agendas of feMIMO WI.</w:t>
      </w:r>
      <w:r>
        <w:t xml:space="preserve">  </w:t>
      </w:r>
    </w:p>
    <w:p w14:paraId="03866270" w14:textId="77777777" w:rsidR="001C7F25" w:rsidRPr="0098340A" w:rsidRDefault="001C7F25" w:rsidP="001C7F25">
      <w:pPr>
        <w:jc w:val="both"/>
        <w:rPr>
          <w:sz w:val="22"/>
          <w:lang w:val="en-US" w:eastAsia="zh-CN"/>
        </w:rPr>
      </w:pPr>
    </w:p>
    <w:p w14:paraId="557B2154" w14:textId="459570D1" w:rsidR="001C7F25" w:rsidRDefault="000F590D" w:rsidP="001C7F25">
      <w:pPr>
        <w:pStyle w:val="Heading1"/>
      </w:pPr>
      <w:r>
        <w:t>References</w:t>
      </w:r>
    </w:p>
    <w:p w14:paraId="1115DCBE" w14:textId="3FA27954" w:rsidR="000F590D" w:rsidRPr="0018585F" w:rsidRDefault="00020EBF" w:rsidP="000F590D">
      <w:pPr>
        <w:rPr>
          <w:lang w:val="en-US"/>
        </w:rPr>
      </w:pPr>
      <w:r w:rsidRPr="0018585F">
        <w:rPr>
          <w:lang w:val="en-US"/>
        </w:rPr>
        <w:t xml:space="preserve">[1] </w:t>
      </w:r>
      <w:hyperlink r:id="rId16" w:history="1">
        <w:r w:rsidR="00D02ABE" w:rsidRPr="0018585F">
          <w:t>R2-210</w:t>
        </w:r>
        <w:r w:rsidR="00A179D2" w:rsidRPr="0018585F">
          <w:t>6787</w:t>
        </w:r>
      </w:hyperlink>
      <w:r w:rsidR="00D02ABE" w:rsidRPr="008B02EE">
        <w:rPr>
          <w:lang w:val="en-US"/>
        </w:rPr>
        <w:t xml:space="preserve">, </w:t>
      </w:r>
      <w:r w:rsidR="008B02EE" w:rsidRPr="008B02EE">
        <w:rPr>
          <w:lang w:val="en-US"/>
        </w:rPr>
        <w:t>“</w:t>
      </w:r>
      <w:r w:rsidR="00D02ABE" w:rsidRPr="008B02EE">
        <w:rPr>
          <w:lang w:val="en-US"/>
        </w:rPr>
        <w:t>LS Reply on TCI State Update for L1/L2-Centric Inter-Cell Mobility</w:t>
      </w:r>
      <w:r w:rsidR="008B02EE" w:rsidRPr="008B02EE">
        <w:rPr>
          <w:lang w:val="en-US"/>
        </w:rPr>
        <w:t>”</w:t>
      </w:r>
      <w:r w:rsidR="00A179D2" w:rsidRPr="008B02EE">
        <w:rPr>
          <w:lang w:val="en-US"/>
        </w:rPr>
        <w:t>, RAN2</w:t>
      </w:r>
    </w:p>
    <w:p w14:paraId="10D122CD" w14:textId="1FB185F7" w:rsidR="002E23FE" w:rsidRPr="0018585F" w:rsidRDefault="002E23FE" w:rsidP="002E23FE">
      <w:pPr>
        <w:rPr>
          <w:lang w:val="en-US"/>
        </w:rPr>
      </w:pPr>
      <w:r w:rsidRPr="0018585F">
        <w:rPr>
          <w:lang w:val="en-US"/>
        </w:rPr>
        <w:t xml:space="preserve">[2] </w:t>
      </w:r>
      <w:hyperlink r:id="rId17" w:history="1">
        <w:r w:rsidR="00152B04" w:rsidRPr="0018585F">
          <w:t>R3-212879</w:t>
        </w:r>
      </w:hyperlink>
      <w:r w:rsidR="00176247" w:rsidRPr="0018585F">
        <w:t xml:space="preserve">, </w:t>
      </w:r>
      <w:r w:rsidR="008B02EE" w:rsidRPr="0018585F">
        <w:t>“</w:t>
      </w:r>
      <w:r w:rsidR="00176247" w:rsidRPr="0018585F">
        <w:t>Reply LS to</w:t>
      </w:r>
      <w:r w:rsidR="00176247" w:rsidRPr="008B02EE">
        <w:rPr>
          <w:lang w:val="en-US"/>
        </w:rPr>
        <w:t xml:space="preserve"> RAN1 LS on TCI State Update for L1/L2-Centric Inter-Cell Mobility</w:t>
      </w:r>
      <w:r w:rsidR="008B02EE" w:rsidRPr="008B02EE">
        <w:rPr>
          <w:lang w:val="en-US"/>
        </w:rPr>
        <w:t>”</w:t>
      </w:r>
      <w:r w:rsidR="00B53919" w:rsidRPr="008B02EE">
        <w:rPr>
          <w:lang w:val="en-US"/>
        </w:rPr>
        <w:t>, RAN3</w:t>
      </w:r>
    </w:p>
    <w:p w14:paraId="211C0DC4" w14:textId="1DA28082" w:rsidR="002E23FE" w:rsidRPr="0018585F" w:rsidRDefault="002E23FE" w:rsidP="000F590D">
      <w:pPr>
        <w:rPr>
          <w:lang w:val="en-US"/>
        </w:rPr>
      </w:pPr>
      <w:r w:rsidRPr="0018585F">
        <w:rPr>
          <w:lang w:val="en-US"/>
        </w:rPr>
        <w:lastRenderedPageBreak/>
        <w:t xml:space="preserve">[3] </w:t>
      </w:r>
      <w:hyperlink r:id="rId18" w:tgtFrame="_blank" w:history="1">
        <w:r w:rsidR="000D3A72" w:rsidRPr="0018585F">
          <w:rPr>
            <w:lang w:val="en-US"/>
          </w:rPr>
          <w:t>R4-2108356</w:t>
        </w:r>
      </w:hyperlink>
      <w:r w:rsidR="00B7588B" w:rsidRPr="008B02EE">
        <w:rPr>
          <w:lang w:val="en-US"/>
        </w:rPr>
        <w:t xml:space="preserve">, </w:t>
      </w:r>
      <w:r w:rsidR="008B02EE" w:rsidRPr="008B02EE">
        <w:rPr>
          <w:lang w:val="en-US"/>
        </w:rPr>
        <w:t>“</w:t>
      </w:r>
      <w:r w:rsidR="00B54259" w:rsidRPr="008B02EE">
        <w:rPr>
          <w:lang w:val="en-US"/>
        </w:rPr>
        <w:t>Reply to RAN1 LS on L1/L2-Centric Inter-Cell Mobility</w:t>
      </w:r>
      <w:r w:rsidR="008B02EE" w:rsidRPr="008B02EE">
        <w:rPr>
          <w:lang w:val="en-US"/>
        </w:rPr>
        <w:t>”</w:t>
      </w:r>
      <w:r w:rsidR="00B53919" w:rsidRPr="008B02EE">
        <w:rPr>
          <w:lang w:val="en-US"/>
        </w:rPr>
        <w:t>, RAN4</w:t>
      </w:r>
    </w:p>
    <w:p w14:paraId="40FB280C" w14:textId="21E0314E" w:rsidR="00020EBF" w:rsidRDefault="00020EBF" w:rsidP="000F590D">
      <w:pPr>
        <w:rPr>
          <w:lang w:val="en-US"/>
        </w:rPr>
      </w:pPr>
      <w:r w:rsidRPr="0018585F">
        <w:rPr>
          <w:lang w:val="en-US"/>
        </w:rPr>
        <w:t>[</w:t>
      </w:r>
      <w:r w:rsidR="002E23FE" w:rsidRPr="0018585F">
        <w:rPr>
          <w:lang w:val="en-US"/>
        </w:rPr>
        <w:t>4</w:t>
      </w:r>
      <w:r w:rsidRPr="0018585F">
        <w:rPr>
          <w:lang w:val="en-US"/>
        </w:rPr>
        <w:t>]</w:t>
      </w:r>
      <w:r w:rsidR="00C6229C" w:rsidRPr="0018585F">
        <w:rPr>
          <w:lang w:val="en-US"/>
        </w:rPr>
        <w:t xml:space="preserve"> </w:t>
      </w:r>
      <w:hyperlink r:id="rId19" w:history="1">
        <w:r w:rsidR="00C6229C" w:rsidRPr="0018585F">
          <w:t>RP-202024</w:t>
        </w:r>
      </w:hyperlink>
      <w:r w:rsidR="00C6229C" w:rsidRPr="008B02EE">
        <w:rPr>
          <w:lang w:val="en-US"/>
        </w:rPr>
        <w:t xml:space="preserve">, </w:t>
      </w:r>
      <w:r w:rsidR="008B02EE" w:rsidRPr="008B02EE">
        <w:rPr>
          <w:lang w:val="en-US"/>
        </w:rPr>
        <w:t>“</w:t>
      </w:r>
      <w:r w:rsidR="0027399B" w:rsidRPr="008B02EE">
        <w:rPr>
          <w:lang w:val="en-US"/>
        </w:rPr>
        <w:t>Revised WID: Further enhancements on MIMO for NR</w:t>
      </w:r>
      <w:r w:rsidR="008B02EE" w:rsidRPr="008B02EE">
        <w:rPr>
          <w:lang w:val="en-US"/>
        </w:rPr>
        <w:t>”</w:t>
      </w:r>
      <w:r w:rsidR="0027399B" w:rsidRPr="0027399B">
        <w:rPr>
          <w:lang w:val="en-US"/>
        </w:rPr>
        <w:t xml:space="preserve"> </w:t>
      </w:r>
    </w:p>
    <w:p w14:paraId="30D04AF7" w14:textId="5A246372" w:rsidR="001B2743" w:rsidRPr="0018585F" w:rsidRDefault="001B2743" w:rsidP="000F590D">
      <w:pPr>
        <w:rPr>
          <w:lang w:val="en-US"/>
        </w:rPr>
      </w:pPr>
      <w:r>
        <w:rPr>
          <w:lang w:val="en-US"/>
        </w:rPr>
        <w:t xml:space="preserve">[5] </w:t>
      </w:r>
      <w:hyperlink r:id="rId20" w:history="1">
        <w:r w:rsidRPr="0018585F">
          <w:rPr>
            <w:lang w:val="en-US"/>
          </w:rPr>
          <w:t>R1-2105273</w:t>
        </w:r>
      </w:hyperlink>
      <w:r w:rsidRPr="0018585F">
        <w:rPr>
          <w:lang w:val="en-US"/>
        </w:rPr>
        <w:t>, “Enhancements on Multi-beam Operation”, Nokia, Nokia Shanghai Bell, May 2021</w:t>
      </w:r>
    </w:p>
    <w:p w14:paraId="410805B9" w14:textId="6841D967" w:rsidR="001B2743" w:rsidRDefault="001B2743" w:rsidP="000F590D">
      <w:pPr>
        <w:rPr>
          <w:lang w:val="en-US"/>
        </w:rPr>
      </w:pPr>
      <w:r w:rsidRPr="0018585F">
        <w:rPr>
          <w:lang w:val="en-US"/>
        </w:rPr>
        <w:t xml:space="preserve">[6] </w:t>
      </w:r>
      <w:hyperlink r:id="rId21" w:history="1">
        <w:r w:rsidRPr="0018585F">
          <w:rPr>
            <w:lang w:val="en-US"/>
          </w:rPr>
          <w:t>R2-2104988</w:t>
        </w:r>
      </w:hyperlink>
      <w:r w:rsidRPr="0018585F">
        <w:rPr>
          <w:lang w:val="en-US"/>
        </w:rPr>
        <w:t>, “Multi-cell support for multi-TRPand L1 mobility”, Nokia, Nokia Shanghai Bell, May 2021</w:t>
      </w:r>
    </w:p>
    <w:p w14:paraId="029F0D74" w14:textId="4367534F" w:rsidR="0074137A" w:rsidRDefault="0074137A">
      <w:pPr>
        <w:spacing w:after="0"/>
        <w:rPr>
          <w:rFonts w:ascii="Arial" w:hAnsi="Arial"/>
          <w:sz w:val="36"/>
          <w:lang w:val="en-US"/>
        </w:rPr>
      </w:pPr>
    </w:p>
    <w:p w14:paraId="17E36A48" w14:textId="50CA795F" w:rsidR="00880747" w:rsidRPr="00846427" w:rsidRDefault="004D3596" w:rsidP="00880747">
      <w:pPr>
        <w:pStyle w:val="Heading1"/>
      </w:pPr>
      <w:r>
        <w:t xml:space="preserve">Annex A: </w:t>
      </w:r>
      <w:r w:rsidR="00880747" w:rsidRPr="00846427">
        <w:t xml:space="preserve">Inter-cell mobility system performance with L1 mobility and L3 mobility </w:t>
      </w:r>
    </w:p>
    <w:p w14:paraId="0A71010F" w14:textId="77777777" w:rsidR="00880747" w:rsidRPr="00846427" w:rsidRDefault="00880747" w:rsidP="00880747">
      <w:r w:rsidRPr="00846427">
        <w:t>NOTE: The references inside this section do not refer to Annex B but are only used within this Annex.</w:t>
      </w:r>
    </w:p>
    <w:p w14:paraId="2C425911" w14:textId="53B058DD" w:rsidR="00880747" w:rsidRPr="00846427" w:rsidRDefault="00880747" w:rsidP="00880747">
      <w:pPr>
        <w:pStyle w:val="Heading2"/>
      </w:pPr>
      <w:r>
        <w:t>A</w:t>
      </w:r>
      <w:r w:rsidRPr="00846427">
        <w:t>.1</w:t>
      </w:r>
      <w:r w:rsidRPr="00846427">
        <w:tab/>
        <w:t>Evaluation Scenarios</w:t>
      </w:r>
    </w:p>
    <w:p w14:paraId="085FB8FF" w14:textId="77777777" w:rsidR="00880747" w:rsidRPr="00846427" w:rsidRDefault="00880747" w:rsidP="00880747">
      <w:r w:rsidRPr="00846427">
        <w:t>We have simulated different handover procedures as summarized in the table below to understand the impact of the handover deactivation delay and interruption time (with no data transfer).</w:t>
      </w:r>
    </w:p>
    <w:p w14:paraId="5B48BD9E" w14:textId="5B04D8AD" w:rsidR="00880747" w:rsidRPr="00846427" w:rsidRDefault="00880747" w:rsidP="00880747">
      <w:pPr>
        <w:pStyle w:val="TH"/>
        <w:rPr>
          <w:rFonts w:ascii="Times New Roman" w:hAnsi="Times New Roman"/>
        </w:rPr>
      </w:pPr>
      <w:r w:rsidRPr="00846427">
        <w:rPr>
          <w:rFonts w:ascii="Times New Roman" w:hAnsi="Times New Roman"/>
        </w:rPr>
        <w:t xml:space="preserve">Table </w:t>
      </w:r>
      <w:r>
        <w:rPr>
          <w:rFonts w:ascii="Times New Roman" w:hAnsi="Times New Roman"/>
        </w:rPr>
        <w:t>A</w:t>
      </w:r>
      <w:r w:rsidRPr="00846427">
        <w:rPr>
          <w:rFonts w:ascii="Times New Roman" w:hAnsi="Times New Roman"/>
        </w:rPr>
        <w:t>.1-1: Handover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84"/>
        <w:gridCol w:w="1685"/>
        <w:gridCol w:w="1685"/>
        <w:gridCol w:w="1685"/>
        <w:gridCol w:w="1685"/>
      </w:tblGrid>
      <w:tr w:rsidR="00880747" w:rsidRPr="00846427" w14:paraId="4FD983CF" w14:textId="77777777" w:rsidTr="003E1444">
        <w:trPr>
          <w:trHeight w:val="252"/>
          <w:jc w:val="center"/>
        </w:trPr>
        <w:tc>
          <w:tcPr>
            <w:tcW w:w="1684" w:type="dxa"/>
            <w:tcBorders>
              <w:top w:val="single" w:sz="4" w:space="0" w:color="auto"/>
              <w:left w:val="single" w:sz="4" w:space="0" w:color="auto"/>
              <w:bottom w:val="single" w:sz="4" w:space="0" w:color="auto"/>
              <w:right w:val="single" w:sz="4" w:space="0" w:color="auto"/>
            </w:tcBorders>
            <w:noWrap/>
            <w:vAlign w:val="bottom"/>
          </w:tcPr>
          <w:p w14:paraId="109F2BF8" w14:textId="77777777" w:rsidR="00880747" w:rsidRPr="00846427" w:rsidRDefault="00880747" w:rsidP="003E1444">
            <w:pPr>
              <w:pStyle w:val="TAH"/>
              <w:spacing w:before="20" w:after="20"/>
              <w:ind w:left="57" w:right="57"/>
              <w:rPr>
                <w:rFonts w:ascii="Times New Roman" w:hAnsi="Times New Roman"/>
              </w:rPr>
            </w:pPr>
            <w:r w:rsidRPr="00846427">
              <w:rPr>
                <w:rFonts w:ascii="Times New Roman" w:hAnsi="Times New Roman"/>
              </w:rPr>
              <w:t>Parameters/Cases</w:t>
            </w:r>
          </w:p>
        </w:tc>
        <w:tc>
          <w:tcPr>
            <w:tcW w:w="1685" w:type="dxa"/>
            <w:tcBorders>
              <w:top w:val="single" w:sz="4" w:space="0" w:color="auto"/>
              <w:left w:val="single" w:sz="4" w:space="0" w:color="auto"/>
              <w:bottom w:val="single" w:sz="4" w:space="0" w:color="auto"/>
              <w:right w:val="single" w:sz="4" w:space="0" w:color="auto"/>
            </w:tcBorders>
            <w:vAlign w:val="bottom"/>
          </w:tcPr>
          <w:p w14:paraId="45668D34" w14:textId="77777777" w:rsidR="00880747" w:rsidRPr="00846427" w:rsidRDefault="00880747" w:rsidP="003E1444">
            <w:pPr>
              <w:pStyle w:val="TAH"/>
              <w:spacing w:before="20" w:after="20"/>
              <w:ind w:left="57" w:right="57"/>
              <w:rPr>
                <w:rFonts w:ascii="Times New Roman" w:hAnsi="Times New Roman"/>
              </w:rPr>
            </w:pPr>
            <w:r w:rsidRPr="00846427">
              <w:rPr>
                <w:rFonts w:ascii="Times New Roman" w:hAnsi="Times New Roman"/>
              </w:rPr>
              <w:t>L3(short delay)</w:t>
            </w:r>
          </w:p>
        </w:tc>
        <w:tc>
          <w:tcPr>
            <w:tcW w:w="1685" w:type="dxa"/>
            <w:tcBorders>
              <w:top w:val="single" w:sz="4" w:space="0" w:color="auto"/>
              <w:left w:val="single" w:sz="4" w:space="0" w:color="auto"/>
              <w:bottom w:val="single" w:sz="4" w:space="0" w:color="auto"/>
              <w:right w:val="single" w:sz="4" w:space="0" w:color="auto"/>
            </w:tcBorders>
            <w:noWrap/>
            <w:vAlign w:val="bottom"/>
          </w:tcPr>
          <w:p w14:paraId="0A43E201" w14:textId="77777777" w:rsidR="00880747" w:rsidRPr="00846427" w:rsidRDefault="00880747" w:rsidP="003E1444">
            <w:pPr>
              <w:pStyle w:val="TAH"/>
              <w:spacing w:before="20" w:after="20"/>
              <w:ind w:left="57" w:right="57"/>
              <w:rPr>
                <w:rFonts w:ascii="Times New Roman" w:hAnsi="Times New Roman"/>
              </w:rPr>
            </w:pPr>
            <w:r w:rsidRPr="00846427">
              <w:rPr>
                <w:rFonts w:ascii="Times New Roman" w:hAnsi="Times New Roman"/>
              </w:rPr>
              <w:t>L3(long delay)</w:t>
            </w:r>
          </w:p>
        </w:tc>
        <w:tc>
          <w:tcPr>
            <w:tcW w:w="1685" w:type="dxa"/>
            <w:tcBorders>
              <w:top w:val="single" w:sz="4" w:space="0" w:color="auto"/>
              <w:left w:val="single" w:sz="4" w:space="0" w:color="auto"/>
              <w:bottom w:val="single" w:sz="4" w:space="0" w:color="auto"/>
              <w:right w:val="single" w:sz="4" w:space="0" w:color="auto"/>
            </w:tcBorders>
            <w:vAlign w:val="bottom"/>
          </w:tcPr>
          <w:p w14:paraId="6941F93B" w14:textId="77777777" w:rsidR="00880747" w:rsidRPr="00846427" w:rsidRDefault="00880747" w:rsidP="003E1444">
            <w:pPr>
              <w:pStyle w:val="TAH"/>
              <w:spacing w:before="20" w:after="20"/>
              <w:ind w:left="57" w:right="57"/>
              <w:rPr>
                <w:rFonts w:ascii="Times New Roman" w:hAnsi="Times New Roman"/>
              </w:rPr>
            </w:pPr>
            <w:r w:rsidRPr="00846427">
              <w:rPr>
                <w:rFonts w:ascii="Times New Roman" w:hAnsi="Times New Roman"/>
              </w:rPr>
              <w:t>L1/L2(RACH-less)</w:t>
            </w:r>
          </w:p>
        </w:tc>
        <w:tc>
          <w:tcPr>
            <w:tcW w:w="1685" w:type="dxa"/>
            <w:tcBorders>
              <w:top w:val="single" w:sz="4" w:space="0" w:color="auto"/>
              <w:left w:val="single" w:sz="4" w:space="0" w:color="auto"/>
              <w:bottom w:val="single" w:sz="4" w:space="0" w:color="auto"/>
              <w:right w:val="single" w:sz="4" w:space="0" w:color="auto"/>
            </w:tcBorders>
            <w:vAlign w:val="bottom"/>
          </w:tcPr>
          <w:p w14:paraId="23034778" w14:textId="77777777" w:rsidR="00880747" w:rsidRPr="00846427" w:rsidRDefault="00880747" w:rsidP="003E1444">
            <w:pPr>
              <w:pStyle w:val="TAH"/>
              <w:spacing w:before="20" w:after="20"/>
              <w:ind w:left="57" w:right="57"/>
              <w:rPr>
                <w:rFonts w:ascii="Times New Roman" w:hAnsi="Times New Roman"/>
              </w:rPr>
            </w:pPr>
            <w:r w:rsidRPr="00846427">
              <w:rPr>
                <w:rFonts w:ascii="Times New Roman" w:hAnsi="Times New Roman"/>
              </w:rPr>
              <w:t>L1/L2(RACH)</w:t>
            </w:r>
          </w:p>
        </w:tc>
      </w:tr>
      <w:tr w:rsidR="00880747" w:rsidRPr="00846427" w14:paraId="6F2507F3" w14:textId="77777777" w:rsidTr="003E1444">
        <w:trPr>
          <w:trHeight w:val="252"/>
          <w:jc w:val="center"/>
        </w:trPr>
        <w:tc>
          <w:tcPr>
            <w:tcW w:w="1684" w:type="dxa"/>
            <w:tcBorders>
              <w:top w:val="single" w:sz="4" w:space="0" w:color="auto"/>
              <w:left w:val="single" w:sz="4" w:space="0" w:color="auto"/>
              <w:bottom w:val="single" w:sz="4" w:space="0" w:color="auto"/>
              <w:right w:val="single" w:sz="4" w:space="0" w:color="auto"/>
            </w:tcBorders>
            <w:noWrap/>
            <w:vAlign w:val="bottom"/>
          </w:tcPr>
          <w:p w14:paraId="66A28566"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L3 mobility based on A3 event</w:t>
            </w:r>
          </w:p>
        </w:tc>
        <w:tc>
          <w:tcPr>
            <w:tcW w:w="1685" w:type="dxa"/>
            <w:tcBorders>
              <w:top w:val="single" w:sz="4" w:space="0" w:color="auto"/>
              <w:left w:val="single" w:sz="4" w:space="0" w:color="auto"/>
              <w:bottom w:val="single" w:sz="4" w:space="0" w:color="auto"/>
              <w:right w:val="single" w:sz="4" w:space="0" w:color="auto"/>
            </w:tcBorders>
            <w:vAlign w:val="bottom"/>
          </w:tcPr>
          <w:p w14:paraId="03E474CC"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Enabled</w:t>
            </w:r>
          </w:p>
        </w:tc>
        <w:tc>
          <w:tcPr>
            <w:tcW w:w="1685" w:type="dxa"/>
            <w:tcBorders>
              <w:top w:val="single" w:sz="4" w:space="0" w:color="auto"/>
              <w:left w:val="single" w:sz="4" w:space="0" w:color="auto"/>
              <w:bottom w:val="single" w:sz="4" w:space="0" w:color="auto"/>
              <w:right w:val="single" w:sz="4" w:space="0" w:color="auto"/>
            </w:tcBorders>
            <w:noWrap/>
            <w:vAlign w:val="bottom"/>
          </w:tcPr>
          <w:p w14:paraId="6E61684F"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Enabled</w:t>
            </w:r>
          </w:p>
        </w:tc>
        <w:tc>
          <w:tcPr>
            <w:tcW w:w="1685" w:type="dxa"/>
            <w:tcBorders>
              <w:top w:val="single" w:sz="4" w:space="0" w:color="auto"/>
              <w:left w:val="single" w:sz="4" w:space="0" w:color="auto"/>
              <w:bottom w:val="single" w:sz="4" w:space="0" w:color="auto"/>
              <w:right w:val="single" w:sz="4" w:space="0" w:color="auto"/>
            </w:tcBorders>
            <w:vAlign w:val="bottom"/>
          </w:tcPr>
          <w:p w14:paraId="29EB935D"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Disabled</w:t>
            </w:r>
          </w:p>
        </w:tc>
        <w:tc>
          <w:tcPr>
            <w:tcW w:w="1685" w:type="dxa"/>
            <w:tcBorders>
              <w:top w:val="single" w:sz="4" w:space="0" w:color="auto"/>
              <w:left w:val="single" w:sz="4" w:space="0" w:color="auto"/>
              <w:bottom w:val="single" w:sz="4" w:space="0" w:color="auto"/>
              <w:right w:val="single" w:sz="4" w:space="0" w:color="auto"/>
            </w:tcBorders>
            <w:vAlign w:val="bottom"/>
          </w:tcPr>
          <w:p w14:paraId="4D812995"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Disabled</w:t>
            </w:r>
          </w:p>
        </w:tc>
      </w:tr>
      <w:tr w:rsidR="00880747" w:rsidRPr="00846427" w14:paraId="7DB63354" w14:textId="77777777" w:rsidTr="003E1444">
        <w:trPr>
          <w:trHeight w:val="252"/>
          <w:jc w:val="center"/>
        </w:trPr>
        <w:tc>
          <w:tcPr>
            <w:tcW w:w="1684" w:type="dxa"/>
            <w:tcBorders>
              <w:top w:val="single" w:sz="4" w:space="0" w:color="auto"/>
            </w:tcBorders>
            <w:noWrap/>
            <w:vAlign w:val="bottom"/>
          </w:tcPr>
          <w:p w14:paraId="7AAEF8C6"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L1/L2 mobility based on L1-RSRP beam measurements</w:t>
            </w:r>
          </w:p>
        </w:tc>
        <w:tc>
          <w:tcPr>
            <w:tcW w:w="1685" w:type="dxa"/>
            <w:tcBorders>
              <w:top w:val="single" w:sz="4" w:space="0" w:color="auto"/>
            </w:tcBorders>
            <w:vAlign w:val="bottom"/>
          </w:tcPr>
          <w:p w14:paraId="258ABBBE"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Disabled</w:t>
            </w:r>
          </w:p>
        </w:tc>
        <w:tc>
          <w:tcPr>
            <w:tcW w:w="1685" w:type="dxa"/>
            <w:tcBorders>
              <w:top w:val="single" w:sz="4" w:space="0" w:color="auto"/>
            </w:tcBorders>
            <w:noWrap/>
            <w:vAlign w:val="bottom"/>
          </w:tcPr>
          <w:p w14:paraId="56512C95"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Disabled</w:t>
            </w:r>
          </w:p>
        </w:tc>
        <w:tc>
          <w:tcPr>
            <w:tcW w:w="1685" w:type="dxa"/>
            <w:tcBorders>
              <w:top w:val="single" w:sz="4" w:space="0" w:color="auto"/>
            </w:tcBorders>
            <w:vAlign w:val="bottom"/>
          </w:tcPr>
          <w:p w14:paraId="032831B1"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Enabled</w:t>
            </w:r>
          </w:p>
        </w:tc>
        <w:tc>
          <w:tcPr>
            <w:tcW w:w="1685" w:type="dxa"/>
            <w:tcBorders>
              <w:top w:val="single" w:sz="4" w:space="0" w:color="auto"/>
            </w:tcBorders>
            <w:vAlign w:val="bottom"/>
          </w:tcPr>
          <w:p w14:paraId="3806F372"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Enabled</w:t>
            </w:r>
          </w:p>
        </w:tc>
      </w:tr>
      <w:tr w:rsidR="00880747" w:rsidRPr="00846427" w14:paraId="1A32C996" w14:textId="77777777" w:rsidTr="003E1444">
        <w:trPr>
          <w:trHeight w:val="252"/>
          <w:jc w:val="center"/>
        </w:trPr>
        <w:tc>
          <w:tcPr>
            <w:tcW w:w="1684" w:type="dxa"/>
            <w:noWrap/>
            <w:vAlign w:val="bottom"/>
          </w:tcPr>
          <w:p w14:paraId="51DC2955"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HO interruption time (due to RACH)</w:t>
            </w:r>
          </w:p>
        </w:tc>
        <w:tc>
          <w:tcPr>
            <w:tcW w:w="1685" w:type="dxa"/>
            <w:vAlign w:val="bottom"/>
          </w:tcPr>
          <w:p w14:paraId="062A79A0"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80 ms</w:t>
            </w:r>
          </w:p>
        </w:tc>
        <w:tc>
          <w:tcPr>
            <w:tcW w:w="1685" w:type="dxa"/>
            <w:noWrap/>
            <w:vAlign w:val="bottom"/>
          </w:tcPr>
          <w:p w14:paraId="26889723"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80 ms</w:t>
            </w:r>
          </w:p>
        </w:tc>
        <w:tc>
          <w:tcPr>
            <w:tcW w:w="1685" w:type="dxa"/>
            <w:vAlign w:val="bottom"/>
          </w:tcPr>
          <w:p w14:paraId="611AF367"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1 ms</w:t>
            </w:r>
          </w:p>
        </w:tc>
        <w:tc>
          <w:tcPr>
            <w:tcW w:w="1685" w:type="dxa"/>
            <w:vAlign w:val="bottom"/>
          </w:tcPr>
          <w:p w14:paraId="61F8A084"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80 ms</w:t>
            </w:r>
          </w:p>
        </w:tc>
      </w:tr>
      <w:tr w:rsidR="00880747" w:rsidRPr="00846427" w14:paraId="6B21F522" w14:textId="77777777" w:rsidTr="003E1444">
        <w:trPr>
          <w:trHeight w:val="252"/>
          <w:jc w:val="center"/>
        </w:trPr>
        <w:tc>
          <w:tcPr>
            <w:tcW w:w="1684" w:type="dxa"/>
            <w:noWrap/>
            <w:vAlign w:val="bottom"/>
          </w:tcPr>
          <w:p w14:paraId="296C4CF8"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HO preparation delay</w:t>
            </w:r>
          </w:p>
        </w:tc>
        <w:tc>
          <w:tcPr>
            <w:tcW w:w="1685" w:type="dxa"/>
            <w:vAlign w:val="bottom"/>
          </w:tcPr>
          <w:p w14:paraId="3AD198E4"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40 ms [2]</w:t>
            </w:r>
          </w:p>
        </w:tc>
        <w:tc>
          <w:tcPr>
            <w:tcW w:w="1685" w:type="dxa"/>
            <w:noWrap/>
            <w:vAlign w:val="bottom"/>
          </w:tcPr>
          <w:p w14:paraId="15E331A8"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 xml:space="preserve">820 ms </w:t>
            </w:r>
          </w:p>
        </w:tc>
        <w:tc>
          <w:tcPr>
            <w:tcW w:w="1685" w:type="dxa"/>
            <w:vAlign w:val="bottom"/>
          </w:tcPr>
          <w:p w14:paraId="47F4B0CE"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Not applicable</w:t>
            </w:r>
            <w:r w:rsidRPr="00846427" w:rsidDel="004F162F">
              <w:rPr>
                <w:rFonts w:ascii="Times New Roman" w:hAnsi="Times New Roman"/>
              </w:rPr>
              <w:t xml:space="preserve"> </w:t>
            </w:r>
          </w:p>
        </w:tc>
        <w:tc>
          <w:tcPr>
            <w:tcW w:w="1685" w:type="dxa"/>
            <w:vAlign w:val="bottom"/>
          </w:tcPr>
          <w:p w14:paraId="112FA036"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Not applicable</w:t>
            </w:r>
          </w:p>
        </w:tc>
      </w:tr>
      <w:tr w:rsidR="00880747" w:rsidRPr="00846427" w14:paraId="617B1249" w14:textId="77777777" w:rsidTr="003E1444">
        <w:trPr>
          <w:trHeight w:val="252"/>
          <w:jc w:val="center"/>
        </w:trPr>
        <w:tc>
          <w:tcPr>
            <w:tcW w:w="1684" w:type="dxa"/>
            <w:noWrap/>
            <w:vAlign w:val="bottom"/>
          </w:tcPr>
          <w:p w14:paraId="10C5F810"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A3 event Time-to-Trigger (TTT)</w:t>
            </w:r>
          </w:p>
        </w:tc>
        <w:tc>
          <w:tcPr>
            <w:tcW w:w="1685" w:type="dxa"/>
            <w:vAlign w:val="bottom"/>
          </w:tcPr>
          <w:p w14:paraId="15CA4812"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160 ms</w:t>
            </w:r>
          </w:p>
        </w:tc>
        <w:tc>
          <w:tcPr>
            <w:tcW w:w="1685" w:type="dxa"/>
            <w:noWrap/>
            <w:vAlign w:val="bottom"/>
          </w:tcPr>
          <w:p w14:paraId="0C3B8E3E" w14:textId="77777777" w:rsidR="00880747" w:rsidRPr="00846427" w:rsidRDefault="00880747" w:rsidP="003E1444">
            <w:pPr>
              <w:pStyle w:val="TAC"/>
              <w:spacing w:before="20" w:after="20"/>
              <w:ind w:right="57"/>
              <w:rPr>
                <w:rFonts w:ascii="Times New Roman" w:hAnsi="Times New Roman"/>
              </w:rPr>
            </w:pPr>
            <w:r w:rsidRPr="00846427">
              <w:rPr>
                <w:rFonts w:ascii="Times New Roman" w:hAnsi="Times New Roman"/>
              </w:rPr>
              <w:t>160 ms</w:t>
            </w:r>
          </w:p>
        </w:tc>
        <w:tc>
          <w:tcPr>
            <w:tcW w:w="1685" w:type="dxa"/>
            <w:vAlign w:val="bottom"/>
          </w:tcPr>
          <w:p w14:paraId="63CCA0BC"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No TTT i.e. 0 ms</w:t>
            </w:r>
          </w:p>
        </w:tc>
        <w:tc>
          <w:tcPr>
            <w:tcW w:w="1685" w:type="dxa"/>
            <w:vAlign w:val="bottom"/>
          </w:tcPr>
          <w:p w14:paraId="3C3F3FB0"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No TTT i.e. 0 ms</w:t>
            </w:r>
          </w:p>
        </w:tc>
      </w:tr>
      <w:tr w:rsidR="00880747" w:rsidRPr="00846427" w14:paraId="7044720D" w14:textId="77777777" w:rsidTr="003E1444">
        <w:trPr>
          <w:trHeight w:val="252"/>
          <w:jc w:val="center"/>
        </w:trPr>
        <w:tc>
          <w:tcPr>
            <w:tcW w:w="1684" w:type="dxa"/>
            <w:noWrap/>
            <w:vAlign w:val="bottom"/>
          </w:tcPr>
          <w:p w14:paraId="49796212"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IIR L3 filtering delay</w:t>
            </w:r>
          </w:p>
        </w:tc>
        <w:tc>
          <w:tcPr>
            <w:tcW w:w="1685" w:type="dxa"/>
            <w:vAlign w:val="bottom"/>
          </w:tcPr>
          <w:p w14:paraId="50B4276D"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20 ms</w:t>
            </w:r>
          </w:p>
        </w:tc>
        <w:tc>
          <w:tcPr>
            <w:tcW w:w="1685" w:type="dxa"/>
            <w:noWrap/>
            <w:vAlign w:val="bottom"/>
          </w:tcPr>
          <w:p w14:paraId="2A59671A"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20 ms</w:t>
            </w:r>
          </w:p>
        </w:tc>
        <w:tc>
          <w:tcPr>
            <w:tcW w:w="1685" w:type="dxa"/>
            <w:vAlign w:val="bottom"/>
          </w:tcPr>
          <w:p w14:paraId="42D51681"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Not applicable</w:t>
            </w:r>
          </w:p>
        </w:tc>
        <w:tc>
          <w:tcPr>
            <w:tcW w:w="1685" w:type="dxa"/>
            <w:vAlign w:val="bottom"/>
          </w:tcPr>
          <w:p w14:paraId="03CD2656"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Not applicable</w:t>
            </w:r>
            <w:r w:rsidRPr="00846427" w:rsidDel="00824C70">
              <w:rPr>
                <w:rFonts w:ascii="Times New Roman" w:hAnsi="Times New Roman"/>
              </w:rPr>
              <w:t xml:space="preserve"> </w:t>
            </w:r>
          </w:p>
        </w:tc>
      </w:tr>
      <w:tr w:rsidR="00880747" w:rsidRPr="00846427" w14:paraId="3C5BF9B5" w14:textId="77777777" w:rsidTr="003E1444">
        <w:trPr>
          <w:trHeight w:val="252"/>
          <w:jc w:val="center"/>
        </w:trPr>
        <w:tc>
          <w:tcPr>
            <w:tcW w:w="1684" w:type="dxa"/>
            <w:noWrap/>
            <w:vAlign w:val="bottom"/>
          </w:tcPr>
          <w:p w14:paraId="0CD86180"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HO deactivation delay</w:t>
            </w:r>
          </w:p>
        </w:tc>
        <w:tc>
          <w:tcPr>
            <w:tcW w:w="1685" w:type="dxa"/>
            <w:vAlign w:val="bottom"/>
          </w:tcPr>
          <w:p w14:paraId="642119E1"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220 ms</w:t>
            </w:r>
          </w:p>
        </w:tc>
        <w:tc>
          <w:tcPr>
            <w:tcW w:w="1685" w:type="dxa"/>
            <w:noWrap/>
            <w:vAlign w:val="bottom"/>
          </w:tcPr>
          <w:p w14:paraId="64EAB749"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1000 ms [1]</w:t>
            </w:r>
          </w:p>
        </w:tc>
        <w:tc>
          <w:tcPr>
            <w:tcW w:w="1685" w:type="dxa"/>
            <w:vAlign w:val="bottom"/>
          </w:tcPr>
          <w:p w14:paraId="1B86509A"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 xml:space="preserve">1 ms </w:t>
            </w:r>
          </w:p>
        </w:tc>
        <w:tc>
          <w:tcPr>
            <w:tcW w:w="1685" w:type="dxa"/>
            <w:vAlign w:val="bottom"/>
          </w:tcPr>
          <w:p w14:paraId="0ACED8B3" w14:textId="77777777" w:rsidR="00880747" w:rsidRPr="00846427" w:rsidRDefault="00880747" w:rsidP="003E1444">
            <w:pPr>
              <w:pStyle w:val="TAC"/>
              <w:spacing w:before="20" w:after="20"/>
              <w:ind w:left="57" w:right="57"/>
              <w:rPr>
                <w:rFonts w:ascii="Times New Roman" w:hAnsi="Times New Roman"/>
              </w:rPr>
            </w:pPr>
            <w:r w:rsidRPr="00846427">
              <w:rPr>
                <w:rFonts w:ascii="Times New Roman" w:hAnsi="Times New Roman"/>
              </w:rPr>
              <w:t>1 ms</w:t>
            </w:r>
          </w:p>
        </w:tc>
      </w:tr>
    </w:tbl>
    <w:p w14:paraId="2F8774D0" w14:textId="77777777" w:rsidR="00880747" w:rsidRPr="00846427" w:rsidRDefault="00880747" w:rsidP="00880747"/>
    <w:p w14:paraId="7A992427" w14:textId="77777777" w:rsidR="00880747" w:rsidRPr="00846427" w:rsidRDefault="00880747" w:rsidP="00880747">
      <w:r w:rsidRPr="00846427">
        <w:t>The term “HO deactivation delay” refers to “HO latency” which is defined as the time measured from the handover initiation until the completion of the UE association with the new destination cell. The EVM model specifically states that “</w:t>
      </w:r>
      <w:r w:rsidRPr="00846427">
        <w:rPr>
          <w:i/>
          <w:iCs/>
        </w:rPr>
        <w:t>That is, when the L1-RSRP for the target cell is larger than the L1-RSRP for the source cell by the HO margin (e.g. 3 dB), handover is initiated. Handover to the target cell is completed after HO latency</w:t>
      </w:r>
      <w:r w:rsidRPr="00846427">
        <w:t>”. Based on this description, the HO deactivation delay accounts for IIR L3 filter delay, TTT and handover preparation delay which part of L3 inter-cell mobility modelling</w:t>
      </w:r>
    </w:p>
    <w:p w14:paraId="600CEF24" w14:textId="77777777" w:rsidR="00880747" w:rsidRPr="00846427" w:rsidRDefault="00880747" w:rsidP="00880747">
      <w:r w:rsidRPr="00846427">
        <w:t xml:space="preserve">For L3 mobility, if the Layer 3 cell quality measurement of the non-serving cell is higher than the serving cell quality measurement by the HO margin during TTT, UE sends Layer 3 measurement report to the serving cell (see 38.300 for more details on measurements and reporting). Once the serving cell receives the L3 measurement report from the UE, it initiates the preparation of the HO command (i.e. RRC reconfiguration). In our simulation, the HO preparation time (Handover Request, admission control and Handover Request Acknowledge) is modelled as HO preparation delay. We have simulated two cases for L3 mobility, namely L3(short delay), L3(long delay). In L3(short delay) case, the handover preparation delay is set to reasonable value of 40 ms based on the study in [2].  L3(long delay) case considers 820 ms handover preparation delay to align with the EVM assumptions in [1] which considers the handover de-activation delay to be between 1000 ms and 1500 ms. </w:t>
      </w:r>
    </w:p>
    <w:p w14:paraId="6B3F2565" w14:textId="77777777" w:rsidR="00880747" w:rsidRPr="00846427" w:rsidRDefault="00880747" w:rsidP="00880747">
      <w:r w:rsidRPr="00846427">
        <w:lastRenderedPageBreak/>
        <w:t xml:space="preserve">We would also note that a "fixed delay" for mobility search is not very realistic as UE is normally doing cell search continuously, and after acquiring SSB of neighbour cell also continues to do SSB-RSRP measurements while the cell remains detectable as per the requirements in TS38.133. Putting this into a single delay value over-estimates the time needed to obtain L3 measurement samples, thus making the L3 handovers much "slower" than observed in reality. Hence, a system level simulator used for mobility using such a "simple" model should attempt to consider both "short" and "long" delay values to understand how much bias the model itself causes to the L3 mobility performance. This is similar as was already evaluated in LTE Rel-11/12 study on Hetnet mobility (for more details see </w:t>
      </w:r>
      <w:hyperlink r:id="rId22" w:history="1">
        <w:r w:rsidRPr="00846427">
          <w:rPr>
            <w:rStyle w:val="Hyperlink"/>
          </w:rPr>
          <w:t>TR 38.839</w:t>
        </w:r>
      </w:hyperlink>
      <w:r w:rsidRPr="00846427">
        <w:t>).</w:t>
      </w:r>
    </w:p>
    <w:p w14:paraId="708A946A" w14:textId="77777777" w:rsidR="00880747" w:rsidRPr="00846427" w:rsidRDefault="00880747" w:rsidP="00880747">
      <w:r w:rsidRPr="00846427">
        <w:rPr>
          <w:b/>
          <w:bCs/>
        </w:rPr>
        <w:t>Observation 0:</w:t>
      </w:r>
      <w:r w:rsidRPr="00846427">
        <w:t xml:space="preserve"> A fixed mobility delay model tends to overestimate the mobility performance degradation. System level simulations for mobility purposes should model both cell search and measurement sampling to properly evaluate the impact of delays in mobility performance. </w:t>
      </w:r>
    </w:p>
    <w:p w14:paraId="0F6CA91C" w14:textId="77777777" w:rsidR="00880747" w:rsidRPr="00846427" w:rsidRDefault="00880747" w:rsidP="00880747">
      <w:r w:rsidRPr="00846427">
        <w:t>L1/L2 based mobility differs from the L3 mobility in the sense that the serving cell change (handover) is triggered using L1-RSRP beam measurements instead of L3 cell quality measurements. Herein, UE sends periodical L1-RSRP beam measurement reports to the serving cell including the K strongest beams of the non-serving cell(s). HO is triggered if the L1-RSRP measurements of the best non-serving cell beam is higher than the best serving cell beam by the HO margin e.g. 3 dB. Note that for L1/L2-centric inter-cell mobility the RRC configurations of the non-serving cell are assumed to be already pre-configured at the UE (similar to CHO). Therefore, HO preparation delay for L1/L2 signalling is assumed to be 0 ms (not applicable) and we don’t have any TTT  timer which leads to shorter a HO deactivation delay for L1/L2-centric inter-cell mobility.</w:t>
      </w:r>
    </w:p>
    <w:p w14:paraId="56A061B9" w14:textId="77777777" w:rsidR="00880747" w:rsidRPr="00846427" w:rsidRDefault="00880747" w:rsidP="00880747">
      <w:r w:rsidRPr="00846427">
        <w:t>The interruption time for L1/L2(RACH-less) is set to 1 ms assuming that UE has decoded all the RRC configurations of the non-serving cell (i.e. possible target cell/new serving cell) beforehand and UE does not need RACH as timing advance (TA) is zero or the same as the serving cell i.e. RACH-less. For other HO procedures, the interruption time is assumed to be 80 ms.</w:t>
      </w:r>
    </w:p>
    <w:p w14:paraId="61D1EC24" w14:textId="77777777" w:rsidR="00880747" w:rsidRPr="00846427" w:rsidRDefault="00880747" w:rsidP="00880747">
      <w:pPr>
        <w:pStyle w:val="Heading2"/>
      </w:pPr>
      <w:r w:rsidRPr="00846427">
        <w:t>A.2</w:t>
      </w:r>
      <w:r w:rsidRPr="00846427">
        <w:tab/>
        <w:t>Simulation Parameters</w:t>
      </w:r>
    </w:p>
    <w:p w14:paraId="4D5D1D89" w14:textId="6E705A61" w:rsidR="00880747" w:rsidRPr="00846427" w:rsidRDefault="00880747" w:rsidP="00880747">
      <w:r w:rsidRPr="00846427">
        <w:t xml:space="preserve">The parameters of the simulation follow the assumptions of the EVM model in [1] for inter-cell mobility scenarios which are shown in Table </w:t>
      </w:r>
      <w:r>
        <w:t>A</w:t>
      </w:r>
      <w:r w:rsidRPr="00846427">
        <w:t>.1-2.</w:t>
      </w:r>
    </w:p>
    <w:p w14:paraId="0842DF4C" w14:textId="5773C2F0" w:rsidR="00880747" w:rsidRPr="00846427" w:rsidRDefault="00880747" w:rsidP="00880747">
      <w:pPr>
        <w:pStyle w:val="Caption"/>
        <w:keepNext/>
        <w:jc w:val="center"/>
        <w:rPr>
          <w:lang w:val="en-GB"/>
        </w:rPr>
      </w:pPr>
      <w:bookmarkStart w:id="0" w:name="_Ref61867148"/>
      <w:bookmarkStart w:id="1" w:name="_Ref61867130"/>
      <w:r w:rsidRPr="00846427">
        <w:rPr>
          <w:lang w:val="en-GB"/>
        </w:rPr>
        <w:t xml:space="preserve">Table </w:t>
      </w:r>
      <w:bookmarkEnd w:id="0"/>
      <w:r>
        <w:rPr>
          <w:lang w:val="en-GB"/>
        </w:rPr>
        <w:t>A</w:t>
      </w:r>
      <w:r w:rsidRPr="00846427">
        <w:rPr>
          <w:lang w:val="en-GB"/>
        </w:rPr>
        <w:t>.1-2 Simulation parameters for inter-cell mobility</w:t>
      </w:r>
      <w:r w:rsidRPr="00846427">
        <w:rPr>
          <w:noProof/>
          <w:lang w:val="en-GB"/>
        </w:rPr>
        <w:t xml:space="preserve"> </w:t>
      </w:r>
      <w:bookmarkEnd w:id="1"/>
      <w:r w:rsidRPr="00846427">
        <w:rPr>
          <w:noProof/>
          <w:lang w:val="en-GB"/>
        </w:rPr>
        <w:t>scenario</w:t>
      </w:r>
    </w:p>
    <w:tbl>
      <w:tblPr>
        <w:tblStyle w:val="TableGrid1"/>
        <w:tblW w:w="9805" w:type="dxa"/>
        <w:tblLook w:val="04A0" w:firstRow="1" w:lastRow="0" w:firstColumn="1" w:lastColumn="0" w:noHBand="0" w:noVBand="1"/>
      </w:tblPr>
      <w:tblGrid>
        <w:gridCol w:w="2605"/>
        <w:gridCol w:w="7200"/>
      </w:tblGrid>
      <w:tr w:rsidR="00880747" w:rsidRPr="00846427" w14:paraId="03566209" w14:textId="77777777" w:rsidTr="4DE5AF77">
        <w:tc>
          <w:tcPr>
            <w:tcW w:w="2605" w:type="dxa"/>
            <w:shd w:val="clear" w:color="auto" w:fill="C6D9F1" w:themeFill="text2" w:themeFillTint="33"/>
          </w:tcPr>
          <w:p w14:paraId="087D27E0" w14:textId="77777777" w:rsidR="00880747" w:rsidRPr="00846427" w:rsidRDefault="00880747" w:rsidP="003E1444">
            <w:pPr>
              <w:snapToGrid w:val="0"/>
              <w:spacing w:after="0"/>
              <w:rPr>
                <w:rFonts w:eastAsia="Malgun Gothic"/>
                <w:b/>
                <w:sz w:val="18"/>
                <w:lang w:eastAsia="ko-KR"/>
              </w:rPr>
            </w:pPr>
            <w:r w:rsidRPr="00846427">
              <w:rPr>
                <w:rFonts w:eastAsia="Malgun Gothic"/>
                <w:b/>
                <w:sz w:val="18"/>
                <w:lang w:eastAsia="ko-KR"/>
              </w:rPr>
              <w:t>Parameters</w:t>
            </w:r>
          </w:p>
        </w:tc>
        <w:tc>
          <w:tcPr>
            <w:tcW w:w="7200" w:type="dxa"/>
            <w:shd w:val="clear" w:color="auto" w:fill="C6D9F1" w:themeFill="text2" w:themeFillTint="33"/>
          </w:tcPr>
          <w:p w14:paraId="446F77DE" w14:textId="77777777" w:rsidR="00880747" w:rsidRPr="00846427" w:rsidRDefault="00880747" w:rsidP="003E1444">
            <w:pPr>
              <w:snapToGrid w:val="0"/>
              <w:spacing w:after="0"/>
              <w:rPr>
                <w:rFonts w:eastAsia="Malgun Gothic"/>
                <w:b/>
                <w:sz w:val="18"/>
                <w:lang w:eastAsia="ko-KR"/>
              </w:rPr>
            </w:pPr>
            <w:r w:rsidRPr="00846427">
              <w:rPr>
                <w:rFonts w:eastAsia="Malgun Gothic"/>
                <w:b/>
                <w:sz w:val="18"/>
                <w:lang w:eastAsia="ko-KR"/>
              </w:rPr>
              <w:t>Values</w:t>
            </w:r>
          </w:p>
        </w:tc>
      </w:tr>
      <w:tr w:rsidR="00880747" w:rsidRPr="00846427" w14:paraId="72C95A27" w14:textId="77777777" w:rsidTr="4DE5AF77">
        <w:trPr>
          <w:trHeight w:val="231"/>
        </w:trPr>
        <w:tc>
          <w:tcPr>
            <w:tcW w:w="2605" w:type="dxa"/>
          </w:tcPr>
          <w:p w14:paraId="23FB9357"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Frequency Range</w:t>
            </w:r>
          </w:p>
        </w:tc>
        <w:tc>
          <w:tcPr>
            <w:tcW w:w="7200" w:type="dxa"/>
          </w:tcPr>
          <w:p w14:paraId="0550408F" w14:textId="77777777" w:rsidR="00880747" w:rsidRPr="00846427" w:rsidRDefault="00880747" w:rsidP="003E1444">
            <w:pPr>
              <w:snapToGrid w:val="0"/>
              <w:spacing w:after="0"/>
              <w:rPr>
                <w:sz w:val="18"/>
              </w:rPr>
            </w:pPr>
            <w:r w:rsidRPr="00846427">
              <w:rPr>
                <w:rFonts w:eastAsia="Malgun Gothic"/>
                <w:sz w:val="18"/>
                <w:lang w:eastAsia="ko-KR"/>
              </w:rPr>
              <w:t xml:space="preserve">FR2 @ 30 GHz, </w:t>
            </w:r>
            <w:r w:rsidRPr="00846427">
              <w:rPr>
                <w:sz w:val="18"/>
              </w:rPr>
              <w:t>SCS: 120 kHz, BW: 80 MHz</w:t>
            </w:r>
          </w:p>
        </w:tc>
      </w:tr>
      <w:tr w:rsidR="00880747" w:rsidRPr="00846427" w14:paraId="646482C8" w14:textId="77777777" w:rsidTr="4DE5AF77">
        <w:tc>
          <w:tcPr>
            <w:tcW w:w="2605" w:type="dxa"/>
          </w:tcPr>
          <w:p w14:paraId="319490D1"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BS Antenna Configuration</w:t>
            </w:r>
          </w:p>
        </w:tc>
        <w:tc>
          <w:tcPr>
            <w:tcW w:w="7200" w:type="dxa"/>
          </w:tcPr>
          <w:p w14:paraId="2B846523"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(M, N, P, M</w:t>
            </w:r>
            <w:r w:rsidRPr="00846427">
              <w:rPr>
                <w:rFonts w:eastAsia="Malgun Gothic"/>
                <w:sz w:val="18"/>
                <w:vertAlign w:val="subscript"/>
                <w:lang w:eastAsia="ko-KR"/>
              </w:rPr>
              <w:t>g</w:t>
            </w:r>
            <w:r w:rsidRPr="00846427">
              <w:rPr>
                <w:rFonts w:eastAsia="Malgun Gothic"/>
                <w:sz w:val="18"/>
                <w:lang w:eastAsia="ko-KR"/>
              </w:rPr>
              <w:t>, N</w:t>
            </w:r>
            <w:r w:rsidRPr="00846427">
              <w:rPr>
                <w:rFonts w:eastAsia="Malgun Gothic"/>
                <w:sz w:val="18"/>
                <w:vertAlign w:val="subscript"/>
                <w:lang w:eastAsia="ko-KR"/>
              </w:rPr>
              <w:t>g</w:t>
            </w:r>
            <w:r w:rsidRPr="00846427">
              <w:rPr>
                <w:rFonts w:eastAsia="Malgun Gothic"/>
                <w:sz w:val="18"/>
                <w:lang w:eastAsia="ko-KR"/>
              </w:rPr>
              <w:t>) = (4, 8, 2, 2, 2). (d</w:t>
            </w:r>
            <w:r w:rsidRPr="00846427">
              <w:rPr>
                <w:rFonts w:eastAsia="Malgun Gothic"/>
                <w:sz w:val="18"/>
                <w:vertAlign w:val="subscript"/>
                <w:lang w:eastAsia="ko-KR"/>
              </w:rPr>
              <w:t>V</w:t>
            </w:r>
            <w:r w:rsidRPr="00846427">
              <w:rPr>
                <w:rFonts w:eastAsia="Malgun Gothic"/>
                <w:sz w:val="18"/>
                <w:lang w:eastAsia="ko-KR"/>
              </w:rPr>
              <w:t>, d</w:t>
            </w:r>
            <w:r w:rsidRPr="00846427">
              <w:rPr>
                <w:rFonts w:eastAsia="Malgun Gothic"/>
                <w:sz w:val="18"/>
                <w:vertAlign w:val="subscript"/>
                <w:lang w:eastAsia="ko-KR"/>
              </w:rPr>
              <w:t>H</w:t>
            </w:r>
            <w:r w:rsidRPr="00846427">
              <w:rPr>
                <w:rFonts w:eastAsia="Malgun Gothic"/>
                <w:sz w:val="18"/>
                <w:lang w:eastAsia="ko-KR"/>
              </w:rPr>
              <w:t>) = (0.5, 0.5) λ. (d</w:t>
            </w:r>
            <w:r w:rsidRPr="00846427">
              <w:rPr>
                <w:rFonts w:eastAsia="Malgun Gothic"/>
                <w:sz w:val="18"/>
                <w:vertAlign w:val="subscript"/>
                <w:lang w:eastAsia="ko-KR"/>
              </w:rPr>
              <w:t>g,V</w:t>
            </w:r>
            <w:r w:rsidRPr="00846427">
              <w:rPr>
                <w:rFonts w:eastAsia="Malgun Gothic"/>
                <w:sz w:val="18"/>
                <w:lang w:eastAsia="ko-KR"/>
              </w:rPr>
              <w:t>, d</w:t>
            </w:r>
            <w:r w:rsidRPr="00846427">
              <w:rPr>
                <w:rFonts w:eastAsia="Malgun Gothic"/>
                <w:sz w:val="18"/>
                <w:vertAlign w:val="subscript"/>
                <w:lang w:eastAsia="ko-KR"/>
              </w:rPr>
              <w:t>g,H</w:t>
            </w:r>
            <w:r w:rsidRPr="00846427">
              <w:rPr>
                <w:rFonts w:eastAsia="Malgun Gothic"/>
                <w:sz w:val="18"/>
                <w:lang w:eastAsia="ko-KR"/>
              </w:rPr>
              <w:t>) = (2.0, 4.0) λ</w:t>
            </w:r>
          </w:p>
          <w:p w14:paraId="1128C6EF"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Using equivalent full array (8, 16, 2, 1, 1) for beamforming with 14 beams. SSB + CSI-RS per beam.</w:t>
            </w:r>
          </w:p>
        </w:tc>
      </w:tr>
      <w:tr w:rsidR="00880747" w:rsidRPr="00846427" w14:paraId="1DA333F3" w14:textId="77777777" w:rsidTr="4DE5AF77">
        <w:tc>
          <w:tcPr>
            <w:tcW w:w="2605" w:type="dxa"/>
          </w:tcPr>
          <w:p w14:paraId="7EFA2930"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UE Antenna Configuration</w:t>
            </w:r>
          </w:p>
        </w:tc>
        <w:tc>
          <w:tcPr>
            <w:tcW w:w="7200" w:type="dxa"/>
          </w:tcPr>
          <w:p w14:paraId="5E0B2446"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Number/location of panels: 3 panels (left, right, and back).</w:t>
            </w:r>
          </w:p>
          <w:p w14:paraId="6C7B8BC9"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Panel structure: 1x1x2 or (M, N, P) = (1, 1, 2), d</w:t>
            </w:r>
            <w:r w:rsidRPr="00846427">
              <w:rPr>
                <w:rFonts w:eastAsia="Malgun Gothic"/>
                <w:sz w:val="18"/>
                <w:vertAlign w:val="subscript"/>
                <w:lang w:eastAsia="ko-KR"/>
              </w:rPr>
              <w:t>H</w:t>
            </w:r>
            <w:r w:rsidRPr="00846427">
              <w:rPr>
                <w:rFonts w:eastAsia="Malgun Gothic"/>
                <w:sz w:val="18"/>
                <w:lang w:eastAsia="ko-KR"/>
              </w:rPr>
              <w:t xml:space="preserve"> = 0.5 λ </w:t>
            </w:r>
          </w:p>
          <w:p w14:paraId="5AAE8F9C"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All panels are active (Assumption 3 in R1-1907860)</w:t>
            </w:r>
          </w:p>
          <w:p w14:paraId="75C83B98" w14:textId="77777777" w:rsidR="00880747" w:rsidRPr="00846427" w:rsidRDefault="00880747" w:rsidP="003E1444">
            <w:pPr>
              <w:snapToGrid w:val="0"/>
              <w:spacing w:after="0"/>
              <w:rPr>
                <w:rFonts w:eastAsia="Malgun Gothic"/>
                <w:sz w:val="18"/>
                <w:lang w:eastAsia="ko-KR"/>
              </w:rPr>
            </w:pPr>
          </w:p>
        </w:tc>
      </w:tr>
      <w:tr w:rsidR="00880747" w:rsidRPr="00846427" w14:paraId="479C28CD" w14:textId="77777777" w:rsidTr="4DE5AF77">
        <w:tc>
          <w:tcPr>
            <w:tcW w:w="2605" w:type="dxa"/>
          </w:tcPr>
          <w:p w14:paraId="190CC354"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Traffic Model</w:t>
            </w:r>
          </w:p>
        </w:tc>
        <w:tc>
          <w:tcPr>
            <w:tcW w:w="7200" w:type="dxa"/>
          </w:tcPr>
          <w:p w14:paraId="19AE1D06"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Full buffer. Best effort FullBuffer traffic model with average of ​5 packets per second and packet size of 500,000 bytes</w:t>
            </w:r>
          </w:p>
        </w:tc>
      </w:tr>
      <w:tr w:rsidR="00880747" w:rsidRPr="00846427" w14:paraId="3636D982" w14:textId="77777777" w:rsidTr="4DE5AF77">
        <w:tc>
          <w:tcPr>
            <w:tcW w:w="2605" w:type="dxa"/>
          </w:tcPr>
          <w:p w14:paraId="4CD60E19"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Link Adaptation</w:t>
            </w:r>
          </w:p>
        </w:tc>
        <w:tc>
          <w:tcPr>
            <w:tcW w:w="7200" w:type="dxa"/>
          </w:tcPr>
          <w:p w14:paraId="4AE7B5D0"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Outer loop adaptation + CQI based link adaptation (CSI-RS based measurements)</w:t>
            </w:r>
          </w:p>
        </w:tc>
      </w:tr>
      <w:tr w:rsidR="00880747" w:rsidRPr="00846427" w14:paraId="54287751" w14:textId="77777777" w:rsidTr="4DE5AF77">
        <w:tc>
          <w:tcPr>
            <w:tcW w:w="2605" w:type="dxa"/>
            <w:shd w:val="clear" w:color="auto" w:fill="auto"/>
            <w:vAlign w:val="center"/>
          </w:tcPr>
          <w:p w14:paraId="71432E1C" w14:textId="77777777" w:rsidR="00880747" w:rsidRPr="00846427" w:rsidRDefault="00880747" w:rsidP="003E1444">
            <w:pPr>
              <w:snapToGrid w:val="0"/>
              <w:spacing w:after="0"/>
              <w:rPr>
                <w:rFonts w:eastAsia="Malgun Gothic"/>
                <w:sz w:val="18"/>
                <w:lang w:eastAsia="ko-KR"/>
              </w:rPr>
            </w:pPr>
            <w:r w:rsidRPr="00846427">
              <w:rPr>
                <w:rFonts w:eastAsia="Malgun Gothic"/>
                <w:color w:val="000000"/>
                <w:kern w:val="24"/>
                <w:sz w:val="18"/>
                <w:lang w:eastAsia="ko-KR"/>
              </w:rPr>
              <w:t>Control and RS overhead</w:t>
            </w:r>
          </w:p>
        </w:tc>
        <w:tc>
          <w:tcPr>
            <w:tcW w:w="7200" w:type="dxa"/>
            <w:shd w:val="clear" w:color="auto" w:fill="auto"/>
            <w:vAlign w:val="center"/>
          </w:tcPr>
          <w:p w14:paraId="394CD8DD"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~21% (3/14 symbol overhead)</w:t>
            </w:r>
          </w:p>
        </w:tc>
      </w:tr>
      <w:tr w:rsidR="00880747" w:rsidRPr="00846427" w14:paraId="398E7FB1" w14:textId="77777777" w:rsidTr="4DE5AF77">
        <w:tc>
          <w:tcPr>
            <w:tcW w:w="2605" w:type="dxa"/>
            <w:shd w:val="clear" w:color="auto" w:fill="auto"/>
            <w:vAlign w:val="center"/>
          </w:tcPr>
          <w:p w14:paraId="2F7640E2" w14:textId="77777777" w:rsidR="00880747" w:rsidRPr="00846427" w:rsidRDefault="00880747" w:rsidP="003E1444">
            <w:pPr>
              <w:snapToGrid w:val="0"/>
              <w:spacing w:after="0"/>
              <w:rPr>
                <w:rFonts w:eastAsia="Malgun Gothic"/>
                <w:color w:val="000000"/>
                <w:kern w:val="24"/>
                <w:sz w:val="18"/>
                <w:lang w:eastAsia="ko-KR"/>
              </w:rPr>
            </w:pPr>
            <w:r w:rsidRPr="00846427">
              <w:rPr>
                <w:rFonts w:eastAsia="Malgun Gothic"/>
                <w:color w:val="000000"/>
                <w:kern w:val="24"/>
                <w:sz w:val="18"/>
                <w:lang w:eastAsia="ko-KR"/>
              </w:rPr>
              <w:t>Control channel decoding</w:t>
            </w:r>
          </w:p>
        </w:tc>
        <w:tc>
          <w:tcPr>
            <w:tcW w:w="7200" w:type="dxa"/>
            <w:shd w:val="clear" w:color="auto" w:fill="auto"/>
            <w:vAlign w:val="center"/>
          </w:tcPr>
          <w:p w14:paraId="66A3EB80" w14:textId="77777777" w:rsidR="00880747" w:rsidRPr="00846427" w:rsidRDefault="00880747" w:rsidP="003E1444">
            <w:pPr>
              <w:snapToGrid w:val="0"/>
              <w:spacing w:after="0"/>
              <w:rPr>
                <w:rFonts w:eastAsia="Malgun Gothic"/>
                <w:sz w:val="18"/>
                <w:lang w:eastAsia="ko-KR"/>
              </w:rPr>
            </w:pPr>
            <w:r w:rsidRPr="00846427">
              <w:rPr>
                <w:rFonts w:eastAsia="Malgun Gothic"/>
                <w:color w:val="000000"/>
                <w:kern w:val="24"/>
                <w:sz w:val="18"/>
                <w:lang w:eastAsia="ko-KR"/>
              </w:rPr>
              <w:t>Ideal</w:t>
            </w:r>
          </w:p>
        </w:tc>
      </w:tr>
      <w:tr w:rsidR="00880747" w:rsidRPr="00846427" w14:paraId="27480A33" w14:textId="77777777" w:rsidTr="4DE5AF77">
        <w:tc>
          <w:tcPr>
            <w:tcW w:w="2605" w:type="dxa"/>
            <w:shd w:val="clear" w:color="auto" w:fill="auto"/>
            <w:vAlign w:val="center"/>
          </w:tcPr>
          <w:p w14:paraId="2AC57C3F" w14:textId="77777777" w:rsidR="00880747" w:rsidRPr="00846427" w:rsidRDefault="00880747" w:rsidP="003E1444">
            <w:pPr>
              <w:snapToGrid w:val="0"/>
              <w:spacing w:after="0"/>
              <w:rPr>
                <w:rFonts w:eastAsia="Malgun Gothic"/>
                <w:sz w:val="18"/>
                <w:lang w:eastAsia="ko-KR"/>
              </w:rPr>
            </w:pPr>
            <w:r w:rsidRPr="00846427">
              <w:rPr>
                <w:rFonts w:eastAsia="Malgun Gothic"/>
                <w:color w:val="000000"/>
                <w:kern w:val="24"/>
                <w:sz w:val="18"/>
                <w:lang w:eastAsia="ko-KR"/>
              </w:rPr>
              <w:t>Transmission scheme</w:t>
            </w:r>
          </w:p>
        </w:tc>
        <w:tc>
          <w:tcPr>
            <w:tcW w:w="7200" w:type="dxa"/>
            <w:shd w:val="clear" w:color="auto" w:fill="auto"/>
            <w:vAlign w:val="center"/>
          </w:tcPr>
          <w:p w14:paraId="753C59A5"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 xml:space="preserve">2x2 MIMO </w:t>
            </w:r>
          </w:p>
        </w:tc>
      </w:tr>
      <w:tr w:rsidR="00880747" w:rsidRPr="00846427" w14:paraId="7362119D" w14:textId="77777777" w:rsidTr="4DE5AF77">
        <w:tc>
          <w:tcPr>
            <w:tcW w:w="2605" w:type="dxa"/>
          </w:tcPr>
          <w:p w14:paraId="11BC18BA"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Other simulation assumptions</w:t>
            </w:r>
          </w:p>
        </w:tc>
        <w:tc>
          <w:tcPr>
            <w:tcW w:w="7200" w:type="dxa"/>
          </w:tcPr>
          <w:p w14:paraId="780D5502"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Proportional fair in Time and frequency scheduling with TTI size of one subframe. 1 user is scheduled each TTI.</w:t>
            </w:r>
          </w:p>
          <w:p w14:paraId="32832BD5"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RLM Qout averaging window: 400 ms</w:t>
            </w:r>
          </w:p>
          <w:p w14:paraId="6D3558D4"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RLM Qin averaging window: 200 ms</w:t>
            </w:r>
          </w:p>
          <w:p w14:paraId="329D9DAD"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RLQ Out (for beam failure detection) averaging window: 200 ms</w:t>
            </w:r>
          </w:p>
          <w:p w14:paraId="63B6B59C"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Bandwidth efficiency: 90%</w:t>
            </w:r>
          </w:p>
        </w:tc>
      </w:tr>
      <w:tr w:rsidR="00880747" w:rsidRPr="00846427" w14:paraId="118DC361" w14:textId="77777777" w:rsidTr="4DE5AF77">
        <w:tc>
          <w:tcPr>
            <w:tcW w:w="2605" w:type="dxa"/>
          </w:tcPr>
          <w:p w14:paraId="144A9C1D"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Intra-cell beam management</w:t>
            </w:r>
          </w:p>
        </w:tc>
        <w:tc>
          <w:tcPr>
            <w:tcW w:w="7200" w:type="dxa"/>
          </w:tcPr>
          <w:p w14:paraId="0D53C38E" w14:textId="77777777" w:rsidR="00880747" w:rsidRPr="00846427" w:rsidRDefault="00880747" w:rsidP="003E1444">
            <w:pPr>
              <w:snapToGrid w:val="0"/>
              <w:spacing w:after="0"/>
              <w:rPr>
                <w:sz w:val="18"/>
              </w:rPr>
            </w:pPr>
            <w:r w:rsidRPr="00846427">
              <w:rPr>
                <w:sz w:val="18"/>
              </w:rPr>
              <w:t xml:space="preserve">Beam metric: L1-RSRP </w:t>
            </w:r>
          </w:p>
          <w:p w14:paraId="6181C8D8" w14:textId="77777777" w:rsidR="00880747" w:rsidRPr="00846427" w:rsidRDefault="00880747" w:rsidP="003E1444">
            <w:pPr>
              <w:snapToGrid w:val="0"/>
              <w:spacing w:after="0"/>
              <w:rPr>
                <w:sz w:val="18"/>
              </w:rPr>
            </w:pPr>
            <w:r w:rsidRPr="00846427">
              <w:rPr>
                <w:sz w:val="18"/>
              </w:rPr>
              <w:t>Ideal measurement reporting and evaluation every 20 ms.</w:t>
            </w:r>
          </w:p>
          <w:p w14:paraId="4B02F164" w14:textId="77777777" w:rsidR="00880747" w:rsidRPr="00846427" w:rsidRDefault="00880747" w:rsidP="003E1444">
            <w:pPr>
              <w:snapToGrid w:val="0"/>
              <w:spacing w:after="0"/>
              <w:rPr>
                <w:sz w:val="18"/>
              </w:rPr>
            </w:pPr>
            <w:r w:rsidRPr="00846427">
              <w:rPr>
                <w:sz w:val="18"/>
              </w:rPr>
              <w:t xml:space="preserve">L1-RSRP averaging 60ms (3 samples) </w:t>
            </w:r>
          </w:p>
          <w:p w14:paraId="4AF36AE2" w14:textId="77777777" w:rsidR="00880747" w:rsidRPr="00846427" w:rsidRDefault="00880747" w:rsidP="003E1444">
            <w:pPr>
              <w:snapToGrid w:val="0"/>
              <w:spacing w:after="0"/>
              <w:rPr>
                <w:sz w:val="18"/>
              </w:rPr>
            </w:pPr>
            <w:r w:rsidRPr="00846427">
              <w:rPr>
                <w:sz w:val="18"/>
              </w:rPr>
              <w:t>Beam switching decision: L1-RSRP(best serving cell beam)&gt; L1-RSRP(current serving cell beam) + Offset</w:t>
            </w:r>
          </w:p>
          <w:p w14:paraId="77584CF8" w14:textId="77777777" w:rsidR="00880747" w:rsidRPr="00846427" w:rsidRDefault="00880747" w:rsidP="003E1444">
            <w:pPr>
              <w:snapToGrid w:val="0"/>
              <w:spacing w:after="0"/>
              <w:rPr>
                <w:sz w:val="18"/>
              </w:rPr>
            </w:pPr>
            <w:r w:rsidRPr="00846427">
              <w:rPr>
                <w:sz w:val="18"/>
              </w:rPr>
              <w:t>Offset: 1 dB</w:t>
            </w:r>
          </w:p>
        </w:tc>
      </w:tr>
      <w:tr w:rsidR="00880747" w:rsidRPr="00846427" w14:paraId="686148CF" w14:textId="77777777" w:rsidTr="4DE5AF77">
        <w:tc>
          <w:tcPr>
            <w:tcW w:w="2605" w:type="dxa"/>
          </w:tcPr>
          <w:p w14:paraId="068D0854"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Inter-cell handover procedure</w:t>
            </w:r>
          </w:p>
        </w:tc>
        <w:tc>
          <w:tcPr>
            <w:tcW w:w="7200" w:type="dxa"/>
          </w:tcPr>
          <w:p w14:paraId="6B8538CF" w14:textId="77777777" w:rsidR="00880747" w:rsidRPr="00846427" w:rsidRDefault="00880747" w:rsidP="003E1444">
            <w:pPr>
              <w:snapToGrid w:val="0"/>
              <w:spacing w:after="0"/>
              <w:rPr>
                <w:sz w:val="18"/>
                <w:u w:val="single"/>
              </w:rPr>
            </w:pPr>
            <w:r w:rsidRPr="00846427">
              <w:rPr>
                <w:sz w:val="18"/>
                <w:u w:val="single"/>
              </w:rPr>
              <w:t xml:space="preserve">L3 (RRC) Mobility </w:t>
            </w:r>
          </w:p>
          <w:p w14:paraId="70E1432D" w14:textId="77777777" w:rsidR="00880747" w:rsidRPr="00846427" w:rsidRDefault="00880747" w:rsidP="003E1444">
            <w:pPr>
              <w:snapToGrid w:val="0"/>
              <w:spacing w:after="0"/>
              <w:rPr>
                <w:sz w:val="18"/>
              </w:rPr>
            </w:pPr>
            <w:r w:rsidRPr="00846427">
              <w:rPr>
                <w:sz w:val="18"/>
              </w:rPr>
              <w:lastRenderedPageBreak/>
              <w:t>The figure below illustrates L3 mobility procedure in the simulation. When A3 event condition is satisfied during TTT, UE sends L3 measurement report and the serving cell prepares HO command and sends it to the UE. Once UE receives the HO command, it detaches from the serving cell (interruption time starts) and if RACH is successful (i.e. HO complete is received from the target cell), UE switches to a new serving cell and starts receiving data (interruption time ends).</w:t>
            </w:r>
          </w:p>
          <w:p w14:paraId="0CDAF76F" w14:textId="77777777" w:rsidR="00880747" w:rsidRPr="00846427" w:rsidRDefault="00880747" w:rsidP="003E1444">
            <w:pPr>
              <w:snapToGrid w:val="0"/>
              <w:spacing w:after="0"/>
              <w:rPr>
                <w:sz w:val="18"/>
              </w:rPr>
            </w:pPr>
            <w:r w:rsidRPr="00846427">
              <w:rPr>
                <w:sz w:val="18"/>
              </w:rPr>
              <w:t>Handover interruption time (no data transfer): 80 ms</w:t>
            </w:r>
          </w:p>
          <w:p w14:paraId="475307F5" w14:textId="77777777" w:rsidR="00880747" w:rsidRPr="00846427" w:rsidRDefault="00880747" w:rsidP="003E1444">
            <w:pPr>
              <w:snapToGrid w:val="0"/>
              <w:spacing w:after="0"/>
              <w:rPr>
                <w:sz w:val="18"/>
              </w:rPr>
            </w:pPr>
            <w:r w:rsidRPr="00846427">
              <w:rPr>
                <w:sz w:val="18"/>
              </w:rPr>
              <w:t>Handover metric: L3 cell quality measurement (IIR filtered L1-RSRP)</w:t>
            </w:r>
          </w:p>
          <w:p w14:paraId="57652967" w14:textId="77777777" w:rsidR="00880747" w:rsidRPr="00846427" w:rsidRDefault="00880747" w:rsidP="003E1444">
            <w:pPr>
              <w:snapToGrid w:val="0"/>
              <w:spacing w:after="0"/>
              <w:rPr>
                <w:sz w:val="18"/>
              </w:rPr>
            </w:pPr>
            <w:r w:rsidRPr="00846427">
              <w:rPr>
                <w:sz w:val="18"/>
              </w:rPr>
              <w:t>A3 event offset i.e. HO margin: 3 dB</w:t>
            </w:r>
          </w:p>
          <w:p w14:paraId="5EF247BB" w14:textId="77777777" w:rsidR="00880747" w:rsidRPr="00846427" w:rsidRDefault="00880747" w:rsidP="003E1444">
            <w:pPr>
              <w:snapToGrid w:val="0"/>
              <w:spacing w:after="0"/>
              <w:rPr>
                <w:sz w:val="18"/>
              </w:rPr>
            </w:pPr>
            <w:r w:rsidRPr="00846427">
              <w:rPr>
                <w:sz w:val="18"/>
              </w:rPr>
              <w:t>Time-to-trigger (TTT): 160 ms</w:t>
            </w:r>
          </w:p>
          <w:p w14:paraId="0FB6BFAE" w14:textId="77777777" w:rsidR="00880747" w:rsidRPr="00846427" w:rsidRDefault="00880747" w:rsidP="003E1444">
            <w:pPr>
              <w:snapToGrid w:val="0"/>
              <w:spacing w:after="0"/>
              <w:rPr>
                <w:sz w:val="18"/>
              </w:rPr>
            </w:pPr>
            <w:r w:rsidRPr="00846427">
              <w:rPr>
                <w:sz w:val="18"/>
              </w:rPr>
              <w:t>Handover (HO) preparation delay: {40ms, 820ms}</w:t>
            </w:r>
          </w:p>
          <w:p w14:paraId="70E43B84" w14:textId="77777777" w:rsidR="00880747" w:rsidRPr="00846427" w:rsidRDefault="00880747" w:rsidP="003E1444">
            <w:pPr>
              <w:snapToGrid w:val="0"/>
              <w:spacing w:after="0"/>
              <w:rPr>
                <w:sz w:val="18"/>
              </w:rPr>
            </w:pPr>
            <w:r w:rsidRPr="00846427">
              <w:rPr>
                <w:sz w:val="18"/>
              </w:rPr>
              <w:t>Handover deactivation delay: Filter time constant i.e. the duration of the impact of the previous measurement is halved (assumed to be 20 ms) + TTT + HO preparation delay = 220 ms</w:t>
            </w:r>
          </w:p>
          <w:p w14:paraId="7ECC37D4" w14:textId="77777777" w:rsidR="00880747" w:rsidRPr="00846427" w:rsidRDefault="00880747" w:rsidP="003E1444">
            <w:pPr>
              <w:snapToGrid w:val="0"/>
              <w:spacing w:after="0"/>
              <w:rPr>
                <w:sz w:val="18"/>
              </w:rPr>
            </w:pPr>
          </w:p>
          <w:p w14:paraId="7B86AA09" w14:textId="20C74D01" w:rsidR="00880747" w:rsidRPr="00846427" w:rsidRDefault="00880747" w:rsidP="003E1444">
            <w:pPr>
              <w:snapToGrid w:val="0"/>
              <w:spacing w:after="0"/>
              <w:rPr>
                <w:sz w:val="18"/>
              </w:rPr>
            </w:pPr>
            <w:r>
              <w:rPr>
                <w:noProof/>
              </w:rPr>
              <w:drawing>
                <wp:inline distT="0" distB="0" distL="0" distR="0" wp14:anchorId="0EE22175" wp14:editId="064B0FE6">
                  <wp:extent cx="3082480" cy="1197084"/>
                  <wp:effectExtent l="0" t="0" r="381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3">
                            <a:extLst>
                              <a:ext uri="{28A0092B-C50C-407E-A947-70E740481C1C}">
                                <a14:useLocalDpi xmlns:a14="http://schemas.microsoft.com/office/drawing/2010/main" val="0"/>
                              </a:ext>
                            </a:extLst>
                          </a:blip>
                          <a:stretch>
                            <a:fillRect/>
                          </a:stretch>
                        </pic:blipFill>
                        <pic:spPr>
                          <a:xfrm>
                            <a:off x="0" y="0"/>
                            <a:ext cx="3082480" cy="1197084"/>
                          </a:xfrm>
                          <a:prstGeom prst="rect">
                            <a:avLst/>
                          </a:prstGeom>
                        </pic:spPr>
                      </pic:pic>
                    </a:graphicData>
                  </a:graphic>
                </wp:inline>
              </w:drawing>
            </w:r>
          </w:p>
          <w:p w14:paraId="78361C5E" w14:textId="77777777" w:rsidR="00880747" w:rsidRPr="00846427" w:rsidRDefault="00880747" w:rsidP="003E1444">
            <w:pPr>
              <w:snapToGrid w:val="0"/>
              <w:spacing w:after="0"/>
              <w:rPr>
                <w:sz w:val="18"/>
              </w:rPr>
            </w:pPr>
          </w:p>
          <w:p w14:paraId="4EEB4127" w14:textId="77777777" w:rsidR="00880747" w:rsidRPr="00846427" w:rsidRDefault="00880747" w:rsidP="003E1444">
            <w:pPr>
              <w:snapToGrid w:val="0"/>
              <w:spacing w:after="0"/>
              <w:rPr>
                <w:sz w:val="18"/>
                <w:u w:val="single"/>
              </w:rPr>
            </w:pPr>
            <w:r w:rsidRPr="00846427">
              <w:rPr>
                <w:sz w:val="18"/>
                <w:u w:val="single"/>
              </w:rPr>
              <w:t>L1/2 centric Intercell Mobility</w:t>
            </w:r>
          </w:p>
          <w:p w14:paraId="322F4A83" w14:textId="77777777" w:rsidR="00880747" w:rsidRPr="00846427" w:rsidRDefault="00880747" w:rsidP="003E1444">
            <w:pPr>
              <w:snapToGrid w:val="0"/>
              <w:spacing w:after="0"/>
              <w:rPr>
                <w:sz w:val="18"/>
              </w:rPr>
            </w:pPr>
            <w:r w:rsidRPr="00846427">
              <w:rPr>
                <w:sz w:val="18"/>
              </w:rPr>
              <w:t>Intra-cell beam management procedure is extended to include the beams of non-serving cells. Ideal and periodical reporting with 20 ms periodicity.</w:t>
            </w:r>
          </w:p>
          <w:p w14:paraId="5B4A5928" w14:textId="77777777" w:rsidR="00880747" w:rsidRPr="00846427" w:rsidRDefault="00880747" w:rsidP="003E1444">
            <w:pPr>
              <w:snapToGrid w:val="0"/>
              <w:spacing w:after="0"/>
              <w:rPr>
                <w:sz w:val="18"/>
              </w:rPr>
            </w:pPr>
            <w:r w:rsidRPr="00846427">
              <w:rPr>
                <w:sz w:val="18"/>
              </w:rPr>
              <w:t>Serving cell beam reporting i.e. N : 4</w:t>
            </w:r>
          </w:p>
          <w:p w14:paraId="4E4B3E01" w14:textId="77777777" w:rsidR="00880747" w:rsidRPr="00846427" w:rsidRDefault="00880747" w:rsidP="003E1444">
            <w:pPr>
              <w:snapToGrid w:val="0"/>
              <w:spacing w:after="0"/>
              <w:rPr>
                <w:sz w:val="18"/>
              </w:rPr>
            </w:pPr>
            <w:r w:rsidRPr="00846427">
              <w:rPr>
                <w:sz w:val="18"/>
              </w:rPr>
              <w:t>Non-serving cell beam reporting i.e. K: 16</w:t>
            </w:r>
          </w:p>
          <w:p w14:paraId="37968A79" w14:textId="77777777" w:rsidR="00880747" w:rsidRPr="00846427" w:rsidRDefault="00880747" w:rsidP="003E1444">
            <w:pPr>
              <w:snapToGrid w:val="0"/>
              <w:spacing w:after="0"/>
              <w:rPr>
                <w:sz w:val="18"/>
              </w:rPr>
            </w:pPr>
            <w:r w:rsidRPr="00846427">
              <w:rPr>
                <w:sz w:val="18"/>
              </w:rPr>
              <w:t>The strongest N and K beams of the serving and non-serving cell are reported periodically.</w:t>
            </w:r>
          </w:p>
          <w:p w14:paraId="254B2331" w14:textId="77777777" w:rsidR="00880747" w:rsidRPr="00846427" w:rsidRDefault="00880747" w:rsidP="003E1444">
            <w:pPr>
              <w:snapToGrid w:val="0"/>
              <w:spacing w:after="0"/>
              <w:rPr>
                <w:sz w:val="18"/>
              </w:rPr>
            </w:pPr>
            <w:r w:rsidRPr="00846427">
              <w:rPr>
                <w:sz w:val="18"/>
              </w:rPr>
              <w:t>Handover decision is based on (filtered) L1-RSRP beam measurements i.e. L1-RSRP (best non-serving cell beam) &gt; L1-RSRP (best serving cell beam) + Offset</w:t>
            </w:r>
          </w:p>
          <w:p w14:paraId="4E91E378" w14:textId="77777777" w:rsidR="00880747" w:rsidRPr="00846427" w:rsidRDefault="00880747" w:rsidP="003E1444">
            <w:pPr>
              <w:snapToGrid w:val="0"/>
              <w:spacing w:after="0"/>
              <w:rPr>
                <w:sz w:val="18"/>
              </w:rPr>
            </w:pPr>
            <w:r w:rsidRPr="00846427">
              <w:rPr>
                <w:sz w:val="18"/>
              </w:rPr>
              <w:t xml:space="preserve">Offset i.e. HO margin: 3 dB </w:t>
            </w:r>
          </w:p>
          <w:p w14:paraId="4DD0562C" w14:textId="77777777" w:rsidR="00880747" w:rsidRPr="00846427" w:rsidRDefault="00880747" w:rsidP="003E1444">
            <w:pPr>
              <w:snapToGrid w:val="0"/>
              <w:spacing w:after="0"/>
              <w:rPr>
                <w:sz w:val="18"/>
              </w:rPr>
            </w:pPr>
            <w:r w:rsidRPr="00846427">
              <w:rPr>
                <w:sz w:val="18"/>
              </w:rPr>
              <w:t>Handover deactivation delay: 1 ms</w:t>
            </w:r>
          </w:p>
          <w:p w14:paraId="4C86BF2F" w14:textId="77777777" w:rsidR="00880747" w:rsidRPr="00846427" w:rsidRDefault="00880747" w:rsidP="003E1444">
            <w:pPr>
              <w:snapToGrid w:val="0"/>
              <w:spacing w:after="0"/>
              <w:rPr>
                <w:sz w:val="18"/>
              </w:rPr>
            </w:pPr>
            <w:r w:rsidRPr="00846427">
              <w:rPr>
                <w:sz w:val="18"/>
              </w:rPr>
              <w:t>Handover interruption time (no data transfer): {1 ms, 80 ms} NOTE: The results with different interruption time i.e. L1/L2(RACH) are also available to understand the impact of the RACH procedure better</w:t>
            </w:r>
          </w:p>
        </w:tc>
      </w:tr>
      <w:tr w:rsidR="00880747" w:rsidRPr="00846427" w14:paraId="45B435AE" w14:textId="77777777" w:rsidTr="4DE5AF77">
        <w:tc>
          <w:tcPr>
            <w:tcW w:w="2605" w:type="dxa"/>
          </w:tcPr>
          <w:p w14:paraId="77332C20"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lastRenderedPageBreak/>
              <w:t>Other potential impairments</w:t>
            </w:r>
          </w:p>
        </w:tc>
        <w:tc>
          <w:tcPr>
            <w:tcW w:w="7200" w:type="dxa"/>
          </w:tcPr>
          <w:p w14:paraId="0130BC4B"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Not modelled (assumed ideal)</w:t>
            </w:r>
          </w:p>
        </w:tc>
      </w:tr>
      <w:tr w:rsidR="00880747" w:rsidRPr="00846427" w14:paraId="06504C5F" w14:textId="77777777" w:rsidTr="4DE5AF77">
        <w:tc>
          <w:tcPr>
            <w:tcW w:w="2605" w:type="dxa"/>
          </w:tcPr>
          <w:p w14:paraId="2D7C230A"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Scenario</w:t>
            </w:r>
          </w:p>
        </w:tc>
        <w:tc>
          <w:tcPr>
            <w:tcW w:w="7200" w:type="dxa"/>
          </w:tcPr>
          <w:p w14:paraId="0E58F8DF" w14:textId="77777777" w:rsidR="00880747" w:rsidRPr="00846427" w:rsidRDefault="00880747" w:rsidP="003E1444">
            <w:pPr>
              <w:snapToGrid w:val="0"/>
              <w:spacing w:after="0"/>
              <w:rPr>
                <w:rFonts w:eastAsia="Malgun Gothic"/>
                <w:sz w:val="18"/>
                <w:lang w:eastAsia="ko-KR"/>
              </w:rPr>
            </w:pPr>
            <w:r w:rsidRPr="00846427">
              <w:rPr>
                <w:sz w:val="18"/>
                <w:szCs w:val="18"/>
              </w:rPr>
              <w:t>Dense Urban (as described in EVM [ref]), 200m ISD with wrap-around (7 sites, 3 sectors/cells per site), 100% outdoor, 10 UEs per drop (multiple UEs dropped along the trajectory)</w:t>
            </w:r>
          </w:p>
        </w:tc>
      </w:tr>
      <w:tr w:rsidR="00880747" w:rsidRPr="00846427" w14:paraId="28626F40" w14:textId="77777777" w:rsidTr="4DE5AF77">
        <w:tc>
          <w:tcPr>
            <w:tcW w:w="2605" w:type="dxa"/>
          </w:tcPr>
          <w:p w14:paraId="518E8551"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Channel model</w:t>
            </w:r>
          </w:p>
        </w:tc>
        <w:tc>
          <w:tcPr>
            <w:tcW w:w="7200" w:type="dxa"/>
          </w:tcPr>
          <w:p w14:paraId="639D6617" w14:textId="77777777" w:rsidR="00880747" w:rsidRPr="00846427" w:rsidRDefault="00880747" w:rsidP="003E1444">
            <w:pPr>
              <w:snapToGrid w:val="0"/>
              <w:spacing w:after="0"/>
              <w:rPr>
                <w:sz w:val="18"/>
                <w:szCs w:val="18"/>
              </w:rPr>
            </w:pPr>
            <w:r w:rsidRPr="00846427">
              <w:rPr>
                <w:sz w:val="18"/>
                <w:szCs w:val="18"/>
              </w:rPr>
              <w:t>UMa 5G (TR 38.901)</w:t>
            </w:r>
          </w:p>
        </w:tc>
      </w:tr>
      <w:tr w:rsidR="00880747" w:rsidRPr="00846427" w14:paraId="42BDCC6C" w14:textId="77777777" w:rsidTr="4DE5AF77">
        <w:tc>
          <w:tcPr>
            <w:tcW w:w="2605" w:type="dxa"/>
          </w:tcPr>
          <w:p w14:paraId="6352BD7E"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UE mobility and trajectory</w:t>
            </w:r>
          </w:p>
        </w:tc>
        <w:tc>
          <w:tcPr>
            <w:tcW w:w="7200" w:type="dxa"/>
          </w:tcPr>
          <w:p w14:paraId="783C8368"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Linear trajectory across multiple cell edges, inter-cell mobility</w:t>
            </w:r>
          </w:p>
          <w:p w14:paraId="448A178E" w14:textId="18E1E400" w:rsidR="00880747" w:rsidRPr="00846427" w:rsidRDefault="00880747" w:rsidP="003E1444">
            <w:pPr>
              <w:snapToGrid w:val="0"/>
              <w:spacing w:after="0"/>
            </w:pPr>
            <w:r>
              <w:rPr>
                <w:noProof/>
              </w:rPr>
              <w:drawing>
                <wp:inline distT="0" distB="0" distL="0" distR="0" wp14:anchorId="0DA2179A" wp14:editId="7C33E332">
                  <wp:extent cx="2588099" cy="2639761"/>
                  <wp:effectExtent l="0" t="0" r="3175" b="8255"/>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4">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id="{CF03E0BC-48C5-469A-8A60-B433FBE08955}"/>
                              </a:ext>
                            </a:extLst>
                          </a:blip>
                          <a:stretch>
                            <a:fillRect/>
                          </a:stretch>
                        </pic:blipFill>
                        <pic:spPr>
                          <a:xfrm>
                            <a:off x="0" y="0"/>
                            <a:ext cx="2588099" cy="2639761"/>
                          </a:xfrm>
                          <a:prstGeom prst="rect">
                            <a:avLst/>
                          </a:prstGeom>
                        </pic:spPr>
                      </pic:pic>
                    </a:graphicData>
                  </a:graphic>
                </wp:inline>
              </w:drawing>
            </w:r>
          </w:p>
          <w:p w14:paraId="00B67649"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lastRenderedPageBreak/>
              <w:t xml:space="preserve">Distance d from is the perpendicular distance from the line PQ to the center of site C7. Its value can be d=U[26,34] as shown in the figure above. </w:t>
            </w:r>
            <w:r w:rsidRPr="00846427">
              <w:rPr>
                <w:sz w:val="18"/>
                <w:szCs w:val="18"/>
              </w:rPr>
              <w:t xml:space="preserve">A UE is dropped in one of the green lines above with random direction of movement towards P or Q. </w:t>
            </w:r>
          </w:p>
          <w:p w14:paraId="72E47DDF" w14:textId="77777777" w:rsidR="00880747" w:rsidRPr="00846427" w:rsidRDefault="00880747" w:rsidP="003E1444">
            <w:pPr>
              <w:snapToGrid w:val="0"/>
              <w:spacing w:after="0"/>
              <w:rPr>
                <w:rFonts w:eastAsia="Malgun Gothic"/>
                <w:sz w:val="18"/>
                <w:lang w:eastAsia="ko-KR"/>
              </w:rPr>
            </w:pPr>
            <w:r w:rsidRPr="00846427">
              <w:rPr>
                <w:sz w:val="18"/>
                <w:szCs w:val="18"/>
              </w:rPr>
              <w:t xml:space="preserve">UE velocity </w:t>
            </w:r>
            <w:r w:rsidRPr="00846427">
              <w:rPr>
                <w:rFonts w:eastAsia="Malgun Gothic"/>
                <w:sz w:val="18"/>
                <w:lang w:eastAsia="ko-KR"/>
              </w:rPr>
              <w:t>120 km/h are simulated.</w:t>
            </w:r>
          </w:p>
        </w:tc>
      </w:tr>
      <w:tr w:rsidR="00880747" w:rsidRPr="00846427" w14:paraId="5CA3E0A3" w14:textId="77777777" w:rsidTr="4DE5AF77">
        <w:tc>
          <w:tcPr>
            <w:tcW w:w="2605" w:type="dxa"/>
          </w:tcPr>
          <w:p w14:paraId="06582CB8"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lastRenderedPageBreak/>
              <w:t>UE panel orientation</w:t>
            </w:r>
          </w:p>
        </w:tc>
        <w:tc>
          <w:tcPr>
            <w:tcW w:w="7200" w:type="dxa"/>
          </w:tcPr>
          <w:p w14:paraId="7FB84E61"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UE orientation is the same as UE movement direction.</w:t>
            </w:r>
          </w:p>
        </w:tc>
      </w:tr>
      <w:tr w:rsidR="00880747" w:rsidRPr="00846427" w14:paraId="451F4DF1" w14:textId="77777777" w:rsidTr="4DE5AF77">
        <w:tc>
          <w:tcPr>
            <w:tcW w:w="2605" w:type="dxa"/>
          </w:tcPr>
          <w:p w14:paraId="15EDC1BB"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Simulated time extent</w:t>
            </w:r>
          </w:p>
        </w:tc>
        <w:tc>
          <w:tcPr>
            <w:tcW w:w="7200" w:type="dxa"/>
          </w:tcPr>
          <w:p w14:paraId="5D2DE7B7" w14:textId="77777777" w:rsidR="00880747" w:rsidRPr="00846427" w:rsidRDefault="00880747" w:rsidP="003E1444">
            <w:pPr>
              <w:snapToGrid w:val="0"/>
              <w:spacing w:after="0"/>
              <w:rPr>
                <w:rFonts w:eastAsia="Malgun Gothic"/>
                <w:sz w:val="18"/>
                <w:lang w:eastAsia="ko-KR"/>
              </w:rPr>
            </w:pPr>
            <w:r w:rsidRPr="00846427">
              <w:rPr>
                <w:rFonts w:eastAsia="Malgun Gothic"/>
                <w:sz w:val="18"/>
                <w:lang w:eastAsia="ko-KR"/>
              </w:rPr>
              <w:t xml:space="preserve">1120000 steps (112000 steps per sec) with 1 sec warm-up period </w:t>
            </w:r>
          </w:p>
        </w:tc>
      </w:tr>
    </w:tbl>
    <w:p w14:paraId="5CFDF70F" w14:textId="77777777" w:rsidR="00880747" w:rsidRPr="00846427" w:rsidRDefault="00880747" w:rsidP="00880747"/>
    <w:p w14:paraId="15FBD27E" w14:textId="1951B8B1" w:rsidR="00880747" w:rsidRPr="00846427" w:rsidRDefault="00880747" w:rsidP="00880747">
      <w:pPr>
        <w:pStyle w:val="Heading2"/>
      </w:pPr>
      <w:r>
        <w:t>A</w:t>
      </w:r>
      <w:r w:rsidRPr="00846427">
        <w:t>.3</w:t>
      </w:r>
      <w:r w:rsidRPr="00846427">
        <w:tab/>
        <w:t>Performance comparison of different handover procedures</w:t>
      </w:r>
    </w:p>
    <w:p w14:paraId="78C6EFA8" w14:textId="77777777" w:rsidR="00880747" w:rsidRPr="00846427" w:rsidRDefault="00880747" w:rsidP="00880747">
      <w:r w:rsidRPr="00846427">
        <w:t>The different handover procedures as described in the Table B.1-1 are compared for UEs with 120 km/h and the resulting CDF of effective user throughput is shown in Figure 1, whereas the mean and the cell-edge (5% percentile) user throughputs are shown in Figure 2.</w:t>
      </w:r>
    </w:p>
    <w:p w14:paraId="02E4EF9B" w14:textId="77777777" w:rsidR="00880747" w:rsidRPr="00846427" w:rsidRDefault="00880747" w:rsidP="00880747">
      <w:r w:rsidRPr="00846427">
        <w:t>We observe a noticeable difference between the throughput CDF of the L3 with long HO deactivation delay i.e. 1 second and L1/L2 (RACH-less) handover procedures. For L3 with long delay, UEs are forced to operate in weak signal quality for 33.3 meters during 1 second HO deactivation delay whereas for L1/L2 mobility the HO deactivation delay is much shorter enabling the UEs to switch earlier to the cell that has higher signal quality than the current serving cell. However, the throughput CDFs of L1/L2 mobility procedures are very similar to that of L3 mobility with shorter (more realistic and reasonable) HO deactivation delay as shown in Figure 2 (on the left part). If we focus on the cell edge UE throughput values in Figure 2 - right part (which are the 5</w:t>
      </w:r>
      <w:r w:rsidRPr="00846427">
        <w:rPr>
          <w:vertAlign w:val="superscript"/>
        </w:rPr>
        <w:t>th</w:t>
      </w:r>
      <w:r w:rsidRPr="00846427">
        <w:t xml:space="preserve"> percentile values of the CDFs in Figure 1), L3 mobility with shorter HO deactivation delay results in even better performance than the L1/L2 mobility mechanisms.</w:t>
      </w:r>
    </w:p>
    <w:p w14:paraId="23C8AC42" w14:textId="77777777" w:rsidR="00880747" w:rsidRPr="00846427" w:rsidRDefault="00880747" w:rsidP="00880747">
      <w:r w:rsidRPr="00846427">
        <w:t>Note that effective user throughput is measured as the net throughput over the air interface including effect of HARQ retransmissions, i.e., erroneous packets do not contribute to the bits received.</w:t>
      </w:r>
    </w:p>
    <w:p w14:paraId="64851421" w14:textId="77777777" w:rsidR="00880747" w:rsidRPr="00846427" w:rsidRDefault="00880747" w:rsidP="00880747">
      <w:r w:rsidRPr="00846427">
        <w:rPr>
          <w:b/>
        </w:rPr>
        <w:t>Observation 1</w:t>
      </w:r>
      <w:r w:rsidRPr="00846427">
        <w:rPr>
          <w:bCs/>
        </w:rPr>
        <w:t>:</w:t>
      </w:r>
      <w:r w:rsidRPr="00846427">
        <w:t xml:space="preserve"> The throughput of L1/L2 centric mobility is similar to that of L3 mobility with realistic HO deactivation delay.</w:t>
      </w:r>
    </w:p>
    <w:p w14:paraId="606210A6" w14:textId="77777777" w:rsidR="00880747" w:rsidRPr="00846427" w:rsidRDefault="00880747" w:rsidP="00880747">
      <w:r w:rsidRPr="00846427">
        <w:rPr>
          <w:b/>
        </w:rPr>
        <w:t>Observation 2</w:t>
      </w:r>
      <w:r w:rsidRPr="00846427">
        <w:rPr>
          <w:bCs/>
        </w:rPr>
        <w:t>:</w:t>
      </w:r>
      <w:r w:rsidRPr="00846427">
        <w:t xml:space="preserve"> The handover de-activation delay of 1000 ms for L3 mobility is over-estimated and a reasonable estimate can be 220ms/250 ms: 20ms/50 ms (e.g. IIR L3 filtering delay) + 160 ms TTT + 40 ms  handover preparation.</w:t>
      </w:r>
    </w:p>
    <w:p w14:paraId="2D25A844" w14:textId="77777777" w:rsidR="00880747" w:rsidRPr="00846427" w:rsidRDefault="00880747" w:rsidP="00880747">
      <w:r w:rsidRPr="00846427">
        <w:t>Note that for L3 mobility, the network has always the option to set TTT duration to 0 and to de-configure L3 filtering which can reduce the handover de-activation delay to only 40 ms which is needed for handover preparation. However, TTT and L3 filtering are features which are introduced by RAN2 to minimize the number of unnecessary handover and ping-pong handovers as shown later in Figure 3.</w:t>
      </w:r>
    </w:p>
    <w:p w14:paraId="18B50B21" w14:textId="2CF4962A" w:rsidR="00880747" w:rsidRPr="00846427" w:rsidRDefault="00880747" w:rsidP="00880747">
      <w:pPr>
        <w:jc w:val="center"/>
      </w:pPr>
      <w:r>
        <w:rPr>
          <w:noProof/>
        </w:rPr>
        <w:drawing>
          <wp:inline distT="0" distB="0" distL="0" distR="0" wp14:anchorId="6534A42F" wp14:editId="115F7BDE">
            <wp:extent cx="5141342" cy="2907419"/>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5">
                      <a:extLst>
                        <a:ext uri="{28A0092B-C50C-407E-A947-70E740481C1C}">
                          <a14:useLocalDpi xmlns:a14="http://schemas.microsoft.com/office/drawing/2010/main" val="0"/>
                        </a:ext>
                      </a:extLst>
                    </a:blip>
                    <a:stretch>
                      <a:fillRect/>
                    </a:stretch>
                  </pic:blipFill>
                  <pic:spPr>
                    <a:xfrm>
                      <a:off x="0" y="0"/>
                      <a:ext cx="5141342" cy="2907419"/>
                    </a:xfrm>
                    <a:prstGeom prst="rect">
                      <a:avLst/>
                    </a:prstGeom>
                  </pic:spPr>
                </pic:pic>
              </a:graphicData>
            </a:graphic>
          </wp:inline>
        </w:drawing>
      </w:r>
    </w:p>
    <w:p w14:paraId="74789CF8" w14:textId="77777777" w:rsidR="00880747" w:rsidRPr="00846427" w:rsidRDefault="00880747" w:rsidP="00880747"/>
    <w:p w14:paraId="522AC7D6" w14:textId="77777777" w:rsidR="00880747" w:rsidRPr="00846427" w:rsidRDefault="00880747" w:rsidP="00880747">
      <w:pPr>
        <w:pStyle w:val="Caption"/>
        <w:jc w:val="center"/>
        <w:rPr>
          <w:rFonts w:ascii="Times New Roman" w:hAnsi="Times New Roman" w:cs="Times New Roman"/>
          <w:lang w:val="en-GB"/>
        </w:rPr>
      </w:pPr>
      <w:bookmarkStart w:id="2" w:name="_Ref61867330"/>
      <w:r w:rsidRPr="00846427">
        <w:rPr>
          <w:rFonts w:ascii="Times New Roman" w:hAnsi="Times New Roman" w:cs="Times New Roman"/>
          <w:lang w:val="en-GB"/>
        </w:rPr>
        <w:lastRenderedPageBreak/>
        <w:t xml:space="preserve">Figure </w:t>
      </w:r>
      <w:r w:rsidRPr="00846427">
        <w:rPr>
          <w:rFonts w:ascii="Times New Roman" w:hAnsi="Times New Roman" w:cs="Times New Roman"/>
          <w:lang w:val="en-GB"/>
        </w:rPr>
        <w:fldChar w:fldCharType="begin"/>
      </w:r>
      <w:r w:rsidRPr="00846427">
        <w:rPr>
          <w:rFonts w:ascii="Times New Roman" w:hAnsi="Times New Roman" w:cs="Times New Roman"/>
          <w:lang w:val="en-GB"/>
        </w:rPr>
        <w:instrText xml:space="preserve"> SEQ Figure \* ARABIC </w:instrText>
      </w:r>
      <w:r w:rsidRPr="00846427">
        <w:rPr>
          <w:rFonts w:ascii="Times New Roman" w:hAnsi="Times New Roman" w:cs="Times New Roman"/>
          <w:lang w:val="en-GB"/>
        </w:rPr>
        <w:fldChar w:fldCharType="separate"/>
      </w:r>
      <w:r w:rsidRPr="00846427">
        <w:rPr>
          <w:rFonts w:ascii="Times New Roman" w:hAnsi="Times New Roman" w:cs="Times New Roman"/>
          <w:noProof/>
          <w:lang w:val="en-GB"/>
        </w:rPr>
        <w:t>3</w:t>
      </w:r>
      <w:r w:rsidRPr="00846427">
        <w:rPr>
          <w:rFonts w:ascii="Times New Roman" w:hAnsi="Times New Roman" w:cs="Times New Roman"/>
          <w:lang w:val="en-GB"/>
        </w:rPr>
        <w:fldChar w:fldCharType="end"/>
      </w:r>
      <w:bookmarkEnd w:id="2"/>
      <w:r w:rsidRPr="00846427">
        <w:rPr>
          <w:rFonts w:ascii="Times New Roman" w:hAnsi="Times New Roman" w:cs="Times New Roman"/>
          <w:lang w:val="en-GB"/>
        </w:rPr>
        <w:t xml:space="preserve"> CDF of Effective User Throughput for the L1/L2 and L3 handover procedures</w:t>
      </w:r>
    </w:p>
    <w:p w14:paraId="4E412C64" w14:textId="77777777" w:rsidR="00880747" w:rsidRPr="00846427" w:rsidRDefault="00880747" w:rsidP="00880747"/>
    <w:p w14:paraId="3550D564" w14:textId="77777777" w:rsidR="00880747" w:rsidRPr="00846427" w:rsidRDefault="00880747" w:rsidP="00880747"/>
    <w:p w14:paraId="791727BB" w14:textId="3E318BA5" w:rsidR="00880747" w:rsidRPr="00846427" w:rsidRDefault="00880747" w:rsidP="00880747">
      <w:pPr>
        <w:pStyle w:val="Caption"/>
        <w:rPr>
          <w:rFonts w:ascii="Times New Roman" w:hAnsi="Times New Roman" w:cs="Times New Roman"/>
          <w:lang w:val="en-GB"/>
        </w:rPr>
      </w:pPr>
      <w:r>
        <w:rPr>
          <w:noProof/>
        </w:rPr>
        <w:drawing>
          <wp:inline distT="0" distB="0" distL="0" distR="0" wp14:anchorId="1E389DE8" wp14:editId="33DFD712">
            <wp:extent cx="3045875" cy="226834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26">
                      <a:extLst>
                        <a:ext uri="{28A0092B-C50C-407E-A947-70E740481C1C}">
                          <a14:useLocalDpi xmlns:a14="http://schemas.microsoft.com/office/drawing/2010/main" val="0"/>
                        </a:ext>
                      </a:extLst>
                    </a:blip>
                    <a:stretch>
                      <a:fillRect/>
                    </a:stretch>
                  </pic:blipFill>
                  <pic:spPr>
                    <a:xfrm>
                      <a:off x="0" y="0"/>
                      <a:ext cx="3045875" cy="2268340"/>
                    </a:xfrm>
                    <a:prstGeom prst="rect">
                      <a:avLst/>
                    </a:prstGeom>
                  </pic:spPr>
                </pic:pic>
              </a:graphicData>
            </a:graphic>
          </wp:inline>
        </w:drawing>
      </w:r>
      <w:r>
        <w:rPr>
          <w:noProof/>
        </w:rPr>
        <w:drawing>
          <wp:inline distT="0" distB="0" distL="0" distR="0" wp14:anchorId="4458E21C" wp14:editId="7986C32B">
            <wp:extent cx="3030965" cy="229462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27">
                      <a:extLst>
                        <a:ext uri="{28A0092B-C50C-407E-A947-70E740481C1C}">
                          <a14:useLocalDpi xmlns:a14="http://schemas.microsoft.com/office/drawing/2010/main" val="0"/>
                        </a:ext>
                      </a:extLst>
                    </a:blip>
                    <a:stretch>
                      <a:fillRect/>
                    </a:stretch>
                  </pic:blipFill>
                  <pic:spPr>
                    <a:xfrm>
                      <a:off x="0" y="0"/>
                      <a:ext cx="3030965" cy="2294626"/>
                    </a:xfrm>
                    <a:prstGeom prst="rect">
                      <a:avLst/>
                    </a:prstGeom>
                  </pic:spPr>
                </pic:pic>
              </a:graphicData>
            </a:graphic>
          </wp:inline>
        </w:drawing>
      </w:r>
    </w:p>
    <w:p w14:paraId="085C18F0" w14:textId="77777777" w:rsidR="00880747" w:rsidRPr="00846427" w:rsidRDefault="00880747" w:rsidP="00880747">
      <w:pPr>
        <w:pStyle w:val="Caption"/>
        <w:jc w:val="center"/>
        <w:rPr>
          <w:rFonts w:ascii="Times New Roman" w:hAnsi="Times New Roman" w:cs="Times New Roman"/>
          <w:lang w:val="en-GB"/>
        </w:rPr>
      </w:pPr>
      <w:r w:rsidRPr="00846427">
        <w:rPr>
          <w:rFonts w:ascii="Times New Roman" w:hAnsi="Times New Roman" w:cs="Times New Roman"/>
          <w:lang w:val="en-GB"/>
        </w:rPr>
        <w:t>Figure 2 Mean and Cell-edge Effective User Throughput for the L1/L2 and L3 handover procedures</w:t>
      </w:r>
    </w:p>
    <w:p w14:paraId="50356729" w14:textId="77777777" w:rsidR="00880747" w:rsidRPr="00846427" w:rsidRDefault="00880747" w:rsidP="00880747"/>
    <w:p w14:paraId="2BC35DAC" w14:textId="77777777" w:rsidR="00880747" w:rsidRPr="00846427" w:rsidRDefault="00880747" w:rsidP="00880747">
      <w:r w:rsidRPr="00846427">
        <w:t>Figure 3 presents the CDFs of the number of handovers per UE and the ping-pong handovers per UE per second. A ping-pong handover happens, for example, if cell A hands over a UE to cell B and cell B hands over the same UE back to cell A shorty after i.e. X duration. The duration of X is set to 1000 ms in our simulations. As expected, the shorter HO deactivation delay (lack of TTT, L3 IIR filtering) for L1/L2 mobility results in higher number of handovers and ping-pongs compared to L3 mobility. We do not observe even any ping-pong handover in L3 (long delay). The handovers can be triggered for L1/L2 mobility if L1-RSRP measurements of the non-serving cell beam is higher than the serving cell beams by HO margin whereas for L3 mobility the UE applies L3 filtering and waits for the A3 event to be met for TTT before sending the measurement report. As such, L3 mobility avoids the triggering of unnecessary handover as performed in L1/2 centric mobility.</w:t>
      </w:r>
    </w:p>
    <w:p w14:paraId="00ED57CB" w14:textId="77777777" w:rsidR="00880747" w:rsidRPr="00846427" w:rsidRDefault="00880747" w:rsidP="00880747">
      <w:r w:rsidRPr="00846427">
        <w:t xml:space="preserve">Ping-pongs might not be relevant for intra-CU and intra-DU inter-cell mobility case as the signalling on F1-C and Xn interface is minimal/can be suppressed. However, ping-pongs would be a relevant metric for  inter-CU and/or inter-DU mobility cases as they can substantially increase signalling overhead. </w:t>
      </w:r>
    </w:p>
    <w:p w14:paraId="2C4DC517" w14:textId="77777777" w:rsidR="00880747" w:rsidRPr="00846427" w:rsidRDefault="00880747" w:rsidP="00880747">
      <w:r w:rsidRPr="00846427">
        <w:rPr>
          <w:b/>
        </w:rPr>
        <w:t>Observation 3</w:t>
      </w:r>
      <w:r w:rsidRPr="00846427">
        <w:rPr>
          <w:bCs/>
        </w:rPr>
        <w:t>:</w:t>
      </w:r>
      <w:r w:rsidRPr="00846427">
        <w:t xml:space="preserve"> The numbers of handover and ping-pongs increase with L1/L2 centric mobility compared to L3 mobility mechanism which indicates that many handovers are triggered unnecessarily using L1/L2 centric mobility.</w:t>
      </w:r>
    </w:p>
    <w:p w14:paraId="3E8EBBA1" w14:textId="0DC7103C" w:rsidR="00880747" w:rsidRPr="00846427" w:rsidRDefault="00880747" w:rsidP="00880747">
      <w:r>
        <w:rPr>
          <w:noProof/>
        </w:rPr>
        <w:lastRenderedPageBreak/>
        <w:drawing>
          <wp:inline distT="0" distB="0" distL="0" distR="0" wp14:anchorId="27FC3D15" wp14:editId="0B119A11">
            <wp:extent cx="2911440" cy="2759961"/>
            <wp:effectExtent l="0" t="0" r="381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28">
                      <a:extLst>
                        <a:ext uri="{28A0092B-C50C-407E-A947-70E740481C1C}">
                          <a14:useLocalDpi xmlns:a14="http://schemas.microsoft.com/office/drawing/2010/main" val="0"/>
                        </a:ext>
                      </a:extLst>
                    </a:blip>
                    <a:stretch>
                      <a:fillRect/>
                    </a:stretch>
                  </pic:blipFill>
                  <pic:spPr>
                    <a:xfrm>
                      <a:off x="0" y="0"/>
                      <a:ext cx="2911440" cy="2759961"/>
                    </a:xfrm>
                    <a:prstGeom prst="rect">
                      <a:avLst/>
                    </a:prstGeom>
                  </pic:spPr>
                </pic:pic>
              </a:graphicData>
            </a:graphic>
          </wp:inline>
        </w:drawing>
      </w:r>
      <w:r>
        <w:rPr>
          <w:noProof/>
        </w:rPr>
        <w:drawing>
          <wp:inline distT="0" distB="0" distL="0" distR="0" wp14:anchorId="345E5CE4" wp14:editId="2EAA866A">
            <wp:extent cx="3020695" cy="2774950"/>
            <wp:effectExtent l="0" t="0" r="8255"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9">
                      <a:extLst>
                        <a:ext uri="{28A0092B-C50C-407E-A947-70E740481C1C}">
                          <a14:useLocalDpi xmlns:a14="http://schemas.microsoft.com/office/drawing/2010/main" val="0"/>
                        </a:ext>
                      </a:extLst>
                    </a:blip>
                    <a:stretch>
                      <a:fillRect/>
                    </a:stretch>
                  </pic:blipFill>
                  <pic:spPr>
                    <a:xfrm>
                      <a:off x="0" y="0"/>
                      <a:ext cx="3020695" cy="2774950"/>
                    </a:xfrm>
                    <a:prstGeom prst="rect">
                      <a:avLst/>
                    </a:prstGeom>
                  </pic:spPr>
                </pic:pic>
              </a:graphicData>
            </a:graphic>
          </wp:inline>
        </w:drawing>
      </w:r>
    </w:p>
    <w:p w14:paraId="04C0DE48" w14:textId="77777777" w:rsidR="00880747" w:rsidRPr="00846427" w:rsidRDefault="00880747" w:rsidP="00880747">
      <w:pPr>
        <w:pStyle w:val="Caption"/>
        <w:jc w:val="center"/>
        <w:rPr>
          <w:rFonts w:ascii="Times New Roman" w:hAnsi="Times New Roman" w:cs="Times New Roman"/>
          <w:lang w:val="en-GB"/>
        </w:rPr>
      </w:pPr>
      <w:r w:rsidRPr="00846427">
        <w:rPr>
          <w:rFonts w:ascii="Times New Roman" w:hAnsi="Times New Roman" w:cs="Times New Roman"/>
          <w:lang w:val="en-GB"/>
        </w:rPr>
        <w:t>Figure 3 CDF of number of handovers per UE and ping-pong handover for the L1/L2 and L3 handover procedures</w:t>
      </w:r>
    </w:p>
    <w:p w14:paraId="761C1039" w14:textId="77777777" w:rsidR="00880747" w:rsidRPr="00846427" w:rsidRDefault="00880747" w:rsidP="00880747">
      <w:pPr>
        <w:rPr>
          <w:lang w:eastAsia="en-GB"/>
        </w:rPr>
      </w:pPr>
    </w:p>
    <w:p w14:paraId="2DA75105" w14:textId="77777777" w:rsidR="00880747" w:rsidRPr="00846427" w:rsidRDefault="00880747" w:rsidP="00880747">
      <w:r w:rsidRPr="00846427">
        <w:t>Finally, in Figure 4 the average number of Radio Link Problems (RLPs – initiation of T310 timer) and the Beam failure Detections (BFDs) in 100 drops are presented. Note that, we have only 10 UEs (EVM [1] assumes even 1 UE) along the linear trajectory among 21 cells, which do not generate enough interference in the scenario to create mobility problems. However, it is clear that for L3 mobility with long (unreasonable) delay we have around 9 RLPs and 15 beam failures in each simulation/drop. Increasing the delay for L3 mobility forces UEs to connect with the serving cell even if the radio link quality suffers at the cell edge, which result in mobility problems.</w:t>
      </w:r>
    </w:p>
    <w:p w14:paraId="06DBFF77" w14:textId="28C698BA" w:rsidR="00880747" w:rsidRPr="00846427" w:rsidRDefault="00880747" w:rsidP="00880747">
      <w:r>
        <w:rPr>
          <w:noProof/>
        </w:rPr>
        <w:drawing>
          <wp:inline distT="0" distB="0" distL="0" distR="0" wp14:anchorId="4577B4CD" wp14:editId="1CAF9D79">
            <wp:extent cx="2963219" cy="2082600"/>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30">
                      <a:extLst>
                        <a:ext uri="{28A0092B-C50C-407E-A947-70E740481C1C}">
                          <a14:useLocalDpi xmlns:a14="http://schemas.microsoft.com/office/drawing/2010/main" val="0"/>
                        </a:ext>
                      </a:extLst>
                    </a:blip>
                    <a:stretch>
                      <a:fillRect/>
                    </a:stretch>
                  </pic:blipFill>
                  <pic:spPr>
                    <a:xfrm>
                      <a:off x="0" y="0"/>
                      <a:ext cx="2963219" cy="2082600"/>
                    </a:xfrm>
                    <a:prstGeom prst="rect">
                      <a:avLst/>
                    </a:prstGeom>
                  </pic:spPr>
                </pic:pic>
              </a:graphicData>
            </a:graphic>
          </wp:inline>
        </w:drawing>
      </w:r>
      <w:r>
        <w:rPr>
          <w:noProof/>
        </w:rPr>
        <w:drawing>
          <wp:inline distT="0" distB="0" distL="0" distR="0" wp14:anchorId="307263DE" wp14:editId="50FDEAC9">
            <wp:extent cx="2831364" cy="208407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31">
                      <a:extLst>
                        <a:ext uri="{28A0092B-C50C-407E-A947-70E740481C1C}">
                          <a14:useLocalDpi xmlns:a14="http://schemas.microsoft.com/office/drawing/2010/main" val="0"/>
                        </a:ext>
                      </a:extLst>
                    </a:blip>
                    <a:stretch>
                      <a:fillRect/>
                    </a:stretch>
                  </pic:blipFill>
                  <pic:spPr>
                    <a:xfrm>
                      <a:off x="0" y="0"/>
                      <a:ext cx="2831364" cy="2084070"/>
                    </a:xfrm>
                    <a:prstGeom prst="rect">
                      <a:avLst/>
                    </a:prstGeom>
                  </pic:spPr>
                </pic:pic>
              </a:graphicData>
            </a:graphic>
          </wp:inline>
        </w:drawing>
      </w:r>
    </w:p>
    <w:p w14:paraId="40E4391E" w14:textId="77777777" w:rsidR="00880747" w:rsidRPr="00846427" w:rsidRDefault="00880747" w:rsidP="00880747">
      <w:pPr>
        <w:pStyle w:val="Caption"/>
        <w:jc w:val="center"/>
        <w:rPr>
          <w:rFonts w:ascii="Times New Roman" w:hAnsi="Times New Roman" w:cs="Times New Roman"/>
          <w:lang w:val="en-GB"/>
        </w:rPr>
      </w:pPr>
      <w:r w:rsidRPr="00846427">
        <w:rPr>
          <w:rFonts w:ascii="Times New Roman" w:hAnsi="Times New Roman" w:cs="Times New Roman"/>
          <w:lang w:val="en-GB"/>
        </w:rPr>
        <w:t>Figure 4 Average number of radio link problem and beam failure detection for L1/L2 and L3 mobility</w:t>
      </w:r>
    </w:p>
    <w:p w14:paraId="0E701948" w14:textId="77777777" w:rsidR="00880747" w:rsidRPr="00846427" w:rsidRDefault="00880747" w:rsidP="00880747">
      <w:r w:rsidRPr="00846427">
        <w:t>Based on the following results, changing the serving cell based on L1 measurements does not seem to provide any advantage compared to L3 mobility mechanism. On the contrary, it can even worsen the mobility performance by increasing the number of unnecessary handovers and ping-pongs.</w:t>
      </w:r>
    </w:p>
    <w:p w14:paraId="7D86896A" w14:textId="77777777" w:rsidR="00880747" w:rsidRPr="00846427" w:rsidRDefault="00880747" w:rsidP="00880747">
      <w:r w:rsidRPr="00846427">
        <w:rPr>
          <w:b/>
          <w:bCs/>
        </w:rPr>
        <w:t>Observation 4:</w:t>
      </w:r>
      <w:r w:rsidRPr="00846427">
        <w:t xml:space="preserve"> Changing the serving cell based on L1 measurements may increase the number of unnecessary handovers and ping-pongs without improving the mobility performance compared to L3 mobility.</w:t>
      </w:r>
    </w:p>
    <w:p w14:paraId="293537A6" w14:textId="085F1DF8" w:rsidR="00880747" w:rsidRDefault="00880747" w:rsidP="00880747">
      <w:pPr>
        <w:pStyle w:val="Heading2"/>
      </w:pPr>
      <w:r>
        <w:t>A</w:t>
      </w:r>
      <w:r w:rsidRPr="00846427">
        <w:t>.</w:t>
      </w:r>
      <w:r w:rsidR="0074137A">
        <w:t>4</w:t>
      </w:r>
      <w:r w:rsidRPr="00846427">
        <w:tab/>
        <w:t>Performance comparison of different handover procedures</w:t>
      </w:r>
    </w:p>
    <w:p w14:paraId="425E12B2" w14:textId="77777777" w:rsidR="0074137A" w:rsidRPr="00846427" w:rsidRDefault="0074137A" w:rsidP="0074137A">
      <w:pPr>
        <w:pStyle w:val="Reference"/>
        <w:numPr>
          <w:ilvl w:val="0"/>
          <w:numId w:val="30"/>
        </w:numPr>
        <w:rPr>
          <w:rFonts w:ascii="Times New Roman" w:hAnsi="Times New Roman" w:cs="Times New Roman"/>
          <w:lang w:val="en-GB"/>
        </w:rPr>
      </w:pPr>
      <w:bookmarkStart w:id="3" w:name="_Ref54161672"/>
      <w:bookmarkStart w:id="4" w:name="_Ref61857901"/>
      <w:bookmarkStart w:id="5" w:name="_Ref174151459"/>
      <w:bookmarkStart w:id="6" w:name="_Ref189809556"/>
      <w:r w:rsidRPr="00846427">
        <w:rPr>
          <w:rFonts w:ascii="Times New Roman" w:hAnsi="Times New Roman" w:cs="Times New Roman"/>
          <w:lang w:val="en-GB"/>
        </w:rPr>
        <w:t>R1-2007151, R17 FeMIMO summary Item 1 EVM - final, Samsung, RAN1#102-e, August, 2020</w:t>
      </w:r>
      <w:bookmarkEnd w:id="3"/>
      <w:bookmarkEnd w:id="4"/>
    </w:p>
    <w:p w14:paraId="2E000D48" w14:textId="77777777" w:rsidR="0074137A" w:rsidRPr="00846427" w:rsidRDefault="0074137A" w:rsidP="0074137A">
      <w:pPr>
        <w:pStyle w:val="Reference"/>
        <w:tabs>
          <w:tab w:val="clear" w:pos="360"/>
          <w:tab w:val="num" w:pos="567"/>
        </w:tabs>
        <w:ind w:left="567" w:hanging="567"/>
        <w:rPr>
          <w:rFonts w:ascii="Times New Roman" w:hAnsi="Times New Roman" w:cs="Times New Roman"/>
          <w:lang w:val="en-GB"/>
        </w:rPr>
      </w:pPr>
      <w:r w:rsidRPr="00846427">
        <w:rPr>
          <w:rFonts w:ascii="Times New Roman" w:hAnsi="Times New Roman" w:cs="Times New Roman"/>
          <w:lang w:val="en-GB"/>
        </w:rPr>
        <w:lastRenderedPageBreak/>
        <w:t>S. Barbera et al., "Synchronized RACH-less handover solution for LTE heterogeneous networks," 2015 International Symposium on Wireless Communication Systems (ISWCS), 2015, pp. 755-759, doi: 10.1109/ISWCS.2015.7454451.</w:t>
      </w:r>
      <w:bookmarkEnd w:id="5"/>
      <w:bookmarkEnd w:id="6"/>
    </w:p>
    <w:p w14:paraId="655765C3" w14:textId="77777777" w:rsidR="004D3596" w:rsidRPr="000F590D" w:rsidRDefault="004D3596" w:rsidP="000F590D">
      <w:pPr>
        <w:rPr>
          <w:lang w:val="en-US"/>
        </w:rPr>
      </w:pPr>
    </w:p>
    <w:sectPr w:rsidR="004D3596" w:rsidRPr="000F590D" w:rsidSect="006605B9">
      <w:headerReference w:type="default" r:id="rId32"/>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191E7" w14:textId="77777777" w:rsidR="008B02EE" w:rsidRDefault="008B02EE">
      <w:r>
        <w:separator/>
      </w:r>
    </w:p>
  </w:endnote>
  <w:endnote w:type="continuationSeparator" w:id="0">
    <w:p w14:paraId="553FAD7C" w14:textId="77777777" w:rsidR="008B02EE" w:rsidRDefault="008B02EE">
      <w:r>
        <w:continuationSeparator/>
      </w:r>
    </w:p>
  </w:endnote>
  <w:endnote w:type="continuationNotice" w:id="1">
    <w:p w14:paraId="28BED1EF" w14:textId="77777777" w:rsidR="008B02EE" w:rsidRDefault="008B0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E853D" w14:textId="77777777" w:rsidR="008B02EE" w:rsidRDefault="008B02EE">
      <w:r>
        <w:separator/>
      </w:r>
    </w:p>
  </w:footnote>
  <w:footnote w:type="continuationSeparator" w:id="0">
    <w:p w14:paraId="47D37220" w14:textId="77777777" w:rsidR="008B02EE" w:rsidRDefault="008B02EE">
      <w:r>
        <w:continuationSeparator/>
      </w:r>
    </w:p>
  </w:footnote>
  <w:footnote w:type="continuationNotice" w:id="1">
    <w:p w14:paraId="1B7C4DB1" w14:textId="77777777" w:rsidR="008B02EE" w:rsidRDefault="008B0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9"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5"/>
  </w:num>
  <w:num w:numId="5">
    <w:abstractNumId w:val="0"/>
  </w:num>
  <w:num w:numId="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8"/>
  </w:num>
  <w:num w:numId="9">
    <w:abstractNumId w:val="25"/>
  </w:num>
  <w:num w:numId="10">
    <w:abstractNumId w:val="14"/>
  </w:num>
  <w:num w:numId="11">
    <w:abstractNumId w:val="21"/>
  </w:num>
  <w:num w:numId="12">
    <w:abstractNumId w:val="18"/>
  </w:num>
  <w:num w:numId="13">
    <w:abstractNumId w:val="13"/>
  </w:num>
  <w:num w:numId="14">
    <w:abstractNumId w:val="1"/>
  </w:num>
  <w:num w:numId="15">
    <w:abstractNumId w:val="26"/>
  </w:num>
  <w:num w:numId="16">
    <w:abstractNumId w:val="2"/>
  </w:num>
  <w:num w:numId="17">
    <w:abstractNumId w:val="28"/>
  </w:num>
  <w:num w:numId="18">
    <w:abstractNumId w:val="3"/>
  </w:num>
  <w:num w:numId="19">
    <w:abstractNumId w:val="22"/>
  </w:num>
  <w:num w:numId="20">
    <w:abstractNumId w:val="23"/>
  </w:num>
  <w:num w:numId="21">
    <w:abstractNumId w:val="16"/>
  </w:num>
  <w:num w:numId="22">
    <w:abstractNumId w:val="11"/>
  </w:num>
  <w:num w:numId="23">
    <w:abstractNumId w:val="7"/>
  </w:num>
  <w:num w:numId="24">
    <w:abstractNumId w:val="24"/>
  </w:num>
  <w:num w:numId="25">
    <w:abstractNumId w:val="15"/>
  </w:num>
  <w:num w:numId="26">
    <w:abstractNumId w:val="6"/>
  </w:num>
  <w:num w:numId="27">
    <w:abstractNumId w:val="15"/>
  </w:num>
  <w:num w:numId="28">
    <w:abstractNumId w:val="4"/>
  </w:num>
  <w:num w:numId="29">
    <w:abstractNumId w:val="19"/>
  </w:num>
  <w:num w:numId="30">
    <w:abstractNumId w:val="19"/>
    <w:lvlOverride w:ilvl="0">
      <w:startOverride w:val="1"/>
    </w:lvlOverride>
  </w:num>
  <w:num w:numId="3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4901"/>
    <w:rsid w:val="00094B67"/>
    <w:rsid w:val="00094DC5"/>
    <w:rsid w:val="00094FCE"/>
    <w:rsid w:val="00095097"/>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3_Iu/TSGR3_112-e/Docs/R3-212879.zip" TargetMode="External"/><Relationship Id="rId18" Type="http://schemas.openxmlformats.org/officeDocument/2006/relationships/hyperlink" Target="ftp://ftp.3gpp.org/tsg_ran/WG4_Radio/TSGR4_99_e/Docs/R4-2108356.zip" TargetMode="Externa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www.3gpp.org/ftp/TSG_RAN/WG2_RL2/TSGR2_114-e/Docs/R2-2104988.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3_Iu/TSGR3_112-e/Docs/R3-212879.zip" TargetMode="External"/><Relationship Id="rId25" Type="http://schemas.openxmlformats.org/officeDocument/2006/relationships/image" Target="media/image3.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2_RL2/TSGR2_114-e/Docs/R2-2106787.zip" TargetMode="External"/><Relationship Id="rId20" Type="http://schemas.openxmlformats.org/officeDocument/2006/relationships/hyperlink" Target="https://www.3gpp.org/ftp/TSG_RAN/WG1_RL1/TSGR1_105-e/Docs/R1-2105273.zip"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RAN/WG2_RL2/TSGR2_114-e/Docs/R2-2104988.zip"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hyperlink" Target="http://3gpp.org/ftp/tsg_ran/TSG_RAN/TSGR_89e/Docs/RP-202024.zip"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5-e/Docs/R1-2105273.zip" TargetMode="External"/><Relationship Id="rId22" Type="http://schemas.openxmlformats.org/officeDocument/2006/relationships/hyperlink" Target="https://www.3gpp.org/DynaReport/36839.htm"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5AIRPNAIUNRU-1916262822-1175</_dlc_DocId>
    <_dlc_DocIdUrl xmlns="71c5aaf6-e6ce-465b-b873-5148d2a4c105">
      <Url>https://nokia.sharepoint.com/sites/c5g/_layouts/15/DocIdRedir.aspx?ID=5AIRPNAIUNRU-1916262822-1175</Url>
      <Description>5AIRPNAIUNRU-1916262822-1175</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175A22-3A5A-4493-8F54-A4F2775827CE}">
  <ds:schemaRefs>
    <ds:schemaRef ds:uri="http://purl.org/dc/terms/"/>
    <ds:schemaRef ds:uri="http://schemas.microsoft.com/office/2006/documentManagement/types"/>
    <ds:schemaRef ds:uri="3b34c8f0-1ef5-4d1e-bb66-517ce7fe7356"/>
    <ds:schemaRef ds:uri="http://purl.org/dc/elements/1.1/"/>
    <ds:schemaRef ds:uri="71c5aaf6-e6ce-465b-b873-5148d2a4c105"/>
    <ds:schemaRef ds:uri="http://schemas.microsoft.com/office/infopath/2007/PartnerControls"/>
    <ds:schemaRef ds:uri="http://schemas.openxmlformats.org/package/2006/metadata/core-properties"/>
    <ds:schemaRef ds:uri="610ccbe2-d8cc-4d3a-b40d-a16ab8d3b40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4.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5.xml><?xml version="1.0" encoding="utf-8"?>
<ds:datastoreItem xmlns:ds="http://schemas.openxmlformats.org/officeDocument/2006/customXml" ds:itemID="{415F58BC-0514-4D66-BA5E-EBB101914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4008</Words>
  <Characters>22849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26804</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Ribeiro, Cassio (Nokia - FI/Espoo)</cp:lastModifiedBy>
  <cp:revision>2</cp:revision>
  <cp:lastPrinted>1901-01-02T14:00:00Z</cp:lastPrinted>
  <dcterms:created xsi:type="dcterms:W3CDTF">2021-06-07T17:56:00Z</dcterms:created>
  <dcterms:modified xsi:type="dcterms:W3CDTF">2021-06-07T17:56:00Z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f562d0a9-bb65-4ae4-8b54-02cbfdcb85ee</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