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B317A" w:rsidRDefault="00DC0D6E">
      <w:pPr>
        <w:keepLines/>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left" w:pos="9088"/>
          <w:tab w:val="left" w:pos="9372"/>
          <w:tab w:val="right" w:pos="9641"/>
        </w:tabs>
        <w:snapToGrid w:val="0"/>
        <w:spacing w:before="120" w:after="120"/>
        <w:rPr>
          <w:rFonts w:ascii="Arial" w:hAnsi="Arial" w:cs="Arial"/>
          <w:b/>
          <w:sz w:val="28"/>
          <w:szCs w:val="28"/>
        </w:rPr>
      </w:pPr>
      <w:r>
        <w:rPr>
          <w:rFonts w:ascii="Arial" w:hAnsi="Arial" w:cs="Arial"/>
          <w:b/>
          <w:sz w:val="28"/>
          <w:szCs w:val="28"/>
        </w:rPr>
        <w:t>3GPP TSG RAN Meeting #</w:t>
      </w:r>
      <w:r>
        <w:rPr>
          <w:rFonts w:ascii="Arial" w:hAnsi="Arial" w:cs="Arial" w:hint="eastAsia"/>
          <w:b/>
          <w:sz w:val="28"/>
          <w:szCs w:val="28"/>
        </w:rPr>
        <w:t>91</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hint="eastAsia"/>
          <w:b/>
          <w:sz w:val="28"/>
          <w:szCs w:val="28"/>
        </w:rPr>
        <w:tab/>
      </w:r>
      <w:r>
        <w:rPr>
          <w:rFonts w:ascii="Arial" w:hAnsi="Arial" w:cs="Arial" w:hint="eastAsia"/>
          <w:b/>
          <w:sz w:val="28"/>
          <w:szCs w:val="28"/>
        </w:rPr>
        <w:t xml:space="preserve">                </w:t>
      </w:r>
      <w:r>
        <w:rPr>
          <w:rFonts w:ascii="Arial" w:hAnsi="Arial" w:cs="Arial"/>
          <w:b/>
          <w:sz w:val="28"/>
          <w:szCs w:val="28"/>
        </w:rPr>
        <w:t>RP-</w:t>
      </w:r>
      <w:r>
        <w:rPr>
          <w:rFonts w:ascii="Arial" w:hAnsi="Arial" w:cs="Arial" w:hint="eastAsia"/>
          <w:b/>
          <w:sz w:val="28"/>
          <w:szCs w:val="28"/>
        </w:rPr>
        <w:t>210609</w:t>
      </w:r>
      <w:r>
        <w:rPr>
          <w:rFonts w:ascii="Arial" w:hAnsi="Arial" w:cs="Arial"/>
          <w:b/>
          <w:sz w:val="28"/>
          <w:szCs w:val="28"/>
        </w:rPr>
        <w:tab/>
      </w:r>
    </w:p>
    <w:p w:rsidR="002B317A" w:rsidRDefault="00DC0D6E">
      <w:pPr>
        <w:keepLines/>
        <w:tabs>
          <w:tab w:val="left" w:pos="567"/>
        </w:tabs>
        <w:spacing w:before="120" w:after="120"/>
        <w:rPr>
          <w:sz w:val="24"/>
          <w:szCs w:val="24"/>
        </w:rPr>
      </w:pPr>
      <w:r>
        <w:rPr>
          <w:rFonts w:ascii="Arial" w:hAnsi="Arial" w:cs="Arial"/>
          <w:b/>
          <w:sz w:val="28"/>
          <w:szCs w:val="28"/>
        </w:rPr>
        <w:t xml:space="preserve">Electronic Meeting, </w:t>
      </w:r>
      <w:r>
        <w:rPr>
          <w:rFonts w:ascii="Arial" w:hAnsi="Arial" w:cs="Arial" w:hint="eastAsia"/>
          <w:b/>
          <w:sz w:val="28"/>
          <w:szCs w:val="28"/>
        </w:rPr>
        <w:t>March</w:t>
      </w:r>
      <w:r>
        <w:rPr>
          <w:rFonts w:ascii="Arial" w:hAnsi="Arial" w:cs="Arial"/>
          <w:b/>
          <w:sz w:val="28"/>
          <w:szCs w:val="28"/>
        </w:rPr>
        <w:t xml:space="preserve"> </w:t>
      </w:r>
      <w:r>
        <w:rPr>
          <w:rFonts w:ascii="Arial" w:hAnsi="Arial" w:cs="Arial" w:hint="eastAsia"/>
          <w:b/>
          <w:sz w:val="28"/>
          <w:szCs w:val="28"/>
        </w:rPr>
        <w:t>16</w:t>
      </w:r>
      <w:r>
        <w:rPr>
          <w:rFonts w:ascii="Arial" w:hAnsi="Arial" w:cs="Arial"/>
          <w:b/>
          <w:sz w:val="28"/>
          <w:szCs w:val="28"/>
        </w:rPr>
        <w:t xml:space="preserve"> - </w:t>
      </w:r>
      <w:r>
        <w:rPr>
          <w:rFonts w:ascii="Arial" w:hAnsi="Arial" w:cs="Arial" w:hint="eastAsia"/>
          <w:b/>
          <w:sz w:val="28"/>
          <w:szCs w:val="28"/>
        </w:rPr>
        <w:t>March</w:t>
      </w:r>
      <w:r>
        <w:rPr>
          <w:rFonts w:ascii="Arial" w:hAnsi="Arial" w:cs="Arial"/>
          <w:b/>
          <w:sz w:val="28"/>
          <w:szCs w:val="28"/>
        </w:rPr>
        <w:t xml:space="preserve"> 26, 2021</w:t>
      </w:r>
    </w:p>
    <w:p w:rsidR="002B317A" w:rsidRDefault="002B317A">
      <w:pPr>
        <w:pStyle w:val="a7"/>
        <w:spacing w:before="120" w:after="120"/>
        <w:jc w:val="both"/>
        <w:rPr>
          <w:b/>
          <w:i/>
          <w:sz w:val="24"/>
        </w:rPr>
      </w:pPr>
    </w:p>
    <w:p w:rsidR="002B317A" w:rsidRDefault="00DC0D6E">
      <w:pPr>
        <w:tabs>
          <w:tab w:val="left" w:pos="1985"/>
        </w:tabs>
        <w:spacing w:before="120" w:after="120"/>
        <w:ind w:left="1980" w:hanging="1980"/>
        <w:rPr>
          <w:rFonts w:ascii="Arial" w:hAnsi="Arial"/>
          <w:b/>
          <w:sz w:val="24"/>
        </w:rPr>
      </w:pPr>
      <w:r>
        <w:rPr>
          <w:rFonts w:ascii="Arial" w:hAnsi="Arial"/>
          <w:b/>
          <w:sz w:val="24"/>
          <w:lang w:val="pt-BR"/>
        </w:rPr>
        <w:t xml:space="preserve">Title: </w:t>
      </w:r>
      <w:r>
        <w:rPr>
          <w:rFonts w:ascii="Arial" w:hAnsi="Arial"/>
          <w:b/>
          <w:sz w:val="24"/>
          <w:lang w:val="pt-BR"/>
        </w:rPr>
        <w:tab/>
      </w:r>
      <w:r>
        <w:rPr>
          <w:rFonts w:ascii="Arial" w:hAnsi="Arial" w:hint="eastAsia"/>
          <w:b/>
          <w:sz w:val="24"/>
        </w:rPr>
        <w:t xml:space="preserve">Discussion on </w:t>
      </w:r>
      <w:r>
        <w:rPr>
          <w:rFonts w:ascii="Arial" w:hAnsi="Arial"/>
          <w:b/>
          <w:sz w:val="24"/>
        </w:rPr>
        <w:t>scenarios and requirements of in-coverage, partial coverage, and out-of-coverage NR positioning use cases</w:t>
      </w:r>
    </w:p>
    <w:p w:rsidR="002B317A" w:rsidRDefault="00DC0D6E">
      <w:pPr>
        <w:tabs>
          <w:tab w:val="left" w:pos="1985"/>
        </w:tabs>
        <w:spacing w:before="120" w:after="120"/>
        <w:rPr>
          <w:rStyle w:val="af4"/>
          <w:b/>
        </w:rPr>
      </w:pPr>
      <w:r>
        <w:rPr>
          <w:rFonts w:ascii="Arial" w:hAnsi="Arial"/>
          <w:b/>
          <w:sz w:val="24"/>
        </w:rPr>
        <w:t xml:space="preserve">Source: </w:t>
      </w:r>
      <w:r>
        <w:rPr>
          <w:rFonts w:ascii="Arial" w:hAnsi="Arial"/>
          <w:b/>
          <w:sz w:val="24"/>
        </w:rPr>
        <w:tab/>
      </w:r>
      <w:r>
        <w:rPr>
          <w:rStyle w:val="af4"/>
          <w:rFonts w:hint="eastAsia"/>
          <w:b/>
        </w:rPr>
        <w:t xml:space="preserve">ZTE, </w:t>
      </w:r>
      <w:r>
        <w:rPr>
          <w:rStyle w:val="af4"/>
          <w:rFonts w:hint="eastAsia"/>
          <w:b/>
        </w:rPr>
        <w:t>Sanechips</w:t>
      </w:r>
    </w:p>
    <w:p w:rsidR="002B317A" w:rsidRDefault="00DC0D6E">
      <w:pPr>
        <w:tabs>
          <w:tab w:val="left" w:pos="1985"/>
        </w:tabs>
        <w:spacing w:before="120" w:after="120"/>
        <w:rPr>
          <w:rStyle w:val="af4"/>
          <w:b/>
        </w:rPr>
      </w:pPr>
      <w:r>
        <w:rPr>
          <w:rFonts w:ascii="Arial" w:hAnsi="Arial"/>
          <w:b/>
          <w:sz w:val="24"/>
          <w:lang w:val="pt-BR"/>
        </w:rPr>
        <w:t>Agenda item:</w:t>
      </w:r>
      <w:r>
        <w:rPr>
          <w:rFonts w:ascii="Arial" w:hAnsi="Arial"/>
          <w:b/>
          <w:sz w:val="24"/>
          <w:lang w:val="pt-BR"/>
        </w:rPr>
        <w:tab/>
      </w:r>
      <w:r>
        <w:rPr>
          <w:rFonts w:ascii="Arial" w:hAnsi="Arial" w:hint="eastAsia"/>
          <w:b/>
          <w:sz w:val="24"/>
        </w:rPr>
        <w:t>9.6.2</w:t>
      </w:r>
    </w:p>
    <w:p w:rsidR="002B317A" w:rsidRDefault="00DC0D6E">
      <w:pPr>
        <w:tabs>
          <w:tab w:val="left" w:pos="1985"/>
        </w:tabs>
        <w:spacing w:before="120" w:after="120"/>
        <w:ind w:left="1980" w:hanging="1980"/>
        <w:rPr>
          <w:rStyle w:val="af4"/>
          <w:b/>
          <w:lang w:val="pt-BR"/>
        </w:rPr>
      </w:pPr>
      <w:r>
        <w:rPr>
          <w:rFonts w:ascii="Arial" w:hAnsi="Arial"/>
          <w:b/>
          <w:sz w:val="24"/>
          <w:lang w:val="pt-BR"/>
        </w:rPr>
        <w:t>Document for:</w:t>
      </w:r>
      <w:r>
        <w:rPr>
          <w:rFonts w:ascii="Arial" w:hAnsi="Arial"/>
          <w:b/>
          <w:sz w:val="24"/>
          <w:lang w:val="pt-BR"/>
        </w:rPr>
        <w:tab/>
      </w:r>
      <w:r>
        <w:rPr>
          <w:rFonts w:ascii="Arial" w:hAnsi="Arial" w:hint="eastAsia"/>
          <w:b/>
          <w:sz w:val="24"/>
        </w:rPr>
        <w:t>Discussion and Approval</w:t>
      </w:r>
    </w:p>
    <w:p w:rsidR="002B317A" w:rsidRDefault="00DC0D6E">
      <w:pPr>
        <w:pStyle w:val="1"/>
        <w:spacing w:before="120" w:after="120"/>
        <w:ind w:left="0"/>
        <w:rPr>
          <w:rFonts w:eastAsia="宋体"/>
        </w:rPr>
      </w:pPr>
      <w:r>
        <w:rPr>
          <w:rFonts w:eastAsia="宋体" w:hint="eastAsia"/>
        </w:rPr>
        <w:t>Introduction</w:t>
      </w:r>
    </w:p>
    <w:p w:rsidR="002B317A" w:rsidRDefault="00DC0D6E">
      <w:pPr>
        <w:pStyle w:val="YJ--"/>
        <w:spacing w:before="120" w:after="120"/>
      </w:pPr>
      <w:r>
        <w:rPr>
          <w:rFonts w:hint="eastAsia"/>
        </w:rPr>
        <w:t>During RAN#88-e, a new RAN SI [1] was approved with the following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B317A">
        <w:tc>
          <w:tcPr>
            <w:tcW w:w="9857" w:type="dxa"/>
          </w:tcPr>
          <w:p w:rsidR="002B317A" w:rsidRDefault="00DC0D6E">
            <w:pPr>
              <w:spacing w:before="120" w:after="120"/>
              <w:rPr>
                <w:rFonts w:eastAsia="Batang"/>
              </w:rPr>
            </w:pPr>
            <w:r>
              <w:rPr>
                <w:rFonts w:eastAsia="Batang"/>
              </w:rPr>
              <w:t>This study item includes the following objectives for positioning use case</w:t>
            </w:r>
            <w:r>
              <w:rPr>
                <w:rFonts w:eastAsia="Batang" w:hint="eastAsia"/>
              </w:rPr>
              <w:t>s</w:t>
            </w:r>
            <w:r>
              <w:rPr>
                <w:rFonts w:eastAsia="Batang"/>
              </w:rPr>
              <w:t xml:space="preserve">, requirements, and </w:t>
            </w:r>
            <w:r>
              <w:rPr>
                <w:rFonts w:eastAsia="Batang"/>
              </w:rPr>
              <w:t>scenarios for the UE in in-coverage, partial coverage, and out-of-coverage as per the network coverage definition in the current specifications:</w:t>
            </w:r>
          </w:p>
          <w:p w:rsidR="002B317A" w:rsidRDefault="002B317A">
            <w:pPr>
              <w:spacing w:before="120" w:after="120"/>
              <w:rPr>
                <w:rFonts w:eastAsia="Batang"/>
              </w:rPr>
            </w:pPr>
          </w:p>
          <w:p w:rsidR="002B317A" w:rsidRDefault="00DC0D6E">
            <w:pPr>
              <w:numPr>
                <w:ilvl w:val="0"/>
                <w:numId w:val="7"/>
              </w:numPr>
              <w:overflowPunct w:val="0"/>
              <w:autoSpaceDE w:val="0"/>
              <w:autoSpaceDN w:val="0"/>
              <w:adjustRightInd w:val="0"/>
              <w:spacing w:beforeLines="0" w:afterLines="0" w:line="240" w:lineRule="auto"/>
              <w:jc w:val="left"/>
              <w:textAlignment w:val="baseline"/>
              <w:rPr>
                <w:rFonts w:eastAsia="Batang"/>
                <w:highlight w:val="yellow"/>
              </w:rPr>
            </w:pPr>
            <w:r>
              <w:rPr>
                <w:rFonts w:eastAsia="Batang" w:hint="eastAsia"/>
                <w:highlight w:val="yellow"/>
              </w:rPr>
              <w:t xml:space="preserve">Identify </w:t>
            </w:r>
            <w:r>
              <w:rPr>
                <w:highlight w:val="yellow"/>
              </w:rPr>
              <w:t>the positioning use cases and requirements for V2X and public safety, based on the existing 3GPP work</w:t>
            </w:r>
            <w:r>
              <w:rPr>
                <w:highlight w:val="yellow"/>
              </w:rPr>
              <w:t xml:space="preserve"> and input from industry fora.</w:t>
            </w:r>
          </w:p>
          <w:p w:rsidR="002B317A" w:rsidRDefault="00DC0D6E">
            <w:pPr>
              <w:numPr>
                <w:ilvl w:val="0"/>
                <w:numId w:val="7"/>
              </w:numPr>
              <w:overflowPunct w:val="0"/>
              <w:autoSpaceDE w:val="0"/>
              <w:autoSpaceDN w:val="0"/>
              <w:adjustRightInd w:val="0"/>
              <w:spacing w:beforeLines="0" w:afterLines="0" w:line="240" w:lineRule="auto"/>
              <w:jc w:val="left"/>
              <w:textAlignment w:val="baseline"/>
              <w:rPr>
                <w:rFonts w:eastAsia="Batang"/>
                <w:highlight w:val="yellow"/>
              </w:rPr>
            </w:pPr>
            <w:r>
              <w:rPr>
                <w:rFonts w:eastAsia="Batang" w:hint="eastAsia"/>
                <w:highlight w:val="yellow"/>
              </w:rPr>
              <w:t xml:space="preserve">Identify potential </w:t>
            </w:r>
            <w:r>
              <w:rPr>
                <w:rFonts w:eastAsia="Batang"/>
                <w:highlight w:val="yellow"/>
              </w:rPr>
              <w:t xml:space="preserve">deployment and </w:t>
            </w:r>
            <w:r>
              <w:rPr>
                <w:rFonts w:eastAsia="Batang" w:hint="eastAsia"/>
                <w:highlight w:val="yellow"/>
              </w:rPr>
              <w:t>operation scenarios</w:t>
            </w:r>
            <w:r>
              <w:rPr>
                <w:rFonts w:eastAsia="Batang"/>
                <w:highlight w:val="yellow"/>
              </w:rPr>
              <w:t xml:space="preserve"> </w:t>
            </w:r>
          </w:p>
          <w:p w:rsidR="002B317A" w:rsidRDefault="002B317A">
            <w:pPr>
              <w:spacing w:before="120" w:after="120"/>
              <w:rPr>
                <w:rFonts w:eastAsia="Batang"/>
              </w:rPr>
            </w:pPr>
          </w:p>
          <w:p w:rsidR="002B317A" w:rsidRDefault="00DC0D6E">
            <w:pPr>
              <w:spacing w:before="120" w:after="120"/>
              <w:rPr>
                <w:rFonts w:eastAsia="Batang"/>
              </w:rPr>
            </w:pPr>
            <w:r>
              <w:rPr>
                <w:rFonts w:eastAsia="Batang"/>
              </w:rPr>
              <w:t>Note: Studying the feasibility of the identified requirements is not in the scope of this SI.</w:t>
            </w:r>
          </w:p>
          <w:p w:rsidR="002B317A" w:rsidRDefault="002B317A">
            <w:pPr>
              <w:spacing w:before="120" w:after="120"/>
              <w:rPr>
                <w:rFonts w:eastAsia="Batang"/>
                <w:highlight w:val="magenta"/>
              </w:rPr>
            </w:pPr>
          </w:p>
          <w:p w:rsidR="002B317A" w:rsidRDefault="00DC0D6E">
            <w:pPr>
              <w:spacing w:before="120" w:after="120"/>
              <w:rPr>
                <w:rFonts w:eastAsia="Batang"/>
              </w:rPr>
            </w:pPr>
            <w:r>
              <w:rPr>
                <w:rFonts w:eastAsia="Batang" w:hint="eastAsia"/>
              </w:rPr>
              <w:t xml:space="preserve">Note: </w:t>
            </w:r>
            <w:r>
              <w:rPr>
                <w:rFonts w:eastAsia="Batang"/>
              </w:rPr>
              <w:t>The work in this SI shall take into account the outcomes and progres</w:t>
            </w:r>
            <w:r>
              <w:rPr>
                <w:rFonts w:eastAsia="Batang"/>
              </w:rPr>
              <w:t>ses of NR positioning study in both Rel-16 and Rel-17.</w:t>
            </w:r>
          </w:p>
          <w:p w:rsidR="002B317A" w:rsidRDefault="002B317A">
            <w:pPr>
              <w:spacing w:before="120" w:after="120"/>
              <w:rPr>
                <w:rFonts w:eastAsia="Batang"/>
              </w:rPr>
            </w:pPr>
          </w:p>
          <w:p w:rsidR="002B317A" w:rsidRDefault="00DC0D6E">
            <w:pPr>
              <w:spacing w:before="120" w:after="120"/>
              <w:rPr>
                <w:rFonts w:eastAsia="Batang"/>
              </w:rPr>
            </w:pPr>
            <w:r>
              <w:rPr>
                <w:rFonts w:eastAsia="Batang"/>
              </w:rPr>
              <w:t>Note: Work plan</w:t>
            </w:r>
          </w:p>
          <w:p w:rsidR="002B317A" w:rsidRDefault="00DC0D6E">
            <w:pPr>
              <w:numPr>
                <w:ilvl w:val="0"/>
                <w:numId w:val="8"/>
              </w:numPr>
              <w:overflowPunct w:val="0"/>
              <w:autoSpaceDE w:val="0"/>
              <w:autoSpaceDN w:val="0"/>
              <w:adjustRightInd w:val="0"/>
              <w:spacing w:beforeLines="0" w:afterLines="0" w:line="240" w:lineRule="auto"/>
              <w:jc w:val="left"/>
              <w:textAlignment w:val="baseline"/>
              <w:rPr>
                <w:rFonts w:eastAsia="Batang"/>
              </w:rPr>
            </w:pPr>
            <w:r>
              <w:rPr>
                <w:rFonts w:eastAsia="Batang"/>
              </w:rPr>
              <w:t>RAN#91: TR skeleton, initial input on Objective 1</w:t>
            </w:r>
          </w:p>
          <w:p w:rsidR="002B317A" w:rsidRDefault="00DC0D6E">
            <w:pPr>
              <w:numPr>
                <w:ilvl w:val="0"/>
                <w:numId w:val="8"/>
              </w:numPr>
              <w:overflowPunct w:val="0"/>
              <w:autoSpaceDE w:val="0"/>
              <w:autoSpaceDN w:val="0"/>
              <w:adjustRightInd w:val="0"/>
              <w:spacing w:beforeLines="0" w:afterLines="0" w:line="240" w:lineRule="auto"/>
              <w:jc w:val="left"/>
              <w:textAlignment w:val="baseline"/>
              <w:rPr>
                <w:rFonts w:eastAsia="Batang"/>
              </w:rPr>
            </w:pPr>
            <w:r>
              <w:rPr>
                <w:rFonts w:eastAsia="Batang"/>
              </w:rPr>
              <w:t>RAN#92: Finalize Objective 1, initial input on Objective 2</w:t>
            </w:r>
          </w:p>
          <w:p w:rsidR="002B317A" w:rsidRDefault="00DC0D6E">
            <w:pPr>
              <w:numPr>
                <w:ilvl w:val="0"/>
                <w:numId w:val="8"/>
              </w:numPr>
              <w:overflowPunct w:val="0"/>
              <w:autoSpaceDE w:val="0"/>
              <w:autoSpaceDN w:val="0"/>
              <w:adjustRightInd w:val="0"/>
              <w:spacing w:beforeLines="0" w:afterLines="0" w:line="240" w:lineRule="auto"/>
              <w:jc w:val="left"/>
              <w:textAlignment w:val="baseline"/>
              <w:rPr>
                <w:rFonts w:eastAsia="Batang"/>
              </w:rPr>
            </w:pPr>
            <w:r>
              <w:rPr>
                <w:rFonts w:eastAsia="Batang"/>
              </w:rPr>
              <w:t>RAN#93: Finalize Objective 2, approve the TR (SI target completion)</w:t>
            </w:r>
          </w:p>
        </w:tc>
      </w:tr>
    </w:tbl>
    <w:p w:rsidR="002B317A" w:rsidRDefault="00DC0D6E">
      <w:pPr>
        <w:pStyle w:val="YJ--"/>
        <w:spacing w:before="120" w:after="120"/>
      </w:pPr>
      <w:r>
        <w:rPr>
          <w:rFonts w:hint="eastAsia"/>
        </w:rPr>
        <w:t xml:space="preserve">In </w:t>
      </w:r>
      <w:r>
        <w:rPr>
          <w:rFonts w:hint="eastAsia"/>
        </w:rPr>
        <w:t>this paper, we present our considerations towards the objectives with emphasis on objective 1 taking into account the study work plan.</w:t>
      </w:r>
    </w:p>
    <w:p w:rsidR="002B317A" w:rsidRDefault="00DC0D6E">
      <w:pPr>
        <w:pStyle w:val="1"/>
        <w:spacing w:before="120" w:after="120"/>
        <w:ind w:left="0"/>
      </w:pPr>
      <w:r>
        <w:rPr>
          <w:rFonts w:eastAsia="宋体" w:hint="eastAsia"/>
        </w:rPr>
        <w:t xml:space="preserve">Use Cases and </w:t>
      </w:r>
      <w:r>
        <w:rPr>
          <w:rFonts w:hint="eastAsia"/>
        </w:rPr>
        <w:t xml:space="preserve">Various </w:t>
      </w:r>
      <w:r>
        <w:rPr>
          <w:rFonts w:eastAsia="宋体" w:hint="eastAsia"/>
        </w:rPr>
        <w:t>R</w:t>
      </w:r>
      <w:r>
        <w:rPr>
          <w:rFonts w:hint="eastAsia"/>
        </w:rPr>
        <w:t xml:space="preserve">equirements </w:t>
      </w:r>
      <w:r>
        <w:rPr>
          <w:rFonts w:eastAsia="宋体" w:hint="eastAsia"/>
        </w:rPr>
        <w:t>of</w:t>
      </w:r>
      <w:r>
        <w:rPr>
          <w:rFonts w:hint="eastAsia"/>
        </w:rPr>
        <w:t xml:space="preserve"> </w:t>
      </w:r>
      <w:r>
        <w:rPr>
          <w:rFonts w:eastAsia="宋体" w:hint="eastAsia"/>
        </w:rPr>
        <w:t>V2X and Public Safety</w:t>
      </w:r>
    </w:p>
    <w:p w:rsidR="002B317A" w:rsidRDefault="00DC0D6E">
      <w:pPr>
        <w:pStyle w:val="YJ--"/>
        <w:spacing w:before="120" w:after="120"/>
      </w:pPr>
      <w:r>
        <w:t>According to the SID, it is necessary to identify the positio</w:t>
      </w:r>
      <w:r>
        <w:t xml:space="preserve">ning use cases and requirements for V2X and public safety based on the 3GPP work and input from industry fora. Meanwhile, the outcomes and progress of NR positioning study in both Rel-16 and Rel-17 should be considered in this SI. In this section, we will </w:t>
      </w:r>
      <w:r>
        <w:t>elaborate on several representative use cases together with a follow-up requirement overview listed as follows.</w:t>
      </w:r>
      <w:r>
        <w:rPr>
          <w:rFonts w:hint="eastAsia"/>
        </w:rPr>
        <w:t xml:space="preserve"> </w:t>
      </w:r>
    </w:p>
    <w:p w:rsidR="002B317A" w:rsidRDefault="00DC0D6E">
      <w:pPr>
        <w:pStyle w:val="2"/>
        <w:spacing w:beforeLines="0" w:afterLines="0" w:line="240" w:lineRule="auto"/>
        <w:ind w:left="200" w:right="210"/>
        <w:jc w:val="left"/>
        <w:rPr>
          <w:rFonts w:eastAsia="宋体"/>
        </w:rPr>
      </w:pPr>
      <w:bookmarkStart w:id="0" w:name="_Toc29400"/>
      <w:bookmarkStart w:id="1" w:name="_Toc525"/>
      <w:bookmarkStart w:id="2" w:name="_Toc82"/>
      <w:bookmarkEnd w:id="0"/>
      <w:bookmarkEnd w:id="1"/>
      <w:bookmarkEnd w:id="2"/>
      <w:r>
        <w:rPr>
          <w:rFonts w:hint="eastAsia"/>
        </w:rPr>
        <w:lastRenderedPageBreak/>
        <w:t xml:space="preserve">V2X </w:t>
      </w:r>
    </w:p>
    <w:p w:rsidR="002B317A" w:rsidRDefault="00DC0D6E">
      <w:pPr>
        <w:pStyle w:val="YJ--"/>
        <w:spacing w:before="120" w:after="120"/>
      </w:pPr>
      <w:r>
        <w:rPr>
          <w:rFonts w:hint="eastAsia"/>
        </w:rPr>
        <w:t xml:space="preserve">The V2X applications are widely </w:t>
      </w:r>
      <w:r>
        <w:t>identified</w:t>
      </w:r>
      <w:r>
        <w:rPr>
          <w:rFonts w:hint="eastAsia"/>
        </w:rPr>
        <w:t xml:space="preserve"> in 3GPP and industry as elaborated in [2][3][4][5][6][7] and [8][9][10] respectively. We provid</w:t>
      </w:r>
      <w:r>
        <w:rPr>
          <w:rFonts w:hint="eastAsia"/>
        </w:rPr>
        <w:t>e hereafter a summary of representative</w:t>
      </w:r>
      <w:r>
        <w:rPr>
          <w:rFonts w:eastAsiaTheme="minorEastAsia" w:hint="eastAsia"/>
        </w:rPr>
        <w:t xml:space="preserve"> </w:t>
      </w:r>
      <w:r>
        <w:rPr>
          <w:rFonts w:hint="eastAsia"/>
        </w:rPr>
        <w:t>V2X use cases as below.</w:t>
      </w:r>
    </w:p>
    <w:p w:rsidR="002B317A" w:rsidRDefault="00DC0D6E">
      <w:pPr>
        <w:spacing w:before="120" w:after="120"/>
        <w:rPr>
          <w:b/>
          <w:sz w:val="20"/>
          <w:u w:val="single"/>
        </w:rPr>
      </w:pPr>
      <w:r>
        <w:rPr>
          <w:b/>
          <w:sz w:val="20"/>
          <w:u w:val="single"/>
        </w:rPr>
        <w:t xml:space="preserve">Automotive: sensor and state map </w:t>
      </w:r>
      <w:r>
        <w:rPr>
          <w:rFonts w:hint="eastAsia"/>
          <w:b/>
          <w:sz w:val="20"/>
          <w:u w:val="single"/>
        </w:rPr>
        <w:t>sharing</w:t>
      </w:r>
    </w:p>
    <w:p w:rsidR="002B317A" w:rsidRDefault="00DC0D6E">
      <w:pPr>
        <w:pStyle w:val="YJ--"/>
        <w:spacing w:before="120" w:after="120"/>
        <w:rPr>
          <w:b/>
          <w:u w:val="single"/>
        </w:rPr>
      </w:pPr>
      <w:r>
        <w:rPr>
          <w:rFonts w:hint="eastAsia"/>
        </w:rPr>
        <w:t>According to section 5.3 of [8], the sensor and state map generation and sharing takes place within a sensor and state map sharing (SSMS) group. The sh</w:t>
      </w:r>
      <w:r>
        <w:rPr>
          <w:rFonts w:hint="eastAsia"/>
        </w:rPr>
        <w:t xml:space="preserve">ared information could include concrete position, either relative or absolute position, vehicle trajectory as well as some </w:t>
      </w:r>
      <w:r>
        <w:t>combination of raw or processed/abstracted data from on-board perception sensors.</w:t>
      </w:r>
      <w:r>
        <w:rPr>
          <w:rFonts w:hint="eastAsia"/>
        </w:rPr>
        <w:t xml:space="preserve"> The state map is first generated individually, base</w:t>
      </w:r>
      <w:r>
        <w:rPr>
          <w:rFonts w:hint="eastAsia"/>
        </w:rPr>
        <w:t xml:space="preserve">d on which </w:t>
      </w:r>
      <w:r>
        <w:t>tactical or manoeuvre decision</w:t>
      </w:r>
      <w:r>
        <w:rPr>
          <w:rFonts w:hint="eastAsia"/>
        </w:rPr>
        <w:t xml:space="preserve"> is made vehicle by vehicle. Then the SSMS group member broadcasts the map together with the decision within the group, comprising in-time positioning information (update). Upon reception of the state map and the de</w:t>
      </w:r>
      <w:r>
        <w:rPr>
          <w:rFonts w:hint="eastAsia"/>
        </w:rPr>
        <w:t xml:space="preserve">cision, vehicle shall incorporate the information into its own decision. The above service flow touches high-definition map collecting and sharing, automated intersection crossing, </w:t>
      </w:r>
      <w:r>
        <w:rPr>
          <w:rFonts w:eastAsiaTheme="minorEastAsia" w:hint="eastAsia"/>
        </w:rPr>
        <w:t>r</w:t>
      </w:r>
      <w:r>
        <w:t>eal-time high definition maps</w:t>
      </w:r>
      <w:r>
        <w:rPr>
          <w:rFonts w:hint="eastAsia"/>
        </w:rPr>
        <w:t xml:space="preserve"> as well as high definition sensor sharing. M</w:t>
      </w:r>
      <w:r>
        <w:rPr>
          <w:rFonts w:hint="eastAsia"/>
        </w:rPr>
        <w:t xml:space="preserve">oreover, the see-through for passing could be one representative </w:t>
      </w:r>
      <w:r>
        <w:t>manoeuvre</w:t>
      </w:r>
      <w:r>
        <w:rPr>
          <w:rFonts w:hint="eastAsia"/>
        </w:rPr>
        <w:t xml:space="preserve"> decision.</w:t>
      </w:r>
    </w:p>
    <w:p w:rsidR="002B317A" w:rsidRDefault="00DC0D6E">
      <w:pPr>
        <w:spacing w:before="120" w:after="120"/>
        <w:rPr>
          <w:b/>
          <w:sz w:val="20"/>
          <w:u w:val="single"/>
        </w:rPr>
      </w:pPr>
      <w:r>
        <w:rPr>
          <w:rFonts w:hint="eastAsia"/>
          <w:b/>
          <w:sz w:val="20"/>
          <w:u w:val="single"/>
        </w:rPr>
        <w:t xml:space="preserve">Autonomous driving </w:t>
      </w:r>
    </w:p>
    <w:p w:rsidR="002B317A" w:rsidRDefault="00DC0D6E">
      <w:pPr>
        <w:pStyle w:val="YJ--"/>
        <w:spacing w:before="120" w:after="120"/>
      </w:pPr>
      <w:r>
        <w:rPr>
          <w:rFonts w:hint="eastAsia"/>
        </w:rPr>
        <w:t xml:space="preserve">According to section 5.4 in [9], a remote entity from a control center or application server takes control of the vehicle en route. To aid the </w:t>
      </w:r>
      <w:r>
        <w:rPr>
          <w:rFonts w:hint="eastAsia"/>
        </w:rPr>
        <w:t>identification of road conditions, the positioning related information shall be delivered in time with high precision. More aggressively, one operator could handle a group of remote autonomous vehicles for a certain, e.g. short period of time. This tempora</w:t>
      </w:r>
      <w:r>
        <w:rPr>
          <w:rFonts w:hint="eastAsia"/>
        </w:rPr>
        <w:t>ry tele-support could enable efficient road construction or snow plowing. Relevant use cases should include the tele-operated driving, tele-operated support, tele-operated driving for automated parking, autonomous parking vehicles by remote driving, automa</w:t>
      </w:r>
      <w:r>
        <w:rPr>
          <w:rFonts w:hint="eastAsia"/>
        </w:rPr>
        <w:t>ted intersection crossing as well as remote automated driving cancellation (RADC).</w:t>
      </w:r>
    </w:p>
    <w:p w:rsidR="002B317A" w:rsidRDefault="00DC0D6E">
      <w:pPr>
        <w:spacing w:before="120" w:after="120"/>
        <w:rPr>
          <w:b/>
          <w:sz w:val="20"/>
          <w:u w:val="single"/>
        </w:rPr>
      </w:pPr>
      <w:r>
        <w:rPr>
          <w:rFonts w:hint="eastAsia"/>
          <w:b/>
          <w:sz w:val="20"/>
          <w:u w:val="single"/>
        </w:rPr>
        <w:t>Assisted Driving Applications</w:t>
      </w:r>
    </w:p>
    <w:p w:rsidR="002B317A" w:rsidRDefault="00DC0D6E">
      <w:pPr>
        <w:pStyle w:val="YJ--"/>
        <w:spacing w:before="120" w:after="120"/>
      </w:pPr>
      <w:r>
        <w:rPr>
          <w:rFonts w:hint="eastAsia"/>
        </w:rPr>
        <w:t xml:space="preserve">According to section 6.1 in [8], various use cases could be involved under such applications, including </w:t>
      </w:r>
      <w:r>
        <w:t>Cross-Traffic Left-Turn Assist</w:t>
      </w:r>
      <w:r>
        <w:rPr>
          <w:rFonts w:hint="eastAsia"/>
        </w:rPr>
        <w:t xml:space="preserve">, </w:t>
      </w:r>
      <w:r>
        <w:t>Interse</w:t>
      </w:r>
      <w:r>
        <w:t>ction Movement Assist</w:t>
      </w:r>
      <w:r>
        <w:rPr>
          <w:rFonts w:hint="eastAsia"/>
        </w:rPr>
        <w:t xml:space="preserve">, </w:t>
      </w:r>
      <w:r>
        <w:t>Emergency brake warning</w:t>
      </w:r>
      <w:r>
        <w:rPr>
          <w:rFonts w:hint="eastAsia"/>
        </w:rPr>
        <w:t>,</w:t>
      </w:r>
      <w:r>
        <w:t xml:space="preserve"> Obstructed View Assist</w:t>
      </w:r>
      <w:r>
        <w:rPr>
          <w:rFonts w:hint="eastAsia"/>
        </w:rPr>
        <w:t>. For these use cases, a typical positioning accuracy lies in identification of which lane the vehicle rolls in. This level of precision is the baseline precision for various use cases u</w:t>
      </w:r>
      <w:r>
        <w:rPr>
          <w:rFonts w:hint="eastAsia"/>
        </w:rPr>
        <w:t xml:space="preserve">nder the assisted driving application. Apart from those, vulnerable road user (e.g. pedestrian, bicycle, motorbike, etc) discovery could also be leveraged to the cause of safety </w:t>
      </w:r>
      <w:r>
        <w:t>insurance</w:t>
      </w:r>
      <w:r>
        <w:rPr>
          <w:rFonts w:hint="eastAsia"/>
        </w:rPr>
        <w:t xml:space="preserve"> by alerting HV(host vehicle) of approaching VRU in the road or cross</w:t>
      </w:r>
      <w:r>
        <w:rPr>
          <w:rFonts w:hint="eastAsia"/>
        </w:rPr>
        <w:t xml:space="preserve">ing an intersection and any risk of collision.   </w:t>
      </w:r>
    </w:p>
    <w:p w:rsidR="002B317A" w:rsidRDefault="00DC0D6E">
      <w:pPr>
        <w:spacing w:before="120" w:after="120"/>
        <w:rPr>
          <w:b/>
          <w:sz w:val="20"/>
          <w:u w:val="single"/>
        </w:rPr>
      </w:pPr>
      <w:r>
        <w:rPr>
          <w:rFonts w:hint="eastAsia"/>
          <w:b/>
          <w:sz w:val="20"/>
          <w:u w:val="single"/>
        </w:rPr>
        <w:t>Traffic Flow Management</w:t>
      </w:r>
    </w:p>
    <w:p w:rsidR="002B317A" w:rsidRDefault="00DC0D6E">
      <w:pPr>
        <w:pStyle w:val="YJ--"/>
        <w:spacing w:before="120" w:after="120"/>
      </w:pPr>
      <w:r>
        <w:t>This use case</w:t>
      </w:r>
      <w:r>
        <w:rPr>
          <w:rFonts w:hint="eastAsia"/>
        </w:rPr>
        <w:t xml:space="preserve"> category</w:t>
      </w:r>
      <w:r>
        <w:t xml:space="preserve"> </w:t>
      </w:r>
      <w:r>
        <w:rPr>
          <w:rFonts w:hint="eastAsia"/>
        </w:rPr>
        <w:t>covers</w:t>
      </w:r>
      <w:r>
        <w:t xml:space="preserve"> the traffic</w:t>
      </w:r>
      <w:r>
        <w:rPr>
          <w:rFonts w:hint="eastAsia"/>
        </w:rPr>
        <w:t>/vehicle</w:t>
      </w:r>
      <w:r>
        <w:t xml:space="preserve"> monitoring, management and</w:t>
      </w:r>
      <w:r>
        <w:rPr>
          <w:rFonts w:hint="eastAsia"/>
        </w:rPr>
        <w:t xml:space="preserve"> congestion</w:t>
      </w:r>
      <w:r>
        <w:t xml:space="preserve"> control services supervised by a regional/local authority that has the objective to optimi</w:t>
      </w:r>
      <w:r>
        <w:rPr>
          <w:rFonts w:hint="eastAsia"/>
        </w:rPr>
        <w:t>z</w:t>
      </w:r>
      <w:r>
        <w:t>e t</w:t>
      </w:r>
      <w:r>
        <w:t>raffic flow when needed and provide feedback to road users to make traffic more fluent.</w:t>
      </w:r>
      <w:r>
        <w:rPr>
          <w:rFonts w:hint="eastAsia"/>
        </w:rPr>
        <w:t xml:space="preserve">  Lane level information including </w:t>
      </w:r>
      <w:r>
        <w:t>positioning</w:t>
      </w:r>
      <w:r>
        <w:rPr>
          <w:rFonts w:hint="eastAsia"/>
        </w:rPr>
        <w:t xml:space="preserve"> to the map of infrastructure including roads, RSUs and lanes should be collected, maintained and </w:t>
      </w:r>
      <w:r>
        <w:t>leveraged</w:t>
      </w:r>
      <w:r>
        <w:rPr>
          <w:rFonts w:hint="eastAsia"/>
        </w:rPr>
        <w:t xml:space="preserve"> or terminated a</w:t>
      </w:r>
      <w:r>
        <w:rPr>
          <w:rFonts w:hint="eastAsia"/>
        </w:rPr>
        <w:t>t key points along the roads. Horizontal and vertical absolute positioning is therefore needed over multiple road segments and long distances.  Self driving or semi-automated vehicles form a group to start collectively at a traffic light intersection. A re</w:t>
      </w:r>
      <w:r>
        <w:rPr>
          <w:rFonts w:hint="eastAsia"/>
        </w:rPr>
        <w:t xml:space="preserve">mote control </w:t>
      </w:r>
      <w:r>
        <w:t>centre</w:t>
      </w:r>
      <w:r>
        <w:rPr>
          <w:rFonts w:hint="eastAsia"/>
        </w:rPr>
        <w:t xml:space="preserve"> provides tactical and strategic flow management information to coordinate the collective movement. From section 5.5.1 in [4] as well as section 5.6.3 and 5.6.4 in [9], we could synthesize relevant requirements on positioning as below. </w:t>
      </w:r>
    </w:p>
    <w:p w:rsidR="002B317A" w:rsidRDefault="00DC0D6E">
      <w:pPr>
        <w:pStyle w:val="YJ--"/>
        <w:spacing w:before="120" w:after="120"/>
      </w:pPr>
      <w:r>
        <w:rPr>
          <w:rFonts w:hint="eastAsia"/>
        </w:rPr>
        <w:t>For regular monitoring and reporting effective traffic situation, the positioning accuracy should be up to half the lane width, i.e. 1.5m for horizontal and around 3m along track for safety consideration. For vehicle speed around 100 km/h, this accounts fo</w:t>
      </w:r>
      <w:r>
        <w:rPr>
          <w:rFonts w:hint="eastAsia"/>
        </w:rPr>
        <w:t xml:space="preserve">r 100ms latency requirement. </w:t>
      </w:r>
    </w:p>
    <w:p w:rsidR="002B317A" w:rsidRDefault="00DC0D6E">
      <w:pPr>
        <w:spacing w:before="120" w:after="120"/>
        <w:rPr>
          <w:b/>
          <w:sz w:val="20"/>
          <w:u w:val="single"/>
        </w:rPr>
      </w:pPr>
      <w:r>
        <w:rPr>
          <w:rFonts w:hint="eastAsia"/>
          <w:b/>
          <w:sz w:val="20"/>
          <w:u w:val="single"/>
        </w:rPr>
        <w:t>Vehicle Operations Management</w:t>
      </w:r>
    </w:p>
    <w:p w:rsidR="002B317A" w:rsidRDefault="00DC0D6E">
      <w:pPr>
        <w:pStyle w:val="YJ--"/>
        <w:spacing w:before="120" w:after="120"/>
      </w:pPr>
      <w:r>
        <w:rPr>
          <w:rFonts w:hint="eastAsia"/>
        </w:rPr>
        <w:t xml:space="preserve">According to section 6.2 in [8], vehicle operations management include software updates of electronic control module software for </w:t>
      </w:r>
      <w:r>
        <w:t>targeted</w:t>
      </w:r>
      <w:r>
        <w:rPr>
          <w:rFonts w:hint="eastAsia"/>
        </w:rPr>
        <w:t xml:space="preserve"> vehicles. It's typically enough for NW to identify in whi</w:t>
      </w:r>
      <w:r>
        <w:rPr>
          <w:rFonts w:hint="eastAsia"/>
        </w:rPr>
        <w:t xml:space="preserve">ch street/road and approximate position inside this street road such that the installation could be done per location. </w:t>
      </w:r>
    </w:p>
    <w:p w:rsidR="002B317A" w:rsidRDefault="00DC0D6E">
      <w:pPr>
        <w:pStyle w:val="YJ--"/>
        <w:spacing w:before="120" w:after="120"/>
      </w:pPr>
      <w:r>
        <w:rPr>
          <w:rFonts w:hint="eastAsia"/>
        </w:rPr>
        <w:t>Additionally, for vehicle health monitoring where owners, fleet operators and authorized vehicle service providers monitor the health of</w:t>
      </w:r>
      <w:r>
        <w:rPr>
          <w:rFonts w:hint="eastAsia"/>
        </w:rPr>
        <w:t xml:space="preserve"> HV and are alerted when maintenance or service is required. Positioning information would be quite useful for scenarios such as the error detection.  </w:t>
      </w:r>
    </w:p>
    <w:p w:rsidR="002B317A" w:rsidRDefault="00DC0D6E">
      <w:pPr>
        <w:spacing w:before="120" w:after="120"/>
        <w:rPr>
          <w:b/>
          <w:sz w:val="20"/>
          <w:u w:val="single"/>
        </w:rPr>
      </w:pPr>
      <w:r>
        <w:rPr>
          <w:rFonts w:hint="eastAsia"/>
          <w:b/>
          <w:sz w:val="20"/>
          <w:u w:val="single"/>
        </w:rPr>
        <w:lastRenderedPageBreak/>
        <w:t>Traffic Efficiency</w:t>
      </w:r>
    </w:p>
    <w:p w:rsidR="002B317A" w:rsidRDefault="00DC0D6E">
      <w:pPr>
        <w:pStyle w:val="YJ--"/>
        <w:spacing w:before="120" w:after="120"/>
      </w:pPr>
      <w:r>
        <w:rPr>
          <w:rFonts w:hint="eastAsia"/>
        </w:rPr>
        <w:t>According to section 6.4 in [8], the speed is notified to host vehicle of recommended</w:t>
      </w:r>
      <w:r>
        <w:rPr>
          <w:rFonts w:hint="eastAsia"/>
        </w:rPr>
        <w:t xml:space="preserve"> speed to optimize traffic flow, </w:t>
      </w:r>
      <w:r>
        <w:t>minimize</w:t>
      </w:r>
      <w:r>
        <w:rPr>
          <w:rFonts w:hint="eastAsia"/>
        </w:rPr>
        <w:t xml:space="preserve"> emissions and to ensure a smooth ride. The positioning information is critical to determine the </w:t>
      </w:r>
      <w:r>
        <w:t>harmonized</w:t>
      </w:r>
      <w:r>
        <w:rPr>
          <w:rFonts w:hint="eastAsia"/>
        </w:rPr>
        <w:t xml:space="preserve"> speed. Latency should be low enough to allow a smooth adjustment, and collisions could be prevented by e.g.</w:t>
      </w:r>
      <w:r>
        <w:rPr>
          <w:rFonts w:hint="eastAsia"/>
        </w:rPr>
        <w:t xml:space="preserve"> on-board se</w:t>
      </w:r>
      <w:r w:rsidR="00F60E48">
        <w:rPr>
          <w:rFonts w:hint="eastAsia"/>
        </w:rPr>
        <w:t>nsors. Latency ranges from 1400</w:t>
      </w:r>
      <w:r>
        <w:rPr>
          <w:rFonts w:hint="eastAsia"/>
        </w:rPr>
        <w:t>,</w:t>
      </w:r>
      <w:r w:rsidR="00F60E48">
        <w:t xml:space="preserve"> </w:t>
      </w:r>
      <w:r>
        <w:rPr>
          <w:rFonts w:hint="eastAsia"/>
        </w:rPr>
        <w:t xml:space="preserve">1800 to 2500 ms. Speed gap, if any, should not appear endangered to the relative distance.  </w:t>
      </w:r>
    </w:p>
    <w:p w:rsidR="002B317A" w:rsidRDefault="00DC0D6E">
      <w:pPr>
        <w:spacing w:before="120" w:after="120"/>
        <w:rPr>
          <w:b/>
          <w:sz w:val="20"/>
          <w:u w:val="single"/>
        </w:rPr>
      </w:pPr>
      <w:r>
        <w:rPr>
          <w:rFonts w:hint="eastAsia"/>
          <w:b/>
          <w:sz w:val="20"/>
          <w:u w:val="single"/>
        </w:rPr>
        <w:t>Platooning</w:t>
      </w:r>
    </w:p>
    <w:p w:rsidR="002B317A" w:rsidRDefault="00DC0D6E">
      <w:pPr>
        <w:pStyle w:val="YJ--"/>
        <w:spacing w:before="120" w:after="120"/>
      </w:pPr>
      <w:r>
        <w:rPr>
          <w:rFonts w:hint="eastAsia"/>
        </w:rPr>
        <w:t>According to section 5.5 in [9], under this use case, a group of vehicles such as trucks travelling from wa</w:t>
      </w:r>
      <w:r>
        <w:rPr>
          <w:rFonts w:hint="eastAsia"/>
        </w:rPr>
        <w:t xml:space="preserve">rehouse facilities to a transportation area e.g. rail, ship drive closer, in a coordinated manner to decrease fuel consumption, increase efficiency and reduce traffic congestion. In steady state, the positioning accuracy could be up to 0.5m. Service level </w:t>
      </w:r>
      <w:r>
        <w:rPr>
          <w:rFonts w:hint="eastAsia"/>
        </w:rPr>
        <w:t>latency ranges from 50ms, 100ms to around 1000ms corresponding to the MV-MV(member vehicle), HV(head vehicle)-MV or HV-CA(cloud assistance) scenario respectively.</w:t>
      </w:r>
    </w:p>
    <w:p w:rsidR="002B317A" w:rsidRDefault="00DC0D6E">
      <w:pPr>
        <w:spacing w:before="120" w:after="120"/>
        <w:rPr>
          <w:b/>
          <w:sz w:val="20"/>
          <w:u w:val="single"/>
        </w:rPr>
      </w:pPr>
      <w:r>
        <w:rPr>
          <w:rFonts w:hint="eastAsia"/>
          <w:b/>
          <w:sz w:val="20"/>
          <w:u w:val="single"/>
        </w:rPr>
        <w:t>Entertainment</w:t>
      </w:r>
    </w:p>
    <w:p w:rsidR="002B317A" w:rsidRDefault="00DC0D6E">
      <w:pPr>
        <w:pStyle w:val="YJ--"/>
        <w:spacing w:before="120" w:after="120"/>
      </w:pPr>
      <w:r>
        <w:rPr>
          <w:rFonts w:hint="eastAsia"/>
        </w:rPr>
        <w:t>According to section 5.2.6 in [9], vehicle entertainment ranges from gaming, vi</w:t>
      </w:r>
      <w:r>
        <w:rPr>
          <w:rFonts w:hint="eastAsia"/>
        </w:rPr>
        <w:t>deo streaming, extended reality services which could be vehicle location based. The accuracy is in general less stringent than the other V2X applications given a zone level positioning seems sufficient. Use cases include In-Vehicle Entertainment IVE-HD Con</w:t>
      </w:r>
      <w:r>
        <w:rPr>
          <w:rFonts w:hint="eastAsia"/>
        </w:rPr>
        <w:t>tent Delivery.</w:t>
      </w:r>
    </w:p>
    <w:p w:rsidR="002B317A" w:rsidRDefault="00DC0D6E">
      <w:pPr>
        <w:pStyle w:val="YJ-Proposal"/>
        <w:spacing w:before="120" w:after="120"/>
      </w:pPr>
      <w:bookmarkStart w:id="3" w:name="_Toc66711606"/>
      <w:bookmarkStart w:id="4" w:name="_Toc66711570"/>
      <w:bookmarkStart w:id="5" w:name="_Toc66711369"/>
      <w:r>
        <w:rPr>
          <w:rFonts w:hint="eastAsia"/>
        </w:rPr>
        <w:t>Capture the following V2X use cases together with descriptions in the TR and further investigate the concrete requirements for the key components involved.</w:t>
      </w:r>
      <w:bookmarkEnd w:id="3"/>
      <w:bookmarkEnd w:id="4"/>
      <w:bookmarkEnd w:id="5"/>
    </w:p>
    <w:p w:rsidR="002B317A" w:rsidRDefault="00DC0D6E">
      <w:pPr>
        <w:pStyle w:val="YJ-Proposal"/>
        <w:numPr>
          <w:ilvl w:val="0"/>
          <w:numId w:val="0"/>
        </w:numPr>
        <w:spacing w:before="120" w:after="120"/>
        <w:rPr>
          <w:kern w:val="0"/>
        </w:rPr>
      </w:pPr>
      <w:bookmarkStart w:id="6" w:name="_Toc66711571"/>
      <w:bookmarkStart w:id="7" w:name="_Toc66711607"/>
      <w:r>
        <w:rPr>
          <w:rFonts w:hint="eastAsia"/>
          <w:kern w:val="0"/>
        </w:rPr>
        <w:t xml:space="preserve">- </w:t>
      </w:r>
      <w:r>
        <w:rPr>
          <w:kern w:val="0"/>
        </w:rPr>
        <w:t xml:space="preserve">Automotive: sensor and state map </w:t>
      </w:r>
      <w:r>
        <w:rPr>
          <w:rFonts w:hint="eastAsia"/>
          <w:kern w:val="0"/>
        </w:rPr>
        <w:t>sharing</w:t>
      </w:r>
      <w:bookmarkEnd w:id="6"/>
      <w:bookmarkEnd w:id="7"/>
    </w:p>
    <w:p w:rsidR="002B317A" w:rsidRDefault="00DC0D6E">
      <w:pPr>
        <w:pStyle w:val="YJ-Proposal"/>
        <w:numPr>
          <w:ilvl w:val="0"/>
          <w:numId w:val="0"/>
        </w:numPr>
        <w:spacing w:before="120" w:after="120"/>
        <w:rPr>
          <w:kern w:val="0"/>
        </w:rPr>
      </w:pPr>
      <w:bookmarkStart w:id="8" w:name="_Toc66711572"/>
      <w:bookmarkStart w:id="9" w:name="_Toc66711608"/>
      <w:r>
        <w:rPr>
          <w:rFonts w:hint="eastAsia"/>
          <w:kern w:val="0"/>
        </w:rPr>
        <w:t>- Autonomous Driving</w:t>
      </w:r>
      <w:bookmarkEnd w:id="8"/>
      <w:bookmarkEnd w:id="9"/>
    </w:p>
    <w:p w:rsidR="002B317A" w:rsidRDefault="00DC0D6E">
      <w:pPr>
        <w:pStyle w:val="YJ-Proposal"/>
        <w:numPr>
          <w:ilvl w:val="0"/>
          <w:numId w:val="0"/>
        </w:numPr>
        <w:spacing w:before="120" w:after="120"/>
        <w:rPr>
          <w:kern w:val="0"/>
        </w:rPr>
      </w:pPr>
      <w:bookmarkStart w:id="10" w:name="_Toc66711609"/>
      <w:bookmarkStart w:id="11" w:name="_Toc66711573"/>
      <w:r>
        <w:rPr>
          <w:rFonts w:hint="eastAsia"/>
          <w:kern w:val="0"/>
        </w:rPr>
        <w:t xml:space="preserve">- Assisted Driving </w:t>
      </w:r>
      <w:r>
        <w:rPr>
          <w:rFonts w:hint="eastAsia"/>
          <w:kern w:val="0"/>
        </w:rPr>
        <w:t>Applications</w:t>
      </w:r>
      <w:bookmarkEnd w:id="10"/>
      <w:bookmarkEnd w:id="11"/>
    </w:p>
    <w:p w:rsidR="002B317A" w:rsidRDefault="00DC0D6E">
      <w:pPr>
        <w:pStyle w:val="YJ-Proposal"/>
        <w:numPr>
          <w:ilvl w:val="0"/>
          <w:numId w:val="0"/>
        </w:numPr>
        <w:spacing w:before="120" w:after="120"/>
        <w:rPr>
          <w:kern w:val="0"/>
        </w:rPr>
      </w:pPr>
      <w:bookmarkStart w:id="12" w:name="_Toc66711574"/>
      <w:bookmarkStart w:id="13" w:name="_Toc66711610"/>
      <w:r>
        <w:rPr>
          <w:rFonts w:hint="eastAsia"/>
          <w:kern w:val="0"/>
        </w:rPr>
        <w:t>- Remote driving and Tele-Operating Aspects</w:t>
      </w:r>
      <w:bookmarkEnd w:id="12"/>
      <w:bookmarkEnd w:id="13"/>
    </w:p>
    <w:p w:rsidR="002B317A" w:rsidRDefault="00DC0D6E">
      <w:pPr>
        <w:pStyle w:val="YJ-Proposal"/>
        <w:numPr>
          <w:ilvl w:val="0"/>
          <w:numId w:val="0"/>
        </w:numPr>
        <w:spacing w:before="120" w:after="120"/>
        <w:rPr>
          <w:kern w:val="0"/>
        </w:rPr>
      </w:pPr>
      <w:bookmarkStart w:id="14" w:name="_Toc66711611"/>
      <w:bookmarkStart w:id="15" w:name="_Toc66711575"/>
      <w:r>
        <w:rPr>
          <w:rFonts w:hint="eastAsia"/>
          <w:kern w:val="0"/>
        </w:rPr>
        <w:t>- Traffic Flow Management</w:t>
      </w:r>
      <w:bookmarkEnd w:id="14"/>
      <w:bookmarkEnd w:id="15"/>
    </w:p>
    <w:p w:rsidR="002B317A" w:rsidRDefault="00DC0D6E">
      <w:pPr>
        <w:pStyle w:val="YJ-Proposal"/>
        <w:numPr>
          <w:ilvl w:val="0"/>
          <w:numId w:val="0"/>
        </w:numPr>
        <w:spacing w:before="120" w:after="120"/>
        <w:rPr>
          <w:kern w:val="0"/>
        </w:rPr>
      </w:pPr>
      <w:bookmarkStart w:id="16" w:name="_Toc66711612"/>
      <w:bookmarkStart w:id="17" w:name="_Toc66711576"/>
      <w:r>
        <w:rPr>
          <w:rFonts w:hint="eastAsia"/>
          <w:kern w:val="0"/>
        </w:rPr>
        <w:t>- Vehicle Operations Management</w:t>
      </w:r>
      <w:bookmarkEnd w:id="16"/>
      <w:bookmarkEnd w:id="17"/>
    </w:p>
    <w:p w:rsidR="002B317A" w:rsidRDefault="00DC0D6E">
      <w:pPr>
        <w:pStyle w:val="YJ-Proposal"/>
        <w:numPr>
          <w:ilvl w:val="0"/>
          <w:numId w:val="0"/>
        </w:numPr>
        <w:spacing w:before="120" w:after="120"/>
        <w:rPr>
          <w:kern w:val="0"/>
        </w:rPr>
      </w:pPr>
      <w:bookmarkStart w:id="18" w:name="_Toc66711577"/>
      <w:bookmarkStart w:id="19" w:name="_Toc66711613"/>
      <w:r>
        <w:rPr>
          <w:rFonts w:hint="eastAsia"/>
          <w:kern w:val="0"/>
        </w:rPr>
        <w:t>- Platooning</w:t>
      </w:r>
      <w:bookmarkEnd w:id="18"/>
      <w:bookmarkEnd w:id="19"/>
    </w:p>
    <w:p w:rsidR="002B317A" w:rsidRDefault="00DC0D6E">
      <w:pPr>
        <w:pStyle w:val="YJ-Proposal"/>
        <w:numPr>
          <w:ilvl w:val="0"/>
          <w:numId w:val="0"/>
        </w:numPr>
        <w:spacing w:before="120" w:after="120"/>
        <w:rPr>
          <w:kern w:val="0"/>
        </w:rPr>
      </w:pPr>
      <w:bookmarkStart w:id="20" w:name="_Toc66711614"/>
      <w:bookmarkStart w:id="21" w:name="_Toc66711578"/>
      <w:r>
        <w:rPr>
          <w:rFonts w:hint="eastAsia"/>
          <w:kern w:val="0"/>
        </w:rPr>
        <w:t>- Entertainment</w:t>
      </w:r>
      <w:bookmarkEnd w:id="20"/>
      <w:bookmarkEnd w:id="21"/>
    </w:p>
    <w:p w:rsidR="002B317A" w:rsidRDefault="00DC0D6E">
      <w:pPr>
        <w:pStyle w:val="2"/>
        <w:spacing w:beforeLines="0" w:afterLines="0" w:line="240" w:lineRule="auto"/>
        <w:ind w:left="200" w:right="210"/>
        <w:jc w:val="left"/>
      </w:pPr>
      <w:r>
        <w:rPr>
          <w:rFonts w:hint="eastAsia"/>
        </w:rPr>
        <w:t>Public Safety</w:t>
      </w:r>
    </w:p>
    <w:p w:rsidR="002B317A" w:rsidRDefault="00DC0D6E">
      <w:pPr>
        <w:pStyle w:val="YJ--"/>
        <w:spacing w:before="120" w:after="120"/>
      </w:pPr>
      <w:r>
        <w:rPr>
          <w:rFonts w:hint="eastAsia"/>
        </w:rPr>
        <w:t>Public Safety related use cases and positioning related requirement are captured mainly in [4] and</w:t>
      </w:r>
      <w:r>
        <w:rPr>
          <w:rFonts w:hint="eastAsia"/>
        </w:rPr>
        <w:t xml:space="preserve"> [3] respectively. The following use case categories are synthesized according to section 5.4 of [4]. </w:t>
      </w:r>
    </w:p>
    <w:p w:rsidR="002B317A" w:rsidRDefault="00DC0D6E">
      <w:pPr>
        <w:spacing w:before="120" w:after="120"/>
        <w:rPr>
          <w:b/>
          <w:sz w:val="20"/>
          <w:u w:val="single"/>
        </w:rPr>
      </w:pPr>
      <w:r>
        <w:rPr>
          <w:rFonts w:hint="eastAsia"/>
          <w:b/>
          <w:sz w:val="20"/>
          <w:u w:val="single"/>
        </w:rPr>
        <w:t>Emergency Calls</w:t>
      </w:r>
    </w:p>
    <w:p w:rsidR="002B317A" w:rsidRDefault="00DC0D6E">
      <w:pPr>
        <w:pStyle w:val="YJ--"/>
        <w:spacing w:before="120" w:after="120"/>
      </w:pPr>
      <w:r>
        <w:rPr>
          <w:rFonts w:hint="eastAsia"/>
        </w:rPr>
        <w:t>Emergency calls and response include the fol</w:t>
      </w:r>
      <w:r w:rsidR="00F60E48">
        <w:rPr>
          <w:rFonts w:hint="eastAsia"/>
        </w:rPr>
        <w:t xml:space="preserve">lowing procedures. Firstly the </w:t>
      </w:r>
      <w:bookmarkStart w:id="22" w:name="_GoBack"/>
      <w:bookmarkEnd w:id="22"/>
      <w:r>
        <w:rPr>
          <w:rFonts w:hint="eastAsia"/>
        </w:rPr>
        <w:t xml:space="preserve">emergency situation such as fire, accident or medical </w:t>
      </w:r>
      <w:r>
        <w:rPr>
          <w:rFonts w:hint="eastAsia"/>
        </w:rPr>
        <w:t>emergency is witnessed. Upon the discovery of such emergency situation, the witness shall initiate a notification to a local Public Safety Answering Point (PSAP). A resultant positioning function shall be initiated automatically with 3D positioning accurac</w:t>
      </w:r>
      <w:r>
        <w:rPr>
          <w:rFonts w:hint="eastAsia"/>
        </w:rPr>
        <w:t xml:space="preserve">y according to regulatory requirements including minimal latency, precision among other KPIs. The PSAP shall dispatch the relevant persons in charge to address the emergency issue. Given above, the use case features regulatory dependent requirement and an </w:t>
      </w:r>
      <w:r>
        <w:rPr>
          <w:rFonts w:hint="eastAsia"/>
        </w:rPr>
        <w:t>exemplary requirement from FCC is provided as follows.</w:t>
      </w:r>
    </w:p>
    <w:p w:rsidR="002B317A" w:rsidRDefault="00DC0D6E">
      <w:pPr>
        <w:pStyle w:val="B1"/>
        <w:spacing w:before="120" w:after="120"/>
        <w:rPr>
          <w:sz w:val="20"/>
        </w:rPr>
      </w:pPr>
      <w:r>
        <w:rPr>
          <w:sz w:val="20"/>
        </w:rPr>
        <w:t>- Accuracy [&lt; 50m] horizontal ([80%]), [&lt; 3 m] vertical ([80%])</w:t>
      </w:r>
    </w:p>
    <w:p w:rsidR="002B317A" w:rsidRDefault="00DC0D6E">
      <w:pPr>
        <w:pStyle w:val="B1"/>
        <w:spacing w:before="120" w:after="120"/>
        <w:rPr>
          <w:sz w:val="20"/>
        </w:rPr>
      </w:pPr>
      <w:r>
        <w:rPr>
          <w:sz w:val="20"/>
        </w:rPr>
        <w:t xml:space="preserve">- Latency and TTFF [&lt; 30 seconds] </w:t>
      </w:r>
    </w:p>
    <w:p w:rsidR="002B317A" w:rsidRDefault="00DC0D6E">
      <w:pPr>
        <w:pStyle w:val="B1"/>
        <w:spacing w:before="120" w:after="120"/>
        <w:rPr>
          <w:sz w:val="20"/>
        </w:rPr>
      </w:pPr>
      <w:r>
        <w:rPr>
          <w:sz w:val="20"/>
        </w:rPr>
        <w:t>- Availability [&gt; 95%]</w:t>
      </w:r>
    </w:p>
    <w:p w:rsidR="002B317A" w:rsidRDefault="00DC0D6E">
      <w:pPr>
        <w:pStyle w:val="B1"/>
        <w:spacing w:before="120" w:after="120"/>
        <w:rPr>
          <w:sz w:val="20"/>
        </w:rPr>
      </w:pPr>
      <w:r>
        <w:rPr>
          <w:sz w:val="20"/>
        </w:rPr>
        <w:t>- Environment of use: indoor and outdoor</w:t>
      </w:r>
    </w:p>
    <w:p w:rsidR="002B317A" w:rsidRDefault="00DC0D6E">
      <w:pPr>
        <w:pStyle w:val="NO"/>
      </w:pPr>
      <w:r>
        <w:lastRenderedPageBreak/>
        <w:t>NOTE 1: The aforementioned requirement</w:t>
      </w:r>
      <w:r>
        <w:t>s are based on FCC benchmarks to be met around by 2020/2021. These may change in the future, as the ultimate goal of the regulatory agencies is to get to sufficient accuracy to determine ‘which door to knock on’ in an office or apartment building.</w:t>
      </w:r>
    </w:p>
    <w:p w:rsidR="002B317A" w:rsidRDefault="00DC0D6E">
      <w:pPr>
        <w:pStyle w:val="NO"/>
      </w:pPr>
      <w:r>
        <w:t xml:space="preserve">NOTE 2: </w:t>
      </w:r>
      <w:r>
        <w:t>The aforementioned requirements are meant throughout the 5G positioning service area.</w:t>
      </w:r>
    </w:p>
    <w:p w:rsidR="002B317A" w:rsidRDefault="00DC0D6E">
      <w:pPr>
        <w:pStyle w:val="NO"/>
        <w:rPr>
          <w:lang w:eastAsia="zh-CN"/>
        </w:rPr>
      </w:pPr>
      <w:r>
        <w:t>NOTE 3: The vertical positioning requirement should be sufficiently accurate to determine the floor.</w:t>
      </w:r>
    </w:p>
    <w:p w:rsidR="002B317A" w:rsidRDefault="00DC0D6E">
      <w:pPr>
        <w:spacing w:before="120" w:after="120"/>
        <w:rPr>
          <w:b/>
          <w:sz w:val="20"/>
          <w:u w:val="single"/>
        </w:rPr>
      </w:pPr>
      <w:r>
        <w:rPr>
          <w:rFonts w:hint="eastAsia"/>
          <w:b/>
          <w:sz w:val="20"/>
          <w:u w:val="single"/>
        </w:rPr>
        <w:t xml:space="preserve">Man-down during 1st Responder Operation </w:t>
      </w:r>
    </w:p>
    <w:p w:rsidR="002B317A" w:rsidRDefault="00DC0D6E">
      <w:pPr>
        <w:pStyle w:val="YJ--"/>
        <w:spacing w:before="120" w:after="120"/>
      </w:pPr>
      <w:r>
        <w:rPr>
          <w:rFonts w:hint="eastAsia"/>
        </w:rPr>
        <w:t>An emergency service squad c</w:t>
      </w:r>
      <w:r>
        <w:rPr>
          <w:rFonts w:hint="eastAsia"/>
        </w:rPr>
        <w:t xml:space="preserve">onsisting of 1st Responders are engaged in an emergence situation such as fire evacuation. One of the 1st Respondent is compromised due to emergency situation. The UE attached to the respondent initiates automatically a positioning procedure. The position </w:t>
      </w:r>
      <w:r>
        <w:rPr>
          <w:rFonts w:hint="eastAsia"/>
        </w:rPr>
        <w:t>shall then be distributed to all the peer respondents within the squad for in time aid. Requirements vary with the circumstances, e.g. whether the situation happens in indoor or outdoor scenarios.</w:t>
      </w:r>
    </w:p>
    <w:p w:rsidR="002B317A" w:rsidRDefault="00DC0D6E">
      <w:pPr>
        <w:pStyle w:val="YJ--"/>
        <w:spacing w:before="120" w:after="120"/>
      </w:pPr>
      <w:r>
        <w:t>For outdoor location the 5G System shall provide a position</w:t>
      </w:r>
      <w:r>
        <w:t>ing service with three-dimensional position accuracy and associated KPI targets required by mission critical organizations as follows:</w:t>
      </w:r>
    </w:p>
    <w:p w:rsidR="002B317A" w:rsidRDefault="00DC0D6E">
      <w:pPr>
        <w:spacing w:before="120" w:after="120"/>
        <w:rPr>
          <w:sz w:val="20"/>
        </w:rPr>
      </w:pPr>
      <w:r>
        <w:rPr>
          <w:sz w:val="20"/>
        </w:rPr>
        <w:t>- Accuracy &lt; [1m] horizontal [95%], &lt; [0.3] meters vertical [95%]</w:t>
      </w:r>
    </w:p>
    <w:p w:rsidR="002B317A" w:rsidRDefault="00DC0D6E">
      <w:pPr>
        <w:spacing w:before="120" w:after="120"/>
        <w:rPr>
          <w:sz w:val="20"/>
        </w:rPr>
      </w:pPr>
      <w:r>
        <w:rPr>
          <w:sz w:val="20"/>
        </w:rPr>
        <w:t>- Latency &lt; [5] seconds</w:t>
      </w:r>
    </w:p>
    <w:p w:rsidR="002B317A" w:rsidRDefault="00DC0D6E">
      <w:pPr>
        <w:spacing w:before="120" w:after="120"/>
        <w:rPr>
          <w:sz w:val="20"/>
        </w:rPr>
      </w:pPr>
      <w:r>
        <w:rPr>
          <w:sz w:val="20"/>
        </w:rPr>
        <w:t xml:space="preserve">- TTFF &lt; [10] seconds </w:t>
      </w:r>
    </w:p>
    <w:p w:rsidR="002B317A" w:rsidRDefault="00DC0D6E">
      <w:pPr>
        <w:spacing w:before="120" w:after="120"/>
        <w:rPr>
          <w:sz w:val="20"/>
        </w:rPr>
      </w:pPr>
      <w:r>
        <w:rPr>
          <w:sz w:val="20"/>
        </w:rPr>
        <w:t xml:space="preserve">- </w:t>
      </w:r>
      <w:r>
        <w:rPr>
          <w:sz w:val="20"/>
        </w:rPr>
        <w:t>Availability &gt; [98%]</w:t>
      </w:r>
    </w:p>
    <w:p w:rsidR="002B317A" w:rsidRDefault="00DC0D6E">
      <w:pPr>
        <w:pStyle w:val="YJ--"/>
        <w:spacing w:before="120" w:after="120"/>
      </w:pPr>
      <w:r>
        <w:t>For indoor location the 5G System shall provide a positioning service with three-dimensional position accuracy and associated KPI targets required by mission critical organizations as follows:</w:t>
      </w:r>
    </w:p>
    <w:p w:rsidR="002B317A" w:rsidRDefault="00DC0D6E">
      <w:pPr>
        <w:spacing w:before="120" w:after="120"/>
        <w:rPr>
          <w:sz w:val="20"/>
        </w:rPr>
      </w:pPr>
      <w:r>
        <w:rPr>
          <w:sz w:val="20"/>
        </w:rPr>
        <w:t xml:space="preserve">- Accuracy &lt; [1m] horizontal [95%], &lt; [2] </w:t>
      </w:r>
      <w:r>
        <w:rPr>
          <w:sz w:val="20"/>
        </w:rPr>
        <w:t>meters vertical [95%]</w:t>
      </w:r>
    </w:p>
    <w:p w:rsidR="002B317A" w:rsidRDefault="00DC0D6E">
      <w:pPr>
        <w:spacing w:before="120" w:after="120"/>
        <w:rPr>
          <w:sz w:val="20"/>
        </w:rPr>
      </w:pPr>
      <w:r>
        <w:rPr>
          <w:sz w:val="20"/>
        </w:rPr>
        <w:t xml:space="preserve">- Latency &lt; [1] seconds </w:t>
      </w:r>
    </w:p>
    <w:p w:rsidR="002B317A" w:rsidRDefault="00DC0D6E">
      <w:pPr>
        <w:spacing w:before="120" w:after="120"/>
        <w:rPr>
          <w:sz w:val="20"/>
        </w:rPr>
      </w:pPr>
      <w:r>
        <w:rPr>
          <w:sz w:val="20"/>
        </w:rPr>
        <w:t xml:space="preserve">- TTFF &lt; [10] seconds </w:t>
      </w:r>
    </w:p>
    <w:p w:rsidR="002B317A" w:rsidRDefault="00DC0D6E">
      <w:pPr>
        <w:spacing w:before="120" w:after="120"/>
        <w:rPr>
          <w:sz w:val="20"/>
        </w:rPr>
      </w:pPr>
      <w:r>
        <w:rPr>
          <w:sz w:val="20"/>
        </w:rPr>
        <w:t>- Availability &gt; [95%]</w:t>
      </w:r>
    </w:p>
    <w:p w:rsidR="002B317A" w:rsidRDefault="00DC0D6E">
      <w:pPr>
        <w:pStyle w:val="NO"/>
        <w:rPr>
          <w:lang w:eastAsia="zh-CN"/>
        </w:rPr>
      </w:pPr>
      <w:r>
        <w:t>NOTE:</w:t>
      </w:r>
      <w:r>
        <w:tab/>
        <w:t>Both absolute position and relative position can be used to meet the accuracy requirements based on operational needs.</w:t>
      </w:r>
    </w:p>
    <w:p w:rsidR="002B317A" w:rsidRDefault="00DC0D6E">
      <w:pPr>
        <w:spacing w:before="120" w:after="120"/>
        <w:rPr>
          <w:b/>
          <w:sz w:val="20"/>
          <w:u w:val="single"/>
        </w:rPr>
      </w:pPr>
      <w:r>
        <w:rPr>
          <w:rFonts w:hint="eastAsia"/>
          <w:b/>
          <w:sz w:val="20"/>
          <w:u w:val="single"/>
        </w:rPr>
        <w:t>Alerting Emergence Service Providers</w:t>
      </w:r>
    </w:p>
    <w:p w:rsidR="002B317A" w:rsidRDefault="00DC0D6E">
      <w:pPr>
        <w:pStyle w:val="YJ--"/>
        <w:spacing w:before="120" w:after="120"/>
      </w:pPr>
      <w:r>
        <w:rPr>
          <w:rFonts w:hint="eastAsia"/>
        </w:rPr>
        <w:t>T</w:t>
      </w:r>
      <w:r>
        <w:rPr>
          <w:rFonts w:hint="eastAsia"/>
        </w:rPr>
        <w:t xml:space="preserve">he positioning information of the responder network shall be maintained such that the dispatch of emergency service situation shall be executed immediately on demand. Not only the layman responder network but the emergency service device such as AED shall </w:t>
      </w:r>
      <w:r>
        <w:rPr>
          <w:rFonts w:hint="eastAsia"/>
        </w:rPr>
        <w:t>be localized. The respective requirement is provided in the following.</w:t>
      </w:r>
    </w:p>
    <w:p w:rsidR="002B317A" w:rsidRDefault="00DC0D6E">
      <w:pPr>
        <w:pStyle w:val="YJ--"/>
        <w:spacing w:before="120" w:after="120"/>
      </w:pPr>
      <w:r>
        <w:rPr>
          <w:rFonts w:hint="eastAsia"/>
        </w:rPr>
        <w:t xml:space="preserve">Layman Network: </w:t>
      </w:r>
      <w:r>
        <w:t>The 5G system (in conjunction with the layman responder network) shall be enabled to alert the group of [~ 10] potential responders with shortest travel time to the vict</w:t>
      </w:r>
      <w:r>
        <w:t>im, scanned from a radius of [5 km] from the victim. This requires localization of each responder with a horizontal resolution of less than [50 m] and, indoors, a vertical resolution sufficiently accurate to determine the floor, so typically less than [3 m</w:t>
      </w:r>
      <w:r>
        <w:t>]. This localization accuracy needs to be achieved throughout the 5G positioning service area.</w:t>
      </w:r>
    </w:p>
    <w:p w:rsidR="002B317A" w:rsidRDefault="00DC0D6E">
      <w:pPr>
        <w:pStyle w:val="YJ--"/>
        <w:spacing w:before="120" w:after="120"/>
      </w:pPr>
      <w:r>
        <w:rPr>
          <w:rFonts w:hint="eastAsia"/>
        </w:rPr>
        <w:t xml:space="preserve">Emergency Device: </w:t>
      </w:r>
      <w:r>
        <w:t>The 5G System shall be able to provide positioning service with a horizontal accuracy less than [10 m] and, indoors, with a vertical accuracy s</w:t>
      </w:r>
      <w:r>
        <w:t>ufficiently accurate to determine the floor, so typically less than [3 m]. This localization accuracy needs to be achieved throughout the 5G positioning service area.</w:t>
      </w:r>
    </w:p>
    <w:p w:rsidR="002B317A" w:rsidRDefault="00DC0D6E">
      <w:pPr>
        <w:pStyle w:val="YJ--"/>
        <w:spacing w:before="120" w:after="120"/>
      </w:pPr>
      <w:r>
        <w:t>The 5G system shall allow UEs to trigger a different update rate of the position data bas</w:t>
      </w:r>
      <w:r>
        <w:t>ed on whether the UE is moving or not.</w:t>
      </w:r>
    </w:p>
    <w:p w:rsidR="002B317A" w:rsidRDefault="00DC0D6E">
      <w:pPr>
        <w:spacing w:before="120" w:after="120"/>
        <w:rPr>
          <w:b/>
          <w:sz w:val="20"/>
          <w:u w:val="single"/>
        </w:rPr>
      </w:pPr>
      <w:r>
        <w:rPr>
          <w:rFonts w:hint="eastAsia"/>
          <w:b/>
          <w:sz w:val="20"/>
          <w:u w:val="single"/>
        </w:rPr>
        <w:t>Unmanned Aerial Vehicle (UAV)</w:t>
      </w:r>
    </w:p>
    <w:p w:rsidR="002B317A" w:rsidRDefault="00DC0D6E">
      <w:pPr>
        <w:pStyle w:val="YJ--"/>
        <w:spacing w:before="120" w:after="120"/>
      </w:pPr>
      <w:r>
        <w:rPr>
          <w:rFonts w:hint="eastAsia"/>
        </w:rPr>
        <w:t>UAV or drones could be leveraged to serve the purpose of public safety such as patrolling of wildfire or emergency situation. Under such use cases,</w:t>
      </w:r>
    </w:p>
    <w:p w:rsidR="002B317A" w:rsidRDefault="00DC0D6E">
      <w:pPr>
        <w:pStyle w:val="YJ--"/>
        <w:spacing w:before="120" w:after="120"/>
      </w:pPr>
      <w:r>
        <w:rPr>
          <w:rFonts w:hint="eastAsia"/>
        </w:rPr>
        <w:t>- The UAV is likely to backhaul the cap</w:t>
      </w:r>
      <w:r>
        <w:rPr>
          <w:rFonts w:hint="eastAsia"/>
        </w:rPr>
        <w:t>tured images together with the geolocalisation information. This would facilitate a smooth re-combination at the application server.</w:t>
      </w:r>
    </w:p>
    <w:p w:rsidR="002B317A" w:rsidRDefault="00DC0D6E">
      <w:pPr>
        <w:pStyle w:val="YJ--"/>
        <w:spacing w:before="120" w:after="120"/>
      </w:pPr>
      <w:r>
        <w:rPr>
          <w:rFonts w:hint="eastAsia"/>
        </w:rPr>
        <w:lastRenderedPageBreak/>
        <w:t>- The UAV should have access to  real-time location information to aid the automatic landing, take-off and cruising.</w:t>
      </w:r>
    </w:p>
    <w:p w:rsidR="002B317A" w:rsidRDefault="00DC0D6E">
      <w:pPr>
        <w:pStyle w:val="YJ--"/>
        <w:spacing w:before="120" w:after="120"/>
      </w:pPr>
      <w:r>
        <w:rPr>
          <w:rFonts w:hint="eastAsia"/>
        </w:rPr>
        <w:t>The po</w:t>
      </w:r>
      <w:r>
        <w:rPr>
          <w:rFonts w:hint="eastAsia"/>
        </w:rPr>
        <w:t xml:space="preserve">sitioning requirement should thus be of high accuracy nature </w:t>
      </w:r>
      <w:r>
        <w:t>in both the horizontal and vertical domain, as well as high level of availability and reliability – may involve absolute or relative positioning.</w:t>
      </w:r>
      <w:r>
        <w:rPr>
          <w:rFonts w:hint="eastAsia"/>
        </w:rPr>
        <w:t xml:space="preserve"> </w:t>
      </w:r>
      <w:r>
        <w:t>Service area is outdoor. Accuracy: 0,1-0,5m horiz</w:t>
      </w:r>
      <w:r>
        <w:t>ontal, 0,1 – 0,3m vertical,</w:t>
      </w:r>
      <w:r>
        <w:rPr>
          <w:rFonts w:hint="eastAsia"/>
        </w:rPr>
        <w:t xml:space="preserve"> </w:t>
      </w:r>
      <w:r>
        <w:t xml:space="preserve">Velocity &lt;0,5m/s, Availability: 99-99,9%, latency requirement may be &lt;150 ms </w:t>
      </w:r>
    </w:p>
    <w:p w:rsidR="002B317A" w:rsidRDefault="00DC0D6E">
      <w:pPr>
        <w:pStyle w:val="YJ-Proposal"/>
        <w:spacing w:before="120" w:after="120"/>
      </w:pPr>
      <w:bookmarkStart w:id="23" w:name="_Toc66711370"/>
      <w:bookmarkStart w:id="24" w:name="_Toc66711579"/>
      <w:bookmarkStart w:id="25" w:name="_Toc66711615"/>
      <w:r>
        <w:rPr>
          <w:rFonts w:hint="eastAsia"/>
        </w:rPr>
        <w:t>Capture the following public safety use cases together with descriptions in the TR and further investigate the concrete requirements for the key compo</w:t>
      </w:r>
      <w:r>
        <w:rPr>
          <w:rFonts w:hint="eastAsia"/>
        </w:rPr>
        <w:t>nents.</w:t>
      </w:r>
      <w:bookmarkEnd w:id="23"/>
      <w:bookmarkEnd w:id="24"/>
      <w:bookmarkEnd w:id="25"/>
    </w:p>
    <w:p w:rsidR="002B317A" w:rsidRDefault="00DC0D6E">
      <w:pPr>
        <w:pStyle w:val="YJ-Proposal"/>
        <w:numPr>
          <w:ilvl w:val="0"/>
          <w:numId w:val="0"/>
        </w:numPr>
        <w:spacing w:before="120" w:after="120"/>
        <w:rPr>
          <w:kern w:val="0"/>
        </w:rPr>
      </w:pPr>
      <w:bookmarkStart w:id="26" w:name="_Toc66711616"/>
      <w:bookmarkStart w:id="27" w:name="_Toc66711580"/>
      <w:r>
        <w:rPr>
          <w:rFonts w:hint="eastAsia"/>
          <w:kern w:val="0"/>
        </w:rPr>
        <w:t>- Emergency Calls</w:t>
      </w:r>
      <w:bookmarkEnd w:id="26"/>
      <w:bookmarkEnd w:id="27"/>
    </w:p>
    <w:p w:rsidR="002B317A" w:rsidRDefault="00DC0D6E">
      <w:pPr>
        <w:pStyle w:val="YJ-Proposal"/>
        <w:numPr>
          <w:ilvl w:val="0"/>
          <w:numId w:val="0"/>
        </w:numPr>
        <w:spacing w:before="120" w:after="120"/>
        <w:rPr>
          <w:kern w:val="0"/>
        </w:rPr>
      </w:pPr>
      <w:bookmarkStart w:id="28" w:name="_Toc66711581"/>
      <w:bookmarkStart w:id="29" w:name="_Toc66711617"/>
      <w:r>
        <w:rPr>
          <w:rFonts w:hint="eastAsia"/>
          <w:kern w:val="0"/>
        </w:rPr>
        <w:t>- Man-down during 1st Responder Operation</w:t>
      </w:r>
      <w:bookmarkEnd w:id="28"/>
      <w:bookmarkEnd w:id="29"/>
      <w:r>
        <w:rPr>
          <w:rFonts w:hint="eastAsia"/>
          <w:kern w:val="0"/>
        </w:rPr>
        <w:t xml:space="preserve"> </w:t>
      </w:r>
    </w:p>
    <w:p w:rsidR="002B317A" w:rsidRDefault="00DC0D6E">
      <w:pPr>
        <w:pStyle w:val="YJ-Proposal"/>
        <w:numPr>
          <w:ilvl w:val="0"/>
          <w:numId w:val="0"/>
        </w:numPr>
        <w:spacing w:before="120" w:after="120"/>
        <w:rPr>
          <w:kern w:val="0"/>
        </w:rPr>
      </w:pPr>
      <w:bookmarkStart w:id="30" w:name="_Toc66711582"/>
      <w:bookmarkStart w:id="31" w:name="_Toc66711618"/>
      <w:r>
        <w:rPr>
          <w:rFonts w:hint="eastAsia"/>
          <w:kern w:val="0"/>
        </w:rPr>
        <w:t>- Alerting Emergence Service Providers</w:t>
      </w:r>
      <w:bookmarkEnd w:id="30"/>
      <w:bookmarkEnd w:id="31"/>
    </w:p>
    <w:p w:rsidR="002B317A" w:rsidRDefault="00DC0D6E">
      <w:pPr>
        <w:pStyle w:val="YJ-Proposal"/>
        <w:numPr>
          <w:ilvl w:val="0"/>
          <w:numId w:val="0"/>
        </w:numPr>
        <w:spacing w:before="120" w:after="120"/>
        <w:rPr>
          <w:kern w:val="0"/>
        </w:rPr>
      </w:pPr>
      <w:bookmarkStart w:id="32" w:name="_Toc66711583"/>
      <w:bookmarkStart w:id="33" w:name="_Toc66711619"/>
      <w:r>
        <w:rPr>
          <w:rFonts w:hint="eastAsia"/>
          <w:kern w:val="0"/>
        </w:rPr>
        <w:t>- Unmanned Aerial Vehicle (UAV)</w:t>
      </w:r>
      <w:bookmarkEnd w:id="32"/>
      <w:bookmarkEnd w:id="33"/>
    </w:p>
    <w:p w:rsidR="002B317A" w:rsidRDefault="00DC0D6E">
      <w:pPr>
        <w:pStyle w:val="2"/>
        <w:spacing w:beforeLines="0" w:afterLines="0" w:line="240" w:lineRule="auto"/>
        <w:ind w:left="200" w:right="210"/>
        <w:jc w:val="left"/>
        <w:rPr>
          <w:rFonts w:eastAsia="宋体"/>
          <w:kern w:val="0"/>
          <w:lang w:val="en-GB"/>
        </w:rPr>
      </w:pPr>
      <w:r>
        <w:rPr>
          <w:rFonts w:eastAsia="宋体" w:hint="eastAsia"/>
          <w:kern w:val="0"/>
          <w:lang w:val="en-GB"/>
        </w:rPr>
        <w:t>Requirement Overview</w:t>
      </w:r>
    </w:p>
    <w:p w:rsidR="002B317A" w:rsidRDefault="00DC0D6E">
      <w:pPr>
        <w:pStyle w:val="3"/>
        <w:spacing w:beforeLines="0" w:afterLines="0" w:line="240" w:lineRule="auto"/>
        <w:ind w:right="210"/>
        <w:jc w:val="left"/>
      </w:pPr>
      <w:r>
        <w:rPr>
          <w:rFonts w:hint="eastAsia"/>
        </w:rPr>
        <w:t>Accuracy</w:t>
      </w:r>
    </w:p>
    <w:p w:rsidR="002B317A" w:rsidRDefault="00DC0D6E">
      <w:pPr>
        <w:pStyle w:val="YJ--"/>
        <w:spacing w:before="120" w:after="120"/>
      </w:pPr>
      <w:r>
        <w:rPr>
          <w:rFonts w:hint="eastAsia"/>
        </w:rPr>
        <w:t xml:space="preserve">The following tables summarize the requirements of positioning accuracy as elaborated in the previous sections. </w:t>
      </w:r>
    </w:p>
    <w:p w:rsidR="002B317A" w:rsidRDefault="00DC0D6E">
      <w:pPr>
        <w:spacing w:before="120" w:after="120"/>
        <w:jc w:val="center"/>
      </w:pPr>
      <w:r>
        <w:t xml:space="preserve"> </w:t>
      </w:r>
    </w:p>
    <w:p w:rsidR="002B317A" w:rsidRDefault="00DC0D6E">
      <w:pPr>
        <w:pStyle w:val="a3"/>
        <w:keepNext/>
        <w:jc w:val="center"/>
      </w:pPr>
      <w:bookmarkStart w:id="34" w:name="_Ref66697624"/>
      <w:r>
        <w:lastRenderedPageBreak/>
        <w:t xml:space="preserve">Table </w:t>
      </w:r>
      <w:r>
        <w:fldChar w:fldCharType="begin"/>
      </w:r>
      <w:r>
        <w:instrText xml:space="preserve"> SEQ Table \* ARABIC </w:instrText>
      </w:r>
      <w:r>
        <w:fldChar w:fldCharType="separate"/>
      </w:r>
      <w:r>
        <w:t>1</w:t>
      </w:r>
      <w:r>
        <w:fldChar w:fldCharType="end"/>
      </w:r>
      <w:r>
        <w:rPr>
          <w:rFonts w:hint="eastAsia"/>
        </w:rPr>
        <w:t xml:space="preserve"> </w:t>
      </w:r>
      <w:r>
        <w:t>Main service scenarios and positioning</w:t>
      </w:r>
      <w:r>
        <w:rPr>
          <w:rFonts w:hint="eastAsia"/>
        </w:rPr>
        <w:t xml:space="preserve"> accuracy</w:t>
      </w:r>
      <w:r>
        <w:t xml:space="preserve"> indicators for C-V2X</w:t>
      </w:r>
      <w:bookmarkEnd w:id="34"/>
    </w:p>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5"/>
        <w:gridCol w:w="4661"/>
        <w:gridCol w:w="2024"/>
      </w:tblGrid>
      <w:tr w:rsidR="002B317A">
        <w:trPr>
          <w:trHeight w:val="270"/>
          <w:jc w:val="center"/>
        </w:trPr>
        <w:tc>
          <w:tcPr>
            <w:tcW w:w="1945"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B317A" w:rsidRDefault="00DC0D6E">
            <w:pPr>
              <w:pStyle w:val="TAH"/>
              <w:rPr>
                <w:rFonts w:ascii="Times New Roman" w:hAnsi="Times New Roman"/>
                <w:sz w:val="20"/>
                <w:lang w:eastAsia="zh-CN"/>
              </w:rPr>
            </w:pPr>
            <w:r>
              <w:rPr>
                <w:rFonts w:ascii="Times New Roman" w:hAnsi="Times New Roman" w:hint="eastAsia"/>
                <w:sz w:val="20"/>
                <w:lang w:eastAsia="zh-CN"/>
              </w:rPr>
              <w:t>Use Case Category</w:t>
            </w:r>
          </w:p>
        </w:tc>
        <w:tc>
          <w:tcPr>
            <w:tcW w:w="4661"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tcPr>
          <w:p w:rsidR="002B317A" w:rsidRDefault="00DC0D6E">
            <w:pPr>
              <w:pStyle w:val="TAH"/>
              <w:rPr>
                <w:rFonts w:ascii="Times New Roman" w:hAnsi="Times New Roman"/>
                <w:sz w:val="20"/>
                <w:lang w:eastAsia="zh-CN"/>
              </w:rPr>
            </w:pPr>
            <w:r>
              <w:rPr>
                <w:rFonts w:ascii="Times New Roman" w:hAnsi="Times New Roman"/>
                <w:sz w:val="20"/>
                <w:lang w:eastAsia="zh-CN"/>
              </w:rPr>
              <w:t>K</w:t>
            </w:r>
            <w:r>
              <w:rPr>
                <w:rFonts w:ascii="Times New Roman" w:hAnsi="Times New Roman" w:hint="eastAsia"/>
                <w:sz w:val="20"/>
                <w:lang w:eastAsia="zh-CN"/>
              </w:rPr>
              <w:t>ey Components</w:t>
            </w:r>
          </w:p>
        </w:tc>
        <w:tc>
          <w:tcPr>
            <w:tcW w:w="2024" w:type="dxa"/>
            <w:tcBorders>
              <w:top w:val="single" w:sz="4" w:space="0" w:color="auto"/>
              <w:left w:val="nil"/>
              <w:bottom w:val="single" w:sz="4" w:space="0" w:color="auto"/>
              <w:right w:val="single" w:sz="4" w:space="0" w:color="auto"/>
            </w:tcBorders>
            <w:shd w:val="clear" w:color="auto" w:fill="B6DDE8" w:themeFill="accent5" w:themeFillTint="66"/>
            <w:noWrap/>
            <w:vAlign w:val="center"/>
          </w:tcPr>
          <w:p w:rsidR="002B317A" w:rsidRDefault="00DC0D6E">
            <w:pPr>
              <w:pStyle w:val="TAH"/>
              <w:rPr>
                <w:rFonts w:ascii="Times New Roman" w:hAnsi="Times New Roman"/>
                <w:sz w:val="20"/>
              </w:rPr>
            </w:pPr>
            <w:r>
              <w:rPr>
                <w:rFonts w:ascii="Times New Roman" w:hAnsi="Times New Roman"/>
                <w:sz w:val="20"/>
              </w:rPr>
              <w:t>Accurac</w:t>
            </w:r>
            <w:r>
              <w:rPr>
                <w:rFonts w:ascii="Times New Roman" w:hAnsi="Times New Roman"/>
                <w:sz w:val="20"/>
              </w:rPr>
              <w:t xml:space="preserve">y </w:t>
            </w:r>
          </w:p>
        </w:tc>
      </w:tr>
      <w:tr w:rsidR="002B317A">
        <w:trPr>
          <w:trHeight w:val="270"/>
          <w:jc w:val="center"/>
        </w:trPr>
        <w:tc>
          <w:tcPr>
            <w:tcW w:w="1945" w:type="dxa"/>
            <w:vMerge w:val="restart"/>
            <w:tcBorders>
              <w:top w:val="single" w:sz="4" w:space="0" w:color="auto"/>
              <w:left w:val="single" w:sz="4" w:space="0" w:color="auto"/>
              <w:right w:val="single" w:sz="4" w:space="0" w:color="auto"/>
            </w:tcBorders>
            <w:shd w:val="clear" w:color="auto" w:fill="auto"/>
          </w:tcPr>
          <w:p w:rsidR="002B317A" w:rsidRDefault="00DC0D6E">
            <w:pPr>
              <w:pStyle w:val="TAL"/>
              <w:spacing w:before="120" w:after="120"/>
              <w:jc w:val="center"/>
              <w:rPr>
                <w:rFonts w:ascii="Times New Roman" w:hAnsi="Times New Roman"/>
                <w:b/>
                <w:iCs/>
                <w:sz w:val="20"/>
              </w:rPr>
            </w:pPr>
            <w:r>
              <w:rPr>
                <w:rFonts w:ascii="Times New Roman" w:hAnsi="Times New Roman"/>
                <w:b/>
                <w:iCs/>
                <w:sz w:val="20"/>
              </w:rPr>
              <w:t>Assisted Driving Applications</w:t>
            </w:r>
          </w:p>
          <w:p w:rsidR="002B317A" w:rsidRDefault="002B317A">
            <w:pPr>
              <w:pStyle w:val="TAL"/>
              <w:spacing w:before="120" w:after="120"/>
              <w:jc w:val="center"/>
              <w:rPr>
                <w:rFonts w:ascii="Times New Roman" w:hAnsi="Times New Roman"/>
                <w:b/>
                <w:iCs/>
                <w:sz w:val="20"/>
              </w:rPr>
            </w:pPr>
          </w:p>
        </w:tc>
        <w:tc>
          <w:tcPr>
            <w:tcW w:w="46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17A" w:rsidRDefault="00DC0D6E">
            <w:pPr>
              <w:pStyle w:val="TAL"/>
              <w:spacing w:before="120" w:after="120"/>
              <w:rPr>
                <w:rFonts w:ascii="Times New Roman" w:eastAsia="Times New Roman" w:hAnsi="Times New Roman"/>
                <w:sz w:val="20"/>
              </w:rPr>
            </w:pPr>
            <w:r>
              <w:rPr>
                <w:rFonts w:ascii="Times New Roman" w:eastAsia="Times New Roman" w:hAnsi="Times New Roman"/>
                <w:sz w:val="20"/>
              </w:rPr>
              <w:t>Cross-Traffic Left-Turn Assist</w:t>
            </w:r>
          </w:p>
        </w:tc>
        <w:tc>
          <w:tcPr>
            <w:tcW w:w="2024" w:type="dxa"/>
            <w:tcBorders>
              <w:top w:val="single" w:sz="4" w:space="0" w:color="auto"/>
              <w:left w:val="nil"/>
              <w:bottom w:val="single" w:sz="4" w:space="0" w:color="auto"/>
              <w:right w:val="single" w:sz="4" w:space="0" w:color="auto"/>
            </w:tcBorders>
            <w:shd w:val="clear" w:color="auto" w:fill="auto"/>
            <w:noWrap/>
            <w:vAlign w:val="center"/>
          </w:tcPr>
          <w:p w:rsidR="002B317A" w:rsidRDefault="00DC0D6E">
            <w:pPr>
              <w:pStyle w:val="TAC"/>
              <w:spacing w:before="120" w:after="120"/>
              <w:rPr>
                <w:rFonts w:ascii="Times New Roman" w:hAnsi="Times New Roman"/>
                <w:sz w:val="20"/>
              </w:rPr>
            </w:pPr>
            <w:r>
              <w:rPr>
                <w:rFonts w:ascii="Times New Roman" w:hAnsi="Times New Roman"/>
                <w:sz w:val="20"/>
              </w:rPr>
              <w:t>1.5m</w:t>
            </w:r>
          </w:p>
        </w:tc>
      </w:tr>
      <w:tr w:rsidR="002B317A">
        <w:trPr>
          <w:trHeight w:val="270"/>
          <w:jc w:val="center"/>
        </w:trPr>
        <w:tc>
          <w:tcPr>
            <w:tcW w:w="1945" w:type="dxa"/>
            <w:vMerge/>
            <w:tcBorders>
              <w:left w:val="single" w:sz="4" w:space="0" w:color="auto"/>
              <w:right w:val="single" w:sz="4" w:space="0" w:color="auto"/>
            </w:tcBorders>
            <w:shd w:val="clear" w:color="auto" w:fill="auto"/>
          </w:tcPr>
          <w:p w:rsidR="002B317A" w:rsidRDefault="002B317A">
            <w:pPr>
              <w:pStyle w:val="TAL"/>
              <w:spacing w:before="120" w:after="120"/>
              <w:rPr>
                <w:rFonts w:ascii="Times New Roman" w:eastAsia="Times New Roman" w:hAnsi="Times New Roman"/>
                <w:iCs/>
                <w:sz w:val="20"/>
              </w:rPr>
            </w:pPr>
          </w:p>
        </w:tc>
        <w:tc>
          <w:tcPr>
            <w:tcW w:w="46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17A" w:rsidRDefault="00DC0D6E">
            <w:pPr>
              <w:pStyle w:val="TAL"/>
              <w:spacing w:before="120" w:after="120"/>
              <w:rPr>
                <w:rFonts w:ascii="Times New Roman" w:eastAsia="Times New Roman" w:hAnsi="Times New Roman"/>
                <w:sz w:val="20"/>
              </w:rPr>
            </w:pPr>
            <w:r>
              <w:rPr>
                <w:rFonts w:ascii="Times New Roman" w:eastAsia="Times New Roman" w:hAnsi="Times New Roman"/>
                <w:sz w:val="20"/>
              </w:rPr>
              <w:t>Intersection Movement Assist</w:t>
            </w:r>
          </w:p>
        </w:tc>
        <w:tc>
          <w:tcPr>
            <w:tcW w:w="2024" w:type="dxa"/>
            <w:tcBorders>
              <w:top w:val="single" w:sz="4" w:space="0" w:color="auto"/>
              <w:left w:val="nil"/>
              <w:bottom w:val="single" w:sz="4" w:space="0" w:color="auto"/>
              <w:right w:val="single" w:sz="4" w:space="0" w:color="auto"/>
            </w:tcBorders>
            <w:shd w:val="clear" w:color="auto" w:fill="auto"/>
            <w:noWrap/>
            <w:vAlign w:val="center"/>
          </w:tcPr>
          <w:p w:rsidR="002B317A" w:rsidRDefault="00DC0D6E">
            <w:pPr>
              <w:pStyle w:val="TAC"/>
              <w:spacing w:before="120" w:after="120"/>
              <w:rPr>
                <w:rFonts w:ascii="Times New Roman" w:hAnsi="Times New Roman"/>
                <w:sz w:val="20"/>
              </w:rPr>
            </w:pPr>
            <w:r>
              <w:rPr>
                <w:rFonts w:ascii="Times New Roman" w:hAnsi="Times New Roman"/>
                <w:sz w:val="20"/>
              </w:rPr>
              <w:t>1.5m</w:t>
            </w:r>
          </w:p>
        </w:tc>
      </w:tr>
      <w:tr w:rsidR="002B317A">
        <w:trPr>
          <w:trHeight w:val="270"/>
          <w:jc w:val="center"/>
        </w:trPr>
        <w:tc>
          <w:tcPr>
            <w:tcW w:w="1945" w:type="dxa"/>
            <w:vMerge/>
            <w:tcBorders>
              <w:left w:val="single" w:sz="4" w:space="0" w:color="auto"/>
              <w:right w:val="single" w:sz="4" w:space="0" w:color="auto"/>
            </w:tcBorders>
            <w:shd w:val="clear" w:color="auto" w:fill="auto"/>
          </w:tcPr>
          <w:p w:rsidR="002B317A" w:rsidRDefault="002B317A">
            <w:pPr>
              <w:pStyle w:val="TAL"/>
              <w:spacing w:before="120" w:after="120"/>
              <w:rPr>
                <w:rFonts w:ascii="Times New Roman" w:eastAsia="Times New Roman" w:hAnsi="Times New Roman"/>
                <w:iCs/>
                <w:sz w:val="20"/>
              </w:rPr>
            </w:pPr>
          </w:p>
        </w:tc>
        <w:tc>
          <w:tcPr>
            <w:tcW w:w="46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17A" w:rsidRDefault="00DC0D6E">
            <w:pPr>
              <w:pStyle w:val="TAL"/>
              <w:spacing w:before="120" w:after="120"/>
              <w:rPr>
                <w:rFonts w:ascii="Times New Roman" w:eastAsia="Times New Roman" w:hAnsi="Times New Roman"/>
                <w:sz w:val="20"/>
              </w:rPr>
            </w:pPr>
            <w:r>
              <w:rPr>
                <w:rFonts w:ascii="Times New Roman" w:eastAsia="Times New Roman" w:hAnsi="Times New Roman"/>
                <w:sz w:val="20"/>
              </w:rPr>
              <w:t xml:space="preserve">Emergency brake warning </w:t>
            </w:r>
          </w:p>
        </w:tc>
        <w:tc>
          <w:tcPr>
            <w:tcW w:w="2024" w:type="dxa"/>
            <w:tcBorders>
              <w:top w:val="single" w:sz="4" w:space="0" w:color="auto"/>
              <w:left w:val="nil"/>
              <w:bottom w:val="single" w:sz="4" w:space="0" w:color="auto"/>
              <w:right w:val="single" w:sz="4" w:space="0" w:color="auto"/>
            </w:tcBorders>
            <w:shd w:val="clear" w:color="auto" w:fill="auto"/>
            <w:noWrap/>
            <w:vAlign w:val="center"/>
          </w:tcPr>
          <w:p w:rsidR="002B317A" w:rsidRDefault="00DC0D6E">
            <w:pPr>
              <w:pStyle w:val="TAC"/>
              <w:spacing w:before="120" w:after="120"/>
              <w:rPr>
                <w:rFonts w:ascii="Times New Roman" w:hAnsi="Times New Roman"/>
                <w:sz w:val="20"/>
              </w:rPr>
            </w:pPr>
            <w:r>
              <w:rPr>
                <w:rFonts w:ascii="Times New Roman" w:hAnsi="Times New Roman"/>
                <w:sz w:val="20"/>
              </w:rPr>
              <w:t>1.5m</w:t>
            </w:r>
          </w:p>
        </w:tc>
      </w:tr>
      <w:tr w:rsidR="002B317A">
        <w:trPr>
          <w:trHeight w:val="270"/>
          <w:jc w:val="center"/>
        </w:trPr>
        <w:tc>
          <w:tcPr>
            <w:tcW w:w="1945" w:type="dxa"/>
            <w:vMerge/>
            <w:tcBorders>
              <w:left w:val="single" w:sz="4" w:space="0" w:color="auto"/>
              <w:right w:val="single" w:sz="4" w:space="0" w:color="auto"/>
            </w:tcBorders>
            <w:shd w:val="clear" w:color="auto" w:fill="auto"/>
          </w:tcPr>
          <w:p w:rsidR="002B317A" w:rsidRDefault="002B317A">
            <w:pPr>
              <w:pStyle w:val="TAL"/>
              <w:spacing w:before="120" w:after="120"/>
              <w:rPr>
                <w:rFonts w:ascii="Times New Roman" w:hAnsi="Times New Roman"/>
                <w:b/>
                <w:iCs/>
                <w:sz w:val="20"/>
              </w:rPr>
            </w:pPr>
          </w:p>
        </w:tc>
        <w:tc>
          <w:tcPr>
            <w:tcW w:w="46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17A" w:rsidRDefault="00DC0D6E">
            <w:pPr>
              <w:pStyle w:val="TAL"/>
              <w:spacing w:before="120" w:after="120"/>
              <w:rPr>
                <w:rFonts w:ascii="Times New Roman" w:eastAsia="Times New Roman" w:hAnsi="Times New Roman"/>
                <w:sz w:val="20"/>
              </w:rPr>
            </w:pPr>
            <w:r>
              <w:rPr>
                <w:rFonts w:ascii="Times New Roman" w:eastAsia="Times New Roman" w:hAnsi="Times New Roman"/>
                <w:sz w:val="20"/>
              </w:rPr>
              <w:t xml:space="preserve">Vulnerable road user discovery </w:t>
            </w:r>
          </w:p>
        </w:tc>
        <w:tc>
          <w:tcPr>
            <w:tcW w:w="2024" w:type="dxa"/>
            <w:tcBorders>
              <w:top w:val="single" w:sz="4" w:space="0" w:color="auto"/>
              <w:left w:val="nil"/>
              <w:bottom w:val="single" w:sz="4" w:space="0" w:color="auto"/>
              <w:right w:val="single" w:sz="4" w:space="0" w:color="auto"/>
            </w:tcBorders>
            <w:shd w:val="clear" w:color="auto" w:fill="auto"/>
            <w:noWrap/>
            <w:vAlign w:val="center"/>
          </w:tcPr>
          <w:p w:rsidR="002B317A" w:rsidRDefault="00DC0D6E">
            <w:pPr>
              <w:pStyle w:val="TAC"/>
              <w:spacing w:before="120" w:after="120"/>
              <w:rPr>
                <w:rFonts w:ascii="Times New Roman" w:hAnsi="Times New Roman"/>
                <w:sz w:val="20"/>
              </w:rPr>
            </w:pPr>
            <w:r>
              <w:rPr>
                <w:rFonts w:ascii="Times New Roman" w:hAnsi="Times New Roman"/>
                <w:sz w:val="20"/>
              </w:rPr>
              <w:t>1-2m Or &lt;0.5m</w:t>
            </w:r>
          </w:p>
        </w:tc>
      </w:tr>
      <w:tr w:rsidR="002B317A">
        <w:trPr>
          <w:trHeight w:val="270"/>
          <w:jc w:val="center"/>
        </w:trPr>
        <w:tc>
          <w:tcPr>
            <w:tcW w:w="1945" w:type="dxa"/>
            <w:vMerge/>
            <w:tcBorders>
              <w:left w:val="single" w:sz="4" w:space="0" w:color="auto"/>
              <w:right w:val="single" w:sz="4" w:space="0" w:color="auto"/>
            </w:tcBorders>
            <w:shd w:val="clear" w:color="auto" w:fill="auto"/>
          </w:tcPr>
          <w:p w:rsidR="002B317A" w:rsidRDefault="002B317A">
            <w:pPr>
              <w:pStyle w:val="TAL"/>
              <w:spacing w:before="120" w:after="120"/>
              <w:rPr>
                <w:rFonts w:ascii="Times New Roman" w:hAnsi="Times New Roman"/>
                <w:b/>
                <w:iCs/>
                <w:sz w:val="20"/>
              </w:rPr>
            </w:pPr>
          </w:p>
        </w:tc>
        <w:tc>
          <w:tcPr>
            <w:tcW w:w="46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17A" w:rsidRDefault="00DC0D6E">
            <w:pPr>
              <w:pStyle w:val="TAL"/>
              <w:spacing w:before="120" w:after="120"/>
              <w:rPr>
                <w:rFonts w:ascii="Times New Roman" w:eastAsia="Times New Roman" w:hAnsi="Times New Roman"/>
                <w:sz w:val="20"/>
              </w:rPr>
            </w:pPr>
            <w:r>
              <w:rPr>
                <w:rFonts w:ascii="Times New Roman" w:eastAsia="Times New Roman" w:hAnsi="Times New Roman"/>
                <w:sz w:val="20"/>
              </w:rPr>
              <w:t>Obstructed View Assist</w:t>
            </w:r>
          </w:p>
        </w:tc>
        <w:tc>
          <w:tcPr>
            <w:tcW w:w="2024" w:type="dxa"/>
            <w:tcBorders>
              <w:top w:val="single" w:sz="4" w:space="0" w:color="auto"/>
              <w:left w:val="nil"/>
              <w:bottom w:val="single" w:sz="4" w:space="0" w:color="auto"/>
              <w:right w:val="single" w:sz="4" w:space="0" w:color="auto"/>
            </w:tcBorders>
            <w:shd w:val="clear" w:color="auto" w:fill="auto"/>
            <w:noWrap/>
            <w:vAlign w:val="center"/>
          </w:tcPr>
          <w:p w:rsidR="002B317A" w:rsidRDefault="00DC0D6E">
            <w:pPr>
              <w:pStyle w:val="TAC"/>
              <w:spacing w:before="120" w:after="120"/>
              <w:rPr>
                <w:rFonts w:ascii="Times New Roman" w:hAnsi="Times New Roman"/>
                <w:sz w:val="20"/>
              </w:rPr>
            </w:pPr>
            <w:r>
              <w:rPr>
                <w:rFonts w:ascii="Times New Roman" w:hAnsi="Times New Roman"/>
                <w:sz w:val="20"/>
              </w:rPr>
              <w:t>2m</w:t>
            </w:r>
          </w:p>
        </w:tc>
      </w:tr>
      <w:tr w:rsidR="002B317A">
        <w:trPr>
          <w:trHeight w:val="270"/>
          <w:jc w:val="center"/>
        </w:trPr>
        <w:tc>
          <w:tcPr>
            <w:tcW w:w="1945" w:type="dxa"/>
            <w:vMerge w:val="restart"/>
            <w:tcBorders>
              <w:top w:val="single" w:sz="4" w:space="0" w:color="auto"/>
              <w:left w:val="single" w:sz="4" w:space="0" w:color="auto"/>
              <w:right w:val="single" w:sz="4" w:space="0" w:color="auto"/>
            </w:tcBorders>
            <w:shd w:val="clear" w:color="auto" w:fill="auto"/>
          </w:tcPr>
          <w:p w:rsidR="002B317A" w:rsidRDefault="00DC0D6E">
            <w:pPr>
              <w:pStyle w:val="TAL"/>
              <w:spacing w:before="120" w:after="120"/>
              <w:rPr>
                <w:rFonts w:ascii="Times New Roman" w:hAnsi="Times New Roman"/>
                <w:b/>
                <w:iCs/>
                <w:sz w:val="20"/>
              </w:rPr>
            </w:pPr>
            <w:r>
              <w:rPr>
                <w:rFonts w:ascii="Times New Roman" w:hAnsi="Times New Roman"/>
                <w:b/>
                <w:iCs/>
                <w:sz w:val="20"/>
              </w:rPr>
              <w:t>Vehicle Operations Management</w:t>
            </w:r>
          </w:p>
        </w:tc>
        <w:tc>
          <w:tcPr>
            <w:tcW w:w="46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17A" w:rsidRDefault="00DC0D6E">
            <w:pPr>
              <w:pStyle w:val="TAL"/>
              <w:spacing w:before="120" w:after="120"/>
              <w:rPr>
                <w:rFonts w:ascii="Times New Roman" w:eastAsia="Times New Roman" w:hAnsi="Times New Roman"/>
                <w:sz w:val="20"/>
              </w:rPr>
            </w:pPr>
            <w:r>
              <w:rPr>
                <w:rFonts w:ascii="Times New Roman" w:eastAsia="Times New Roman" w:hAnsi="Times New Roman"/>
                <w:sz w:val="20"/>
              </w:rPr>
              <w:t xml:space="preserve">Software </w:t>
            </w:r>
            <w:r>
              <w:rPr>
                <w:rFonts w:ascii="Times New Roman" w:eastAsia="Times New Roman" w:hAnsi="Times New Roman"/>
                <w:sz w:val="20"/>
              </w:rPr>
              <w:t>updates</w:t>
            </w:r>
          </w:p>
        </w:tc>
        <w:tc>
          <w:tcPr>
            <w:tcW w:w="2024" w:type="dxa"/>
            <w:tcBorders>
              <w:top w:val="single" w:sz="4" w:space="0" w:color="auto"/>
              <w:left w:val="nil"/>
              <w:bottom w:val="single" w:sz="4" w:space="0" w:color="auto"/>
              <w:right w:val="single" w:sz="4" w:space="0" w:color="auto"/>
            </w:tcBorders>
            <w:shd w:val="clear" w:color="auto" w:fill="auto"/>
            <w:noWrap/>
            <w:vAlign w:val="center"/>
          </w:tcPr>
          <w:p w:rsidR="002B317A" w:rsidRDefault="00DC0D6E">
            <w:pPr>
              <w:pStyle w:val="TAC"/>
              <w:spacing w:before="120" w:after="120"/>
              <w:rPr>
                <w:rFonts w:ascii="Times New Roman" w:hAnsi="Times New Roman"/>
                <w:sz w:val="20"/>
              </w:rPr>
            </w:pPr>
            <w:r>
              <w:rPr>
                <w:rFonts w:ascii="Times New Roman" w:hAnsi="Times New Roman"/>
                <w:sz w:val="20"/>
              </w:rPr>
              <w:t>30m/50m</w:t>
            </w:r>
          </w:p>
        </w:tc>
      </w:tr>
      <w:tr w:rsidR="002B317A">
        <w:trPr>
          <w:trHeight w:val="270"/>
          <w:jc w:val="center"/>
        </w:trPr>
        <w:tc>
          <w:tcPr>
            <w:tcW w:w="1945" w:type="dxa"/>
            <w:vMerge/>
            <w:tcBorders>
              <w:left w:val="single" w:sz="4" w:space="0" w:color="auto"/>
              <w:bottom w:val="single" w:sz="4" w:space="0" w:color="auto"/>
              <w:right w:val="single" w:sz="4" w:space="0" w:color="auto"/>
            </w:tcBorders>
            <w:shd w:val="clear" w:color="auto" w:fill="auto"/>
          </w:tcPr>
          <w:p w:rsidR="002B317A" w:rsidRDefault="002B317A">
            <w:pPr>
              <w:pStyle w:val="TAL"/>
              <w:spacing w:before="120" w:after="120"/>
              <w:rPr>
                <w:rFonts w:ascii="Times New Roman" w:hAnsi="Times New Roman"/>
                <w:b/>
                <w:iCs/>
                <w:sz w:val="20"/>
              </w:rPr>
            </w:pPr>
          </w:p>
        </w:tc>
        <w:tc>
          <w:tcPr>
            <w:tcW w:w="46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17A" w:rsidRDefault="00DC0D6E">
            <w:pPr>
              <w:pStyle w:val="TAL"/>
              <w:spacing w:before="120" w:after="120"/>
              <w:rPr>
                <w:rFonts w:ascii="Times New Roman" w:eastAsia="Times New Roman" w:hAnsi="Times New Roman"/>
                <w:sz w:val="20"/>
              </w:rPr>
            </w:pPr>
            <w:r>
              <w:rPr>
                <w:rFonts w:ascii="Times New Roman" w:eastAsia="Times New Roman" w:hAnsi="Times New Roman"/>
                <w:sz w:val="20"/>
              </w:rPr>
              <w:t xml:space="preserve">Remote vehicle health monitoring </w:t>
            </w:r>
          </w:p>
        </w:tc>
        <w:tc>
          <w:tcPr>
            <w:tcW w:w="2024" w:type="dxa"/>
            <w:tcBorders>
              <w:top w:val="single" w:sz="4" w:space="0" w:color="auto"/>
              <w:left w:val="nil"/>
              <w:bottom w:val="single" w:sz="4" w:space="0" w:color="auto"/>
              <w:right w:val="single" w:sz="4" w:space="0" w:color="auto"/>
            </w:tcBorders>
            <w:shd w:val="clear" w:color="auto" w:fill="auto"/>
            <w:noWrap/>
            <w:vAlign w:val="center"/>
          </w:tcPr>
          <w:p w:rsidR="002B317A" w:rsidRDefault="00DC0D6E">
            <w:pPr>
              <w:pStyle w:val="TAC"/>
              <w:spacing w:before="120" w:after="120"/>
              <w:rPr>
                <w:rFonts w:ascii="Times New Roman" w:hAnsi="Times New Roman"/>
                <w:sz w:val="20"/>
              </w:rPr>
            </w:pPr>
            <w:r>
              <w:rPr>
                <w:rFonts w:ascii="Times New Roman" w:hAnsi="Times New Roman"/>
                <w:sz w:val="20"/>
              </w:rPr>
              <w:t>1.5m</w:t>
            </w:r>
          </w:p>
        </w:tc>
      </w:tr>
      <w:tr w:rsidR="002B317A">
        <w:trPr>
          <w:trHeight w:val="620"/>
          <w:jc w:val="center"/>
        </w:trPr>
        <w:tc>
          <w:tcPr>
            <w:tcW w:w="1945" w:type="dxa"/>
            <w:vMerge w:val="restart"/>
            <w:tcBorders>
              <w:top w:val="single" w:sz="4" w:space="0" w:color="auto"/>
              <w:left w:val="single" w:sz="4" w:space="0" w:color="auto"/>
              <w:right w:val="single" w:sz="4" w:space="0" w:color="auto"/>
            </w:tcBorders>
            <w:shd w:val="clear" w:color="auto" w:fill="auto"/>
          </w:tcPr>
          <w:p w:rsidR="002B317A" w:rsidRDefault="00DC0D6E">
            <w:pPr>
              <w:pStyle w:val="TAL"/>
              <w:spacing w:before="120" w:after="120"/>
              <w:rPr>
                <w:rFonts w:ascii="Times New Roman" w:hAnsi="Times New Roman"/>
                <w:b/>
                <w:iCs/>
                <w:sz w:val="20"/>
              </w:rPr>
            </w:pPr>
            <w:r>
              <w:rPr>
                <w:rFonts w:ascii="Times New Roman" w:hAnsi="Times New Roman"/>
                <w:b/>
                <w:iCs/>
                <w:sz w:val="20"/>
              </w:rPr>
              <w:t>Automotive: sensor and state map sharing</w:t>
            </w:r>
          </w:p>
        </w:tc>
        <w:tc>
          <w:tcPr>
            <w:tcW w:w="46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17A" w:rsidRDefault="00DC0D6E">
            <w:pPr>
              <w:pStyle w:val="TAL"/>
              <w:spacing w:before="120" w:after="120"/>
              <w:rPr>
                <w:rFonts w:ascii="Times New Roman" w:eastAsia="Times New Roman" w:hAnsi="Times New Roman"/>
                <w:sz w:val="20"/>
              </w:rPr>
            </w:pPr>
            <w:r>
              <w:rPr>
                <w:rFonts w:ascii="Times New Roman" w:eastAsia="Times New Roman" w:hAnsi="Times New Roman"/>
                <w:sz w:val="20"/>
              </w:rPr>
              <w:t>Real-time high definition maps</w:t>
            </w:r>
          </w:p>
        </w:tc>
        <w:tc>
          <w:tcPr>
            <w:tcW w:w="2024" w:type="dxa"/>
            <w:tcBorders>
              <w:top w:val="single" w:sz="4" w:space="0" w:color="auto"/>
              <w:left w:val="nil"/>
              <w:bottom w:val="single" w:sz="4" w:space="0" w:color="auto"/>
              <w:right w:val="single" w:sz="4" w:space="0" w:color="auto"/>
            </w:tcBorders>
            <w:shd w:val="clear" w:color="auto" w:fill="auto"/>
            <w:noWrap/>
            <w:vAlign w:val="center"/>
          </w:tcPr>
          <w:p w:rsidR="002B317A" w:rsidRDefault="00DC0D6E">
            <w:pPr>
              <w:pStyle w:val="TAC"/>
              <w:spacing w:before="120" w:after="120"/>
              <w:rPr>
                <w:rFonts w:ascii="Times New Roman" w:hAnsi="Times New Roman"/>
                <w:sz w:val="20"/>
              </w:rPr>
            </w:pPr>
            <w:r>
              <w:rPr>
                <w:rFonts w:ascii="Times New Roman" w:hAnsi="Times New Roman"/>
                <w:sz w:val="20"/>
              </w:rPr>
              <w:t>0.5m</w:t>
            </w:r>
          </w:p>
        </w:tc>
      </w:tr>
      <w:tr w:rsidR="002B317A">
        <w:trPr>
          <w:trHeight w:val="270"/>
          <w:jc w:val="center"/>
        </w:trPr>
        <w:tc>
          <w:tcPr>
            <w:tcW w:w="1945" w:type="dxa"/>
            <w:vMerge/>
            <w:tcBorders>
              <w:left w:val="single" w:sz="4" w:space="0" w:color="auto"/>
              <w:right w:val="single" w:sz="4" w:space="0" w:color="auto"/>
            </w:tcBorders>
            <w:shd w:val="clear" w:color="auto" w:fill="auto"/>
          </w:tcPr>
          <w:p w:rsidR="002B317A" w:rsidRDefault="002B317A">
            <w:pPr>
              <w:pStyle w:val="TAL"/>
              <w:spacing w:before="120" w:after="120"/>
              <w:rPr>
                <w:rFonts w:ascii="Times New Roman" w:hAnsi="Times New Roman"/>
                <w:b/>
                <w:iCs/>
                <w:sz w:val="20"/>
              </w:rPr>
            </w:pPr>
          </w:p>
        </w:tc>
        <w:tc>
          <w:tcPr>
            <w:tcW w:w="46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17A" w:rsidRDefault="00DC0D6E">
            <w:pPr>
              <w:pStyle w:val="TAL"/>
              <w:spacing w:before="120" w:after="120"/>
              <w:rPr>
                <w:rFonts w:ascii="Times New Roman" w:eastAsia="Times New Roman" w:hAnsi="Times New Roman"/>
                <w:sz w:val="20"/>
              </w:rPr>
            </w:pPr>
            <w:r>
              <w:rPr>
                <w:rFonts w:ascii="Times New Roman" w:eastAsia="Times New Roman" w:hAnsi="Times New Roman"/>
                <w:sz w:val="20"/>
              </w:rPr>
              <w:t xml:space="preserve">High definition sensor sharing </w:t>
            </w:r>
          </w:p>
        </w:tc>
        <w:tc>
          <w:tcPr>
            <w:tcW w:w="2024" w:type="dxa"/>
            <w:tcBorders>
              <w:top w:val="single" w:sz="4" w:space="0" w:color="auto"/>
              <w:left w:val="nil"/>
              <w:bottom w:val="single" w:sz="4" w:space="0" w:color="auto"/>
              <w:right w:val="single" w:sz="4" w:space="0" w:color="auto"/>
            </w:tcBorders>
            <w:shd w:val="clear" w:color="auto" w:fill="auto"/>
            <w:noWrap/>
            <w:vAlign w:val="center"/>
          </w:tcPr>
          <w:p w:rsidR="002B317A" w:rsidRDefault="00DC0D6E">
            <w:pPr>
              <w:pStyle w:val="TAC"/>
              <w:spacing w:before="120" w:after="120"/>
              <w:rPr>
                <w:rFonts w:ascii="Times New Roman" w:eastAsia="Times New Roman" w:hAnsi="Times New Roman"/>
                <w:sz w:val="20"/>
              </w:rPr>
            </w:pPr>
            <w:r>
              <w:rPr>
                <w:rFonts w:ascii="Times New Roman" w:eastAsia="Times New Roman" w:hAnsi="Times New Roman"/>
                <w:sz w:val="20"/>
              </w:rPr>
              <w:t>0.1m</w:t>
            </w:r>
          </w:p>
        </w:tc>
      </w:tr>
      <w:tr w:rsidR="002B317A">
        <w:trPr>
          <w:trHeight w:val="270"/>
          <w:jc w:val="center"/>
        </w:trPr>
        <w:tc>
          <w:tcPr>
            <w:tcW w:w="1945" w:type="dxa"/>
            <w:vMerge/>
            <w:tcBorders>
              <w:left w:val="single" w:sz="4" w:space="0" w:color="auto"/>
              <w:right w:val="single" w:sz="4" w:space="0" w:color="auto"/>
            </w:tcBorders>
            <w:shd w:val="clear" w:color="auto" w:fill="auto"/>
          </w:tcPr>
          <w:p w:rsidR="002B317A" w:rsidRDefault="002B317A">
            <w:pPr>
              <w:pStyle w:val="TAL"/>
              <w:spacing w:before="120" w:after="120"/>
              <w:rPr>
                <w:rFonts w:ascii="Times New Roman" w:hAnsi="Times New Roman"/>
                <w:b/>
                <w:iCs/>
                <w:sz w:val="20"/>
              </w:rPr>
            </w:pPr>
          </w:p>
        </w:tc>
        <w:tc>
          <w:tcPr>
            <w:tcW w:w="46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17A" w:rsidRDefault="00DC0D6E">
            <w:pPr>
              <w:pStyle w:val="TAL"/>
              <w:spacing w:before="120" w:after="120"/>
              <w:rPr>
                <w:rFonts w:ascii="Times New Roman" w:eastAsia="Times New Roman" w:hAnsi="Times New Roman"/>
                <w:sz w:val="20"/>
              </w:rPr>
            </w:pPr>
            <w:r>
              <w:rPr>
                <w:rFonts w:ascii="Times New Roman" w:eastAsia="Times New Roman" w:hAnsi="Times New Roman"/>
                <w:sz w:val="20"/>
              </w:rPr>
              <w:t xml:space="preserve">See-through </w:t>
            </w:r>
          </w:p>
        </w:tc>
        <w:tc>
          <w:tcPr>
            <w:tcW w:w="2024" w:type="dxa"/>
            <w:tcBorders>
              <w:top w:val="single" w:sz="4" w:space="0" w:color="auto"/>
              <w:left w:val="nil"/>
              <w:bottom w:val="single" w:sz="4" w:space="0" w:color="auto"/>
              <w:right w:val="single" w:sz="4" w:space="0" w:color="auto"/>
            </w:tcBorders>
            <w:shd w:val="clear" w:color="auto" w:fill="auto"/>
            <w:noWrap/>
            <w:vAlign w:val="center"/>
          </w:tcPr>
          <w:p w:rsidR="002B317A" w:rsidRDefault="00DC0D6E">
            <w:pPr>
              <w:pStyle w:val="TAC"/>
              <w:spacing w:before="120" w:after="120"/>
              <w:rPr>
                <w:rFonts w:ascii="Times New Roman" w:hAnsi="Times New Roman"/>
                <w:sz w:val="20"/>
              </w:rPr>
            </w:pPr>
            <w:r>
              <w:rPr>
                <w:rFonts w:ascii="Times New Roman" w:hAnsi="Times New Roman"/>
                <w:sz w:val="20"/>
              </w:rPr>
              <w:t>1.5m</w:t>
            </w:r>
          </w:p>
        </w:tc>
      </w:tr>
      <w:tr w:rsidR="002B317A">
        <w:trPr>
          <w:trHeight w:val="270"/>
          <w:jc w:val="center"/>
        </w:trPr>
        <w:tc>
          <w:tcPr>
            <w:tcW w:w="1945" w:type="dxa"/>
            <w:vMerge/>
            <w:tcBorders>
              <w:left w:val="single" w:sz="4" w:space="0" w:color="auto"/>
              <w:bottom w:val="single" w:sz="4" w:space="0" w:color="auto"/>
              <w:right w:val="single" w:sz="4" w:space="0" w:color="auto"/>
            </w:tcBorders>
            <w:shd w:val="clear" w:color="auto" w:fill="auto"/>
          </w:tcPr>
          <w:p w:rsidR="002B317A" w:rsidRDefault="002B317A">
            <w:pPr>
              <w:pStyle w:val="TAL"/>
              <w:spacing w:before="120" w:after="120"/>
              <w:rPr>
                <w:rFonts w:ascii="Times New Roman" w:hAnsi="Times New Roman"/>
                <w:b/>
                <w:iCs/>
                <w:sz w:val="20"/>
              </w:rPr>
            </w:pPr>
          </w:p>
        </w:tc>
        <w:tc>
          <w:tcPr>
            <w:tcW w:w="46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17A" w:rsidRDefault="00DC0D6E">
            <w:pPr>
              <w:pStyle w:val="TAL"/>
              <w:spacing w:before="120" w:after="120"/>
              <w:rPr>
                <w:rFonts w:ascii="Times New Roman" w:eastAsia="Times New Roman" w:hAnsi="Times New Roman"/>
                <w:sz w:val="20"/>
              </w:rPr>
            </w:pPr>
            <w:r>
              <w:rPr>
                <w:rFonts w:ascii="Times New Roman" w:eastAsia="Times New Roman" w:hAnsi="Times New Roman"/>
                <w:sz w:val="20"/>
              </w:rPr>
              <w:t>High definition map collecting &amp; sharing</w:t>
            </w:r>
          </w:p>
        </w:tc>
        <w:tc>
          <w:tcPr>
            <w:tcW w:w="2024" w:type="dxa"/>
            <w:tcBorders>
              <w:top w:val="single" w:sz="4" w:space="0" w:color="auto"/>
              <w:left w:val="nil"/>
              <w:bottom w:val="single" w:sz="4" w:space="0" w:color="auto"/>
              <w:right w:val="single" w:sz="4" w:space="0" w:color="auto"/>
            </w:tcBorders>
            <w:shd w:val="clear" w:color="auto" w:fill="auto"/>
            <w:noWrap/>
            <w:vAlign w:val="center"/>
          </w:tcPr>
          <w:p w:rsidR="002B317A" w:rsidRDefault="00DC0D6E">
            <w:pPr>
              <w:pStyle w:val="TAC"/>
              <w:spacing w:before="120" w:after="120"/>
              <w:rPr>
                <w:rFonts w:ascii="Times New Roman" w:hAnsi="Times New Roman"/>
                <w:sz w:val="20"/>
              </w:rPr>
            </w:pPr>
            <w:r>
              <w:rPr>
                <w:rFonts w:ascii="Times New Roman" w:hAnsi="Times New Roman"/>
                <w:sz w:val="20"/>
              </w:rPr>
              <w:t>0.1~0.5m</w:t>
            </w:r>
          </w:p>
        </w:tc>
      </w:tr>
      <w:tr w:rsidR="002B317A">
        <w:trPr>
          <w:trHeight w:val="270"/>
          <w:jc w:val="center"/>
        </w:trPr>
        <w:tc>
          <w:tcPr>
            <w:tcW w:w="1945" w:type="dxa"/>
            <w:vMerge w:val="restart"/>
            <w:tcBorders>
              <w:top w:val="single" w:sz="4" w:space="0" w:color="auto"/>
              <w:left w:val="single" w:sz="4" w:space="0" w:color="auto"/>
              <w:right w:val="single" w:sz="4" w:space="0" w:color="auto"/>
            </w:tcBorders>
            <w:shd w:val="clear" w:color="auto" w:fill="auto"/>
          </w:tcPr>
          <w:p w:rsidR="002B317A" w:rsidRDefault="00DC0D6E">
            <w:pPr>
              <w:pStyle w:val="TAL"/>
              <w:spacing w:before="120" w:after="120"/>
              <w:rPr>
                <w:rFonts w:ascii="Times New Roman" w:hAnsi="Times New Roman"/>
                <w:b/>
                <w:iCs/>
                <w:sz w:val="20"/>
              </w:rPr>
            </w:pPr>
            <w:r>
              <w:rPr>
                <w:rFonts w:ascii="Times New Roman" w:hAnsi="Times New Roman"/>
                <w:b/>
                <w:iCs/>
                <w:sz w:val="20"/>
              </w:rPr>
              <w:t xml:space="preserve">Traffic </w:t>
            </w:r>
            <w:r>
              <w:rPr>
                <w:rFonts w:ascii="Times New Roman" w:hAnsi="Times New Roman"/>
                <w:b/>
                <w:iCs/>
                <w:sz w:val="20"/>
              </w:rPr>
              <w:t>Efficiency</w:t>
            </w:r>
          </w:p>
          <w:p w:rsidR="002B317A" w:rsidRDefault="002B317A">
            <w:pPr>
              <w:pStyle w:val="TAL"/>
              <w:spacing w:before="120" w:after="120"/>
              <w:rPr>
                <w:rFonts w:ascii="Times New Roman" w:hAnsi="Times New Roman"/>
                <w:b/>
                <w:iCs/>
                <w:sz w:val="20"/>
              </w:rPr>
            </w:pPr>
          </w:p>
        </w:tc>
        <w:tc>
          <w:tcPr>
            <w:tcW w:w="46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17A" w:rsidRDefault="00DC0D6E">
            <w:pPr>
              <w:pStyle w:val="TAL"/>
              <w:spacing w:before="120" w:after="120"/>
              <w:rPr>
                <w:rFonts w:ascii="Times New Roman" w:eastAsia="Times New Roman" w:hAnsi="Times New Roman"/>
                <w:sz w:val="20"/>
              </w:rPr>
            </w:pPr>
            <w:r>
              <w:rPr>
                <w:rFonts w:ascii="Times New Roman" w:eastAsia="Times New Roman" w:hAnsi="Times New Roman"/>
                <w:sz w:val="20"/>
              </w:rPr>
              <w:t xml:space="preserve">Speed harmonization </w:t>
            </w:r>
          </w:p>
        </w:tc>
        <w:tc>
          <w:tcPr>
            <w:tcW w:w="2024" w:type="dxa"/>
            <w:tcBorders>
              <w:top w:val="single" w:sz="4" w:space="0" w:color="auto"/>
              <w:left w:val="nil"/>
              <w:bottom w:val="single" w:sz="4" w:space="0" w:color="auto"/>
              <w:right w:val="single" w:sz="4" w:space="0" w:color="auto"/>
            </w:tcBorders>
            <w:shd w:val="clear" w:color="auto" w:fill="auto"/>
            <w:noWrap/>
            <w:vAlign w:val="center"/>
          </w:tcPr>
          <w:p w:rsidR="002B317A" w:rsidRDefault="00DC0D6E">
            <w:pPr>
              <w:pStyle w:val="TAC"/>
              <w:spacing w:before="120" w:after="120"/>
              <w:rPr>
                <w:rFonts w:ascii="Times New Roman" w:hAnsi="Times New Roman"/>
                <w:sz w:val="20"/>
              </w:rPr>
            </w:pPr>
            <w:r>
              <w:rPr>
                <w:rFonts w:ascii="Times New Roman" w:hAnsi="Times New Roman"/>
                <w:sz w:val="20"/>
              </w:rPr>
              <w:t>1.5m</w:t>
            </w:r>
          </w:p>
        </w:tc>
      </w:tr>
      <w:tr w:rsidR="002B317A">
        <w:trPr>
          <w:trHeight w:val="270"/>
          <w:jc w:val="center"/>
        </w:trPr>
        <w:tc>
          <w:tcPr>
            <w:tcW w:w="1945" w:type="dxa"/>
            <w:vMerge/>
            <w:tcBorders>
              <w:left w:val="single" w:sz="4" w:space="0" w:color="auto"/>
              <w:right w:val="single" w:sz="4" w:space="0" w:color="auto"/>
            </w:tcBorders>
            <w:shd w:val="clear" w:color="auto" w:fill="auto"/>
          </w:tcPr>
          <w:p w:rsidR="002B317A" w:rsidRDefault="002B317A">
            <w:pPr>
              <w:pStyle w:val="TAL"/>
              <w:spacing w:before="120" w:after="120"/>
              <w:rPr>
                <w:rFonts w:ascii="Times New Roman" w:hAnsi="Times New Roman"/>
                <w:b/>
                <w:iCs/>
                <w:sz w:val="20"/>
              </w:rPr>
            </w:pPr>
          </w:p>
        </w:tc>
        <w:tc>
          <w:tcPr>
            <w:tcW w:w="46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17A" w:rsidRDefault="00DC0D6E">
            <w:pPr>
              <w:pStyle w:val="TAL"/>
              <w:spacing w:before="120" w:after="120"/>
              <w:rPr>
                <w:rFonts w:ascii="Times New Roman" w:eastAsia="Times New Roman" w:hAnsi="Times New Roman"/>
                <w:sz w:val="20"/>
              </w:rPr>
            </w:pPr>
            <w:r>
              <w:rPr>
                <w:rFonts w:ascii="Times New Roman" w:eastAsia="Times New Roman" w:hAnsi="Times New Roman"/>
                <w:sz w:val="20"/>
              </w:rPr>
              <w:t>Group Start</w:t>
            </w:r>
          </w:p>
        </w:tc>
        <w:tc>
          <w:tcPr>
            <w:tcW w:w="2024" w:type="dxa"/>
            <w:tcBorders>
              <w:top w:val="single" w:sz="4" w:space="0" w:color="auto"/>
              <w:left w:val="nil"/>
              <w:bottom w:val="single" w:sz="4" w:space="0" w:color="auto"/>
              <w:right w:val="single" w:sz="4" w:space="0" w:color="auto"/>
            </w:tcBorders>
            <w:shd w:val="clear" w:color="auto" w:fill="auto"/>
            <w:noWrap/>
            <w:vAlign w:val="center"/>
          </w:tcPr>
          <w:p w:rsidR="002B317A" w:rsidRDefault="00DC0D6E">
            <w:pPr>
              <w:pStyle w:val="TAC"/>
              <w:spacing w:before="120" w:after="120"/>
              <w:rPr>
                <w:rFonts w:ascii="Times New Roman" w:hAnsi="Times New Roman"/>
                <w:sz w:val="20"/>
              </w:rPr>
            </w:pPr>
            <w:r>
              <w:rPr>
                <w:rFonts w:ascii="Times New Roman" w:hAnsi="Times New Roman"/>
                <w:sz w:val="20"/>
              </w:rPr>
              <w:t>0.2m</w:t>
            </w:r>
          </w:p>
        </w:tc>
      </w:tr>
      <w:tr w:rsidR="002B317A">
        <w:trPr>
          <w:trHeight w:val="270"/>
          <w:jc w:val="center"/>
        </w:trPr>
        <w:tc>
          <w:tcPr>
            <w:tcW w:w="1945" w:type="dxa"/>
            <w:vMerge/>
            <w:tcBorders>
              <w:left w:val="single" w:sz="4" w:space="0" w:color="auto"/>
              <w:bottom w:val="single" w:sz="4" w:space="0" w:color="auto"/>
              <w:right w:val="single" w:sz="4" w:space="0" w:color="auto"/>
            </w:tcBorders>
            <w:shd w:val="clear" w:color="auto" w:fill="auto"/>
          </w:tcPr>
          <w:p w:rsidR="002B317A" w:rsidRDefault="002B317A">
            <w:pPr>
              <w:pStyle w:val="TAL"/>
              <w:spacing w:before="120" w:after="120"/>
              <w:rPr>
                <w:rFonts w:ascii="Times New Roman" w:hAnsi="Times New Roman"/>
                <w:b/>
                <w:iCs/>
                <w:sz w:val="20"/>
              </w:rPr>
            </w:pPr>
          </w:p>
        </w:tc>
        <w:tc>
          <w:tcPr>
            <w:tcW w:w="46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17A" w:rsidRDefault="00DC0D6E">
            <w:pPr>
              <w:pStyle w:val="TAL"/>
              <w:spacing w:before="120" w:after="120"/>
              <w:rPr>
                <w:rFonts w:ascii="Times New Roman" w:eastAsia="Times New Roman" w:hAnsi="Times New Roman"/>
                <w:sz w:val="20"/>
              </w:rPr>
            </w:pPr>
            <w:r>
              <w:rPr>
                <w:rFonts w:ascii="Times New Roman" w:eastAsia="Times New Roman" w:hAnsi="Times New Roman"/>
                <w:sz w:val="20"/>
              </w:rPr>
              <w:t>Continuous Traffic Flow via Green Lights Coordination</w:t>
            </w:r>
          </w:p>
        </w:tc>
        <w:tc>
          <w:tcPr>
            <w:tcW w:w="2024" w:type="dxa"/>
            <w:tcBorders>
              <w:top w:val="single" w:sz="4" w:space="0" w:color="auto"/>
              <w:left w:val="nil"/>
              <w:bottom w:val="single" w:sz="4" w:space="0" w:color="auto"/>
              <w:right w:val="single" w:sz="4" w:space="0" w:color="auto"/>
            </w:tcBorders>
            <w:shd w:val="clear" w:color="auto" w:fill="auto"/>
            <w:noWrap/>
            <w:vAlign w:val="center"/>
          </w:tcPr>
          <w:p w:rsidR="002B317A" w:rsidRDefault="00DC0D6E">
            <w:pPr>
              <w:pStyle w:val="TAC"/>
              <w:spacing w:before="120" w:after="120"/>
              <w:rPr>
                <w:rFonts w:ascii="Times New Roman" w:hAnsi="Times New Roman"/>
                <w:sz w:val="20"/>
              </w:rPr>
            </w:pPr>
            <w:r>
              <w:rPr>
                <w:rFonts w:ascii="Times New Roman" w:hAnsi="Times New Roman"/>
                <w:sz w:val="20"/>
              </w:rPr>
              <w:t>1.5m</w:t>
            </w:r>
          </w:p>
        </w:tc>
      </w:tr>
      <w:tr w:rsidR="002B317A">
        <w:trPr>
          <w:trHeight w:val="270"/>
          <w:jc w:val="center"/>
        </w:trPr>
        <w:tc>
          <w:tcPr>
            <w:tcW w:w="1945" w:type="dxa"/>
            <w:vMerge w:val="restart"/>
            <w:tcBorders>
              <w:top w:val="single" w:sz="4" w:space="0" w:color="auto"/>
              <w:left w:val="single" w:sz="4" w:space="0" w:color="auto"/>
              <w:right w:val="single" w:sz="4" w:space="0" w:color="auto"/>
            </w:tcBorders>
            <w:shd w:val="clear" w:color="auto" w:fill="auto"/>
          </w:tcPr>
          <w:p w:rsidR="002B317A" w:rsidRDefault="00DC0D6E">
            <w:pPr>
              <w:pStyle w:val="TAL"/>
              <w:spacing w:before="120" w:after="120"/>
              <w:rPr>
                <w:rFonts w:ascii="Times New Roman" w:hAnsi="Times New Roman"/>
                <w:b/>
                <w:iCs/>
                <w:sz w:val="20"/>
              </w:rPr>
            </w:pPr>
            <w:r>
              <w:rPr>
                <w:rFonts w:ascii="Times New Roman" w:hAnsi="Times New Roman"/>
                <w:b/>
                <w:iCs/>
                <w:sz w:val="20"/>
              </w:rPr>
              <w:t xml:space="preserve">Autonomous driving </w:t>
            </w:r>
          </w:p>
          <w:p w:rsidR="002B317A" w:rsidRDefault="002B317A">
            <w:pPr>
              <w:pStyle w:val="TAL"/>
              <w:spacing w:before="120" w:after="120"/>
              <w:rPr>
                <w:rFonts w:ascii="Times New Roman" w:hAnsi="Times New Roman"/>
                <w:b/>
                <w:iCs/>
                <w:sz w:val="20"/>
              </w:rPr>
            </w:pPr>
          </w:p>
        </w:tc>
        <w:tc>
          <w:tcPr>
            <w:tcW w:w="46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17A" w:rsidRDefault="00DC0D6E">
            <w:pPr>
              <w:pStyle w:val="TAL"/>
              <w:spacing w:before="120" w:after="120"/>
              <w:rPr>
                <w:rFonts w:ascii="Times New Roman" w:eastAsia="Times New Roman" w:hAnsi="Times New Roman"/>
                <w:sz w:val="20"/>
              </w:rPr>
            </w:pPr>
            <w:r>
              <w:rPr>
                <w:rFonts w:ascii="Times New Roman" w:eastAsia="Times New Roman" w:hAnsi="Times New Roman"/>
                <w:sz w:val="20"/>
              </w:rPr>
              <w:t>Tele Operated Driving</w:t>
            </w:r>
          </w:p>
        </w:tc>
        <w:tc>
          <w:tcPr>
            <w:tcW w:w="2024" w:type="dxa"/>
            <w:tcBorders>
              <w:top w:val="single" w:sz="4" w:space="0" w:color="auto"/>
              <w:left w:val="nil"/>
              <w:bottom w:val="single" w:sz="4" w:space="0" w:color="auto"/>
              <w:right w:val="single" w:sz="4" w:space="0" w:color="auto"/>
            </w:tcBorders>
            <w:shd w:val="clear" w:color="auto" w:fill="auto"/>
            <w:noWrap/>
            <w:vAlign w:val="center"/>
          </w:tcPr>
          <w:p w:rsidR="002B317A" w:rsidRDefault="00DC0D6E">
            <w:pPr>
              <w:pStyle w:val="TAC"/>
              <w:spacing w:before="120" w:after="120"/>
              <w:rPr>
                <w:rFonts w:ascii="Times New Roman" w:hAnsi="Times New Roman"/>
                <w:sz w:val="20"/>
              </w:rPr>
            </w:pPr>
            <w:r>
              <w:rPr>
                <w:rFonts w:ascii="Times New Roman" w:hAnsi="Times New Roman"/>
                <w:sz w:val="20"/>
              </w:rPr>
              <w:t>0.1m</w:t>
            </w:r>
          </w:p>
        </w:tc>
      </w:tr>
      <w:tr w:rsidR="002B317A">
        <w:trPr>
          <w:trHeight w:val="270"/>
          <w:jc w:val="center"/>
        </w:trPr>
        <w:tc>
          <w:tcPr>
            <w:tcW w:w="1945" w:type="dxa"/>
            <w:vMerge/>
            <w:tcBorders>
              <w:left w:val="single" w:sz="4" w:space="0" w:color="auto"/>
              <w:right w:val="single" w:sz="4" w:space="0" w:color="auto"/>
            </w:tcBorders>
            <w:shd w:val="clear" w:color="auto" w:fill="auto"/>
          </w:tcPr>
          <w:p w:rsidR="002B317A" w:rsidRDefault="002B317A">
            <w:pPr>
              <w:pStyle w:val="TAL"/>
              <w:spacing w:before="120" w:after="120"/>
              <w:rPr>
                <w:rFonts w:ascii="Times New Roman" w:hAnsi="Times New Roman"/>
                <w:b/>
                <w:iCs/>
                <w:sz w:val="20"/>
              </w:rPr>
            </w:pPr>
          </w:p>
        </w:tc>
        <w:tc>
          <w:tcPr>
            <w:tcW w:w="46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17A" w:rsidRDefault="00DC0D6E">
            <w:pPr>
              <w:pStyle w:val="TAL"/>
              <w:spacing w:before="120" w:after="120"/>
              <w:rPr>
                <w:rFonts w:ascii="Times New Roman" w:eastAsia="Times New Roman" w:hAnsi="Times New Roman"/>
                <w:sz w:val="20"/>
              </w:rPr>
            </w:pPr>
            <w:r>
              <w:rPr>
                <w:rFonts w:ascii="Times New Roman" w:eastAsia="Times New Roman" w:hAnsi="Times New Roman"/>
                <w:sz w:val="20"/>
              </w:rPr>
              <w:t>Tele Operated Support</w:t>
            </w:r>
          </w:p>
        </w:tc>
        <w:tc>
          <w:tcPr>
            <w:tcW w:w="2024" w:type="dxa"/>
            <w:tcBorders>
              <w:top w:val="single" w:sz="4" w:space="0" w:color="auto"/>
              <w:left w:val="nil"/>
              <w:bottom w:val="single" w:sz="4" w:space="0" w:color="auto"/>
              <w:right w:val="single" w:sz="4" w:space="0" w:color="auto"/>
            </w:tcBorders>
            <w:shd w:val="clear" w:color="auto" w:fill="auto"/>
            <w:noWrap/>
            <w:vAlign w:val="center"/>
          </w:tcPr>
          <w:p w:rsidR="002B317A" w:rsidRDefault="00DC0D6E">
            <w:pPr>
              <w:pStyle w:val="TAC"/>
              <w:spacing w:before="120" w:after="120"/>
              <w:rPr>
                <w:rFonts w:ascii="Times New Roman" w:hAnsi="Times New Roman"/>
                <w:sz w:val="20"/>
              </w:rPr>
            </w:pPr>
            <w:r>
              <w:rPr>
                <w:rFonts w:ascii="Times New Roman" w:hAnsi="Times New Roman"/>
                <w:sz w:val="20"/>
              </w:rPr>
              <w:t>0.1m</w:t>
            </w:r>
          </w:p>
        </w:tc>
      </w:tr>
      <w:tr w:rsidR="002B317A">
        <w:trPr>
          <w:trHeight w:val="270"/>
          <w:jc w:val="center"/>
        </w:trPr>
        <w:tc>
          <w:tcPr>
            <w:tcW w:w="1945" w:type="dxa"/>
            <w:vMerge/>
            <w:tcBorders>
              <w:left w:val="single" w:sz="4" w:space="0" w:color="auto"/>
              <w:right w:val="single" w:sz="4" w:space="0" w:color="auto"/>
            </w:tcBorders>
            <w:shd w:val="clear" w:color="auto" w:fill="auto"/>
          </w:tcPr>
          <w:p w:rsidR="002B317A" w:rsidRDefault="002B317A">
            <w:pPr>
              <w:pStyle w:val="TAL"/>
              <w:spacing w:before="120" w:after="120"/>
              <w:rPr>
                <w:rFonts w:ascii="Times New Roman" w:hAnsi="Times New Roman"/>
                <w:b/>
                <w:iCs/>
                <w:sz w:val="20"/>
              </w:rPr>
            </w:pPr>
          </w:p>
        </w:tc>
        <w:tc>
          <w:tcPr>
            <w:tcW w:w="46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17A" w:rsidRDefault="00DC0D6E">
            <w:pPr>
              <w:pStyle w:val="TAL"/>
              <w:spacing w:before="120" w:after="120"/>
              <w:rPr>
                <w:rFonts w:ascii="Times New Roman" w:eastAsia="Times New Roman" w:hAnsi="Times New Roman"/>
                <w:sz w:val="20"/>
              </w:rPr>
            </w:pPr>
            <w:r>
              <w:rPr>
                <w:rFonts w:ascii="Times New Roman" w:eastAsia="Times New Roman" w:hAnsi="Times New Roman"/>
                <w:sz w:val="20"/>
              </w:rPr>
              <w:t>Tele-operated Driving for Automated Parking</w:t>
            </w:r>
          </w:p>
        </w:tc>
        <w:tc>
          <w:tcPr>
            <w:tcW w:w="2024" w:type="dxa"/>
            <w:tcBorders>
              <w:top w:val="single" w:sz="4" w:space="0" w:color="auto"/>
              <w:left w:val="nil"/>
              <w:bottom w:val="single" w:sz="4" w:space="0" w:color="auto"/>
              <w:right w:val="single" w:sz="4" w:space="0" w:color="auto"/>
            </w:tcBorders>
            <w:shd w:val="clear" w:color="auto" w:fill="auto"/>
            <w:noWrap/>
            <w:vAlign w:val="center"/>
          </w:tcPr>
          <w:p w:rsidR="002B317A" w:rsidRDefault="00DC0D6E">
            <w:pPr>
              <w:pStyle w:val="TAC"/>
              <w:spacing w:before="120" w:after="120"/>
              <w:rPr>
                <w:rFonts w:ascii="Times New Roman" w:hAnsi="Times New Roman"/>
                <w:sz w:val="20"/>
              </w:rPr>
            </w:pPr>
            <w:r>
              <w:rPr>
                <w:rFonts w:ascii="Times New Roman" w:hAnsi="Times New Roman"/>
                <w:sz w:val="20"/>
              </w:rPr>
              <w:t>0.1m</w:t>
            </w:r>
          </w:p>
        </w:tc>
      </w:tr>
      <w:tr w:rsidR="002B317A">
        <w:trPr>
          <w:trHeight w:val="270"/>
          <w:jc w:val="center"/>
        </w:trPr>
        <w:tc>
          <w:tcPr>
            <w:tcW w:w="1945" w:type="dxa"/>
            <w:vMerge/>
            <w:tcBorders>
              <w:left w:val="single" w:sz="4" w:space="0" w:color="auto"/>
              <w:right w:val="single" w:sz="4" w:space="0" w:color="auto"/>
            </w:tcBorders>
            <w:shd w:val="clear" w:color="auto" w:fill="auto"/>
          </w:tcPr>
          <w:p w:rsidR="002B317A" w:rsidRDefault="002B317A">
            <w:pPr>
              <w:pStyle w:val="TAL"/>
              <w:spacing w:before="120" w:after="120"/>
              <w:rPr>
                <w:rFonts w:ascii="Times New Roman" w:hAnsi="Times New Roman"/>
                <w:b/>
                <w:iCs/>
                <w:sz w:val="20"/>
              </w:rPr>
            </w:pPr>
          </w:p>
        </w:tc>
        <w:tc>
          <w:tcPr>
            <w:tcW w:w="46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17A" w:rsidRDefault="00DC0D6E">
            <w:pPr>
              <w:pStyle w:val="TAL"/>
              <w:spacing w:before="120" w:after="120"/>
              <w:rPr>
                <w:rFonts w:ascii="Times New Roman" w:eastAsia="Times New Roman" w:hAnsi="Times New Roman"/>
                <w:sz w:val="20"/>
              </w:rPr>
            </w:pPr>
            <w:r>
              <w:rPr>
                <w:rFonts w:ascii="Times New Roman" w:eastAsia="Times New Roman" w:hAnsi="Times New Roman"/>
                <w:sz w:val="20"/>
              </w:rPr>
              <w:t>Automated intersection crossing</w:t>
            </w:r>
          </w:p>
        </w:tc>
        <w:tc>
          <w:tcPr>
            <w:tcW w:w="2024" w:type="dxa"/>
            <w:tcBorders>
              <w:top w:val="single" w:sz="4" w:space="0" w:color="auto"/>
              <w:left w:val="nil"/>
              <w:bottom w:val="single" w:sz="4" w:space="0" w:color="auto"/>
              <w:right w:val="single" w:sz="4" w:space="0" w:color="auto"/>
            </w:tcBorders>
            <w:shd w:val="clear" w:color="auto" w:fill="auto"/>
            <w:noWrap/>
            <w:vAlign w:val="center"/>
          </w:tcPr>
          <w:p w:rsidR="002B317A" w:rsidRDefault="00DC0D6E">
            <w:pPr>
              <w:pStyle w:val="TAC"/>
              <w:spacing w:before="120" w:after="120"/>
              <w:rPr>
                <w:rFonts w:ascii="Times New Roman" w:hAnsi="Times New Roman"/>
                <w:sz w:val="20"/>
              </w:rPr>
            </w:pPr>
            <w:r>
              <w:rPr>
                <w:rFonts w:ascii="Times New Roman" w:hAnsi="Times New Roman"/>
                <w:sz w:val="20"/>
              </w:rPr>
              <w:t>0.15m</w:t>
            </w:r>
          </w:p>
        </w:tc>
      </w:tr>
      <w:tr w:rsidR="002B317A">
        <w:trPr>
          <w:trHeight w:val="270"/>
          <w:jc w:val="center"/>
        </w:trPr>
        <w:tc>
          <w:tcPr>
            <w:tcW w:w="1945" w:type="dxa"/>
            <w:vMerge/>
            <w:tcBorders>
              <w:left w:val="single" w:sz="4" w:space="0" w:color="auto"/>
              <w:right w:val="single" w:sz="4" w:space="0" w:color="auto"/>
            </w:tcBorders>
            <w:shd w:val="clear" w:color="auto" w:fill="auto"/>
          </w:tcPr>
          <w:p w:rsidR="002B317A" w:rsidRDefault="002B317A">
            <w:pPr>
              <w:pStyle w:val="TAL"/>
              <w:spacing w:before="120" w:after="120"/>
              <w:rPr>
                <w:rFonts w:ascii="Times New Roman" w:hAnsi="Times New Roman"/>
                <w:b/>
                <w:iCs/>
                <w:sz w:val="20"/>
              </w:rPr>
            </w:pPr>
          </w:p>
        </w:tc>
        <w:tc>
          <w:tcPr>
            <w:tcW w:w="46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17A" w:rsidRDefault="00DC0D6E">
            <w:pPr>
              <w:pStyle w:val="TAL"/>
              <w:spacing w:before="120" w:after="120"/>
              <w:rPr>
                <w:rFonts w:ascii="Times New Roman" w:eastAsia="Times New Roman" w:hAnsi="Times New Roman"/>
                <w:sz w:val="20"/>
              </w:rPr>
            </w:pPr>
            <w:r>
              <w:rPr>
                <w:rFonts w:ascii="Times New Roman" w:eastAsia="Times New Roman" w:hAnsi="Times New Roman"/>
                <w:sz w:val="20"/>
              </w:rPr>
              <w:t>Autonomous parking vehicles by remote driving</w:t>
            </w:r>
          </w:p>
        </w:tc>
        <w:tc>
          <w:tcPr>
            <w:tcW w:w="2024" w:type="dxa"/>
            <w:tcBorders>
              <w:top w:val="single" w:sz="4" w:space="0" w:color="auto"/>
              <w:left w:val="nil"/>
              <w:bottom w:val="single" w:sz="4" w:space="0" w:color="auto"/>
              <w:right w:val="single" w:sz="4" w:space="0" w:color="auto"/>
            </w:tcBorders>
            <w:shd w:val="clear" w:color="auto" w:fill="auto"/>
            <w:noWrap/>
            <w:vAlign w:val="center"/>
          </w:tcPr>
          <w:p w:rsidR="002B317A" w:rsidRDefault="00DC0D6E">
            <w:pPr>
              <w:pStyle w:val="TAC"/>
              <w:spacing w:before="120" w:after="120"/>
              <w:rPr>
                <w:rFonts w:ascii="Times New Roman" w:hAnsi="Times New Roman"/>
                <w:sz w:val="20"/>
              </w:rPr>
            </w:pPr>
            <w:r>
              <w:rPr>
                <w:rFonts w:ascii="Times New Roman" w:hAnsi="Times New Roman"/>
                <w:sz w:val="20"/>
              </w:rPr>
              <w:t>±0.1m</w:t>
            </w:r>
          </w:p>
        </w:tc>
      </w:tr>
      <w:tr w:rsidR="002B317A">
        <w:trPr>
          <w:trHeight w:val="270"/>
          <w:jc w:val="center"/>
        </w:trPr>
        <w:tc>
          <w:tcPr>
            <w:tcW w:w="1945" w:type="dxa"/>
            <w:vMerge/>
            <w:tcBorders>
              <w:left w:val="single" w:sz="4" w:space="0" w:color="auto"/>
              <w:bottom w:val="single" w:sz="4" w:space="0" w:color="auto"/>
              <w:right w:val="single" w:sz="4" w:space="0" w:color="auto"/>
            </w:tcBorders>
            <w:shd w:val="clear" w:color="auto" w:fill="auto"/>
          </w:tcPr>
          <w:p w:rsidR="002B317A" w:rsidRDefault="002B317A">
            <w:pPr>
              <w:pStyle w:val="TAL"/>
              <w:spacing w:before="120" w:after="120"/>
              <w:rPr>
                <w:rFonts w:ascii="Times New Roman" w:hAnsi="Times New Roman"/>
                <w:b/>
                <w:iCs/>
                <w:sz w:val="20"/>
              </w:rPr>
            </w:pPr>
          </w:p>
        </w:tc>
        <w:tc>
          <w:tcPr>
            <w:tcW w:w="46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17A" w:rsidRDefault="00DC0D6E">
            <w:pPr>
              <w:pStyle w:val="TAL"/>
              <w:spacing w:before="120" w:after="120"/>
              <w:rPr>
                <w:rFonts w:ascii="Times New Roman" w:eastAsia="Times New Roman" w:hAnsi="Times New Roman"/>
                <w:sz w:val="20"/>
              </w:rPr>
            </w:pPr>
            <w:r>
              <w:rPr>
                <w:rFonts w:ascii="Times New Roman" w:eastAsia="Times New Roman" w:hAnsi="Times New Roman"/>
                <w:sz w:val="20"/>
              </w:rPr>
              <w:t>Remote Automated Driving Cancellation (RADC)</w:t>
            </w:r>
          </w:p>
        </w:tc>
        <w:tc>
          <w:tcPr>
            <w:tcW w:w="2024" w:type="dxa"/>
            <w:tcBorders>
              <w:top w:val="single" w:sz="4" w:space="0" w:color="auto"/>
              <w:left w:val="nil"/>
              <w:bottom w:val="single" w:sz="4" w:space="0" w:color="auto"/>
              <w:right w:val="single" w:sz="4" w:space="0" w:color="auto"/>
            </w:tcBorders>
            <w:shd w:val="clear" w:color="auto" w:fill="auto"/>
            <w:noWrap/>
            <w:vAlign w:val="center"/>
          </w:tcPr>
          <w:p w:rsidR="002B317A" w:rsidRDefault="00DC0D6E">
            <w:pPr>
              <w:pStyle w:val="TAC"/>
              <w:spacing w:before="120" w:after="120"/>
              <w:rPr>
                <w:rFonts w:ascii="Times New Roman" w:hAnsi="Times New Roman"/>
                <w:sz w:val="20"/>
              </w:rPr>
            </w:pPr>
            <w:r>
              <w:rPr>
                <w:rFonts w:ascii="Times New Roman" w:hAnsi="Times New Roman"/>
                <w:sz w:val="20"/>
              </w:rPr>
              <w:t>10m</w:t>
            </w:r>
          </w:p>
        </w:tc>
      </w:tr>
      <w:tr w:rsidR="002B317A">
        <w:trPr>
          <w:trHeight w:val="270"/>
          <w:jc w:val="center"/>
        </w:trPr>
        <w:tc>
          <w:tcPr>
            <w:tcW w:w="1945" w:type="dxa"/>
            <w:tcBorders>
              <w:top w:val="single" w:sz="4" w:space="0" w:color="auto"/>
              <w:left w:val="single" w:sz="4" w:space="0" w:color="auto"/>
              <w:bottom w:val="single" w:sz="4" w:space="0" w:color="auto"/>
              <w:right w:val="single" w:sz="4" w:space="0" w:color="auto"/>
            </w:tcBorders>
            <w:shd w:val="clear" w:color="auto" w:fill="auto"/>
          </w:tcPr>
          <w:p w:rsidR="002B317A" w:rsidRDefault="00DC0D6E">
            <w:pPr>
              <w:pStyle w:val="TAL"/>
              <w:spacing w:before="120" w:after="120"/>
              <w:rPr>
                <w:rFonts w:ascii="Times New Roman" w:hAnsi="Times New Roman"/>
                <w:b/>
                <w:iCs/>
                <w:sz w:val="20"/>
              </w:rPr>
            </w:pPr>
            <w:r>
              <w:rPr>
                <w:rFonts w:ascii="Times New Roman" w:hAnsi="Times New Roman"/>
                <w:b/>
                <w:iCs/>
                <w:sz w:val="20"/>
              </w:rPr>
              <w:t>Entertainment</w:t>
            </w:r>
          </w:p>
        </w:tc>
        <w:tc>
          <w:tcPr>
            <w:tcW w:w="46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17A" w:rsidRDefault="00DC0D6E">
            <w:pPr>
              <w:pStyle w:val="TAL"/>
              <w:spacing w:before="120" w:after="120"/>
              <w:rPr>
                <w:rFonts w:ascii="Times New Roman" w:eastAsia="Times New Roman" w:hAnsi="Times New Roman"/>
                <w:sz w:val="20"/>
              </w:rPr>
            </w:pPr>
            <w:r>
              <w:rPr>
                <w:rFonts w:ascii="Times New Roman" w:eastAsia="Times New Roman" w:hAnsi="Times New Roman"/>
                <w:sz w:val="20"/>
              </w:rPr>
              <w:t>In-Vehicle Entertainment IVE – HD Content Delivery</w:t>
            </w:r>
          </w:p>
        </w:tc>
        <w:tc>
          <w:tcPr>
            <w:tcW w:w="2024" w:type="dxa"/>
            <w:tcBorders>
              <w:top w:val="single" w:sz="4" w:space="0" w:color="auto"/>
              <w:left w:val="nil"/>
              <w:bottom w:val="single" w:sz="4" w:space="0" w:color="auto"/>
              <w:right w:val="single" w:sz="4" w:space="0" w:color="auto"/>
            </w:tcBorders>
            <w:shd w:val="clear" w:color="auto" w:fill="auto"/>
            <w:noWrap/>
            <w:vAlign w:val="center"/>
          </w:tcPr>
          <w:p w:rsidR="002B317A" w:rsidRDefault="00DC0D6E">
            <w:pPr>
              <w:pStyle w:val="TAC"/>
              <w:spacing w:before="120" w:after="120"/>
              <w:rPr>
                <w:rFonts w:ascii="Times New Roman" w:hAnsi="Times New Roman"/>
                <w:sz w:val="20"/>
              </w:rPr>
            </w:pPr>
            <w:r>
              <w:rPr>
                <w:rFonts w:ascii="Times New Roman" w:hAnsi="Times New Roman"/>
                <w:sz w:val="20"/>
              </w:rPr>
              <w:t>30m</w:t>
            </w:r>
          </w:p>
        </w:tc>
      </w:tr>
      <w:tr w:rsidR="002B317A">
        <w:trPr>
          <w:trHeight w:val="270"/>
          <w:jc w:val="center"/>
        </w:trPr>
        <w:tc>
          <w:tcPr>
            <w:tcW w:w="1945" w:type="dxa"/>
            <w:tcBorders>
              <w:top w:val="single" w:sz="4" w:space="0" w:color="auto"/>
              <w:left w:val="single" w:sz="4" w:space="0" w:color="auto"/>
              <w:bottom w:val="single" w:sz="4" w:space="0" w:color="auto"/>
              <w:right w:val="single" w:sz="4" w:space="0" w:color="auto"/>
            </w:tcBorders>
            <w:shd w:val="clear" w:color="auto" w:fill="auto"/>
          </w:tcPr>
          <w:p w:rsidR="002B317A" w:rsidRDefault="00DC0D6E">
            <w:pPr>
              <w:pStyle w:val="TAL"/>
              <w:spacing w:before="120" w:after="120"/>
              <w:rPr>
                <w:rFonts w:ascii="Times New Roman" w:hAnsi="Times New Roman"/>
                <w:b/>
                <w:iCs/>
                <w:sz w:val="20"/>
              </w:rPr>
            </w:pPr>
            <w:r>
              <w:rPr>
                <w:rFonts w:ascii="Times New Roman" w:hAnsi="Times New Roman"/>
                <w:b/>
                <w:iCs/>
                <w:sz w:val="20"/>
              </w:rPr>
              <w:t>Platooning</w:t>
            </w:r>
          </w:p>
        </w:tc>
        <w:tc>
          <w:tcPr>
            <w:tcW w:w="46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17A" w:rsidRDefault="00DC0D6E">
            <w:pPr>
              <w:pStyle w:val="TAL"/>
              <w:spacing w:before="120" w:after="120"/>
              <w:rPr>
                <w:rFonts w:ascii="Times New Roman" w:hAnsi="Times New Roman"/>
                <w:sz w:val="20"/>
              </w:rPr>
            </w:pPr>
            <w:r>
              <w:rPr>
                <w:rFonts w:ascii="Times New Roman" w:hAnsi="Times New Roman" w:hint="eastAsia"/>
                <w:sz w:val="20"/>
              </w:rPr>
              <w:t>Platooning</w:t>
            </w:r>
          </w:p>
        </w:tc>
        <w:tc>
          <w:tcPr>
            <w:tcW w:w="2024" w:type="dxa"/>
            <w:tcBorders>
              <w:top w:val="single" w:sz="4" w:space="0" w:color="auto"/>
              <w:left w:val="nil"/>
              <w:bottom w:val="single" w:sz="4" w:space="0" w:color="auto"/>
              <w:right w:val="single" w:sz="4" w:space="0" w:color="auto"/>
            </w:tcBorders>
            <w:shd w:val="clear" w:color="auto" w:fill="auto"/>
            <w:noWrap/>
            <w:vAlign w:val="center"/>
          </w:tcPr>
          <w:p w:rsidR="002B317A" w:rsidRDefault="00DC0D6E">
            <w:pPr>
              <w:pStyle w:val="TAC"/>
              <w:spacing w:before="120" w:after="120"/>
              <w:rPr>
                <w:rFonts w:ascii="Times New Roman" w:hAnsi="Times New Roman"/>
                <w:sz w:val="20"/>
              </w:rPr>
            </w:pPr>
            <w:r>
              <w:rPr>
                <w:rFonts w:ascii="Times New Roman" w:hAnsi="Times New Roman" w:hint="eastAsia"/>
                <w:sz w:val="20"/>
              </w:rPr>
              <w:t>0.5m</w:t>
            </w:r>
          </w:p>
        </w:tc>
      </w:tr>
    </w:tbl>
    <w:p w:rsidR="002B317A" w:rsidRDefault="00DC0D6E">
      <w:pPr>
        <w:spacing w:before="120" w:after="120"/>
      </w:pPr>
      <w:r>
        <w:t xml:space="preserve"> </w:t>
      </w:r>
    </w:p>
    <w:p w:rsidR="002B317A" w:rsidRDefault="00DC0D6E">
      <w:pPr>
        <w:pStyle w:val="YJ--"/>
        <w:spacing w:before="120" w:after="120"/>
      </w:pPr>
      <w:r>
        <w:rPr>
          <w:rFonts w:hint="eastAsia"/>
        </w:rPr>
        <w:lastRenderedPageBreak/>
        <w:t xml:space="preserve">For V2X, it's therefore observed that the following use categories are suitable to synthesize the above use cases from accuracy level perspective. The table associates the use case category(1st column) with the use case descriptions(2nd column) plus </w:t>
      </w:r>
      <w:r>
        <w:t>accura</w:t>
      </w:r>
      <w:r>
        <w:t>cy</w:t>
      </w:r>
      <w:r>
        <w:rPr>
          <w:rFonts w:hint="eastAsia"/>
        </w:rPr>
        <w:t>(3 rd column).</w:t>
      </w:r>
    </w:p>
    <w:p w:rsidR="002B317A" w:rsidRDefault="00DC0D6E">
      <w:pPr>
        <w:pStyle w:val="YJ--"/>
        <w:spacing w:before="120" w:after="120"/>
      </w:pPr>
      <w:r>
        <w:rPr>
          <w:rFonts w:hint="eastAsia"/>
        </w:rPr>
        <w:t>- decimal-meter level: covering entertainment and vehicle operation management use cases</w:t>
      </w:r>
    </w:p>
    <w:p w:rsidR="002B317A" w:rsidRDefault="00DC0D6E">
      <w:pPr>
        <w:pStyle w:val="YJ--"/>
        <w:spacing w:before="120" w:after="120"/>
      </w:pPr>
      <w:r>
        <w:rPr>
          <w:rFonts w:hint="eastAsia"/>
        </w:rPr>
        <w:t>- meter level: covering lane related positioning use cases</w:t>
      </w:r>
    </w:p>
    <w:p w:rsidR="002B317A" w:rsidRDefault="00DC0D6E">
      <w:pPr>
        <w:pStyle w:val="YJ--"/>
        <w:spacing w:before="120" w:after="120"/>
      </w:pPr>
      <w:r>
        <w:rPr>
          <w:rFonts w:hint="eastAsia"/>
        </w:rPr>
        <w:t>- sub-meter level: covering automated driving use cases</w:t>
      </w:r>
    </w:p>
    <w:p w:rsidR="002B317A" w:rsidRDefault="00DC0D6E">
      <w:pPr>
        <w:pStyle w:val="YJ-Proposal"/>
        <w:spacing w:before="120" w:after="120"/>
      </w:pPr>
      <w:bookmarkStart w:id="35" w:name="_Toc66711620"/>
      <w:bookmarkStart w:id="36" w:name="_Toc66711371"/>
      <w:bookmarkStart w:id="37" w:name="_Toc66711584"/>
      <w:r>
        <w:rPr>
          <w:rFonts w:hint="eastAsia"/>
        </w:rPr>
        <w:t xml:space="preserve">Capture the accuracy requirements in </w:t>
      </w:r>
      <w:r>
        <w:rPr>
          <w:rFonts w:hint="eastAsia"/>
        </w:rPr>
        <w:fldChar w:fldCharType="begin"/>
      </w:r>
      <w:r>
        <w:instrText xml:space="preserve"> REF _Ref66697624 \h  \* MERGEFORMAT </w:instrText>
      </w:r>
      <w:r>
        <w:rPr>
          <w:rFonts w:hint="eastAsia"/>
        </w:rPr>
      </w:r>
      <w:r>
        <w:rPr>
          <w:rFonts w:hint="eastAsia"/>
        </w:rPr>
        <w:fldChar w:fldCharType="separate"/>
      </w:r>
      <w:r>
        <w:t>Table 1</w:t>
      </w:r>
      <w:r>
        <w:rPr>
          <w:rFonts w:hint="eastAsia"/>
        </w:rPr>
        <w:t xml:space="preserve"> </w:t>
      </w:r>
      <w:r>
        <w:rPr>
          <w:rFonts w:hint="eastAsia"/>
        </w:rPr>
        <w:fldChar w:fldCharType="end"/>
      </w:r>
      <w:r>
        <w:rPr>
          <w:rFonts w:hint="eastAsia"/>
        </w:rPr>
        <w:t>for V2X use cases in the TR.</w:t>
      </w:r>
      <w:bookmarkEnd w:id="35"/>
      <w:bookmarkEnd w:id="36"/>
      <w:bookmarkEnd w:id="37"/>
    </w:p>
    <w:p w:rsidR="002B317A" w:rsidRDefault="00DC0D6E">
      <w:pPr>
        <w:pStyle w:val="YJ-Proposal"/>
        <w:spacing w:before="120" w:after="120"/>
      </w:pPr>
      <w:bookmarkStart w:id="38" w:name="_Toc66711585"/>
      <w:bookmarkStart w:id="39" w:name="_Toc66711621"/>
      <w:bookmarkStart w:id="40" w:name="_Toc66711372"/>
      <w:r>
        <w:rPr>
          <w:rStyle w:val="af"/>
          <w:rFonts w:hint="eastAsia"/>
          <w:i/>
          <w:shd w:val="clear" w:color="auto" w:fill="FFFFFF"/>
        </w:rPr>
        <w:t>To design/evaluate the potential solutions,</w:t>
      </w:r>
      <w:r>
        <w:rPr>
          <w:rFonts w:hint="eastAsia"/>
        </w:rPr>
        <w:t xml:space="preserve"> consider the following 3 categories of positioning accuracy requirements for V2X use cases:</w:t>
      </w:r>
      <w:bookmarkEnd w:id="38"/>
      <w:bookmarkEnd w:id="39"/>
      <w:bookmarkEnd w:id="40"/>
    </w:p>
    <w:p w:rsidR="002B317A" w:rsidRDefault="00DC0D6E">
      <w:pPr>
        <w:pStyle w:val="YJ-Proposal"/>
        <w:numPr>
          <w:ilvl w:val="0"/>
          <w:numId w:val="0"/>
        </w:numPr>
        <w:spacing w:before="120" w:after="120"/>
      </w:pPr>
      <w:bookmarkStart w:id="41" w:name="_Toc66711622"/>
      <w:bookmarkStart w:id="42" w:name="_Toc66711586"/>
      <w:r>
        <w:rPr>
          <w:rFonts w:hint="eastAsia"/>
        </w:rPr>
        <w:t>- decimal-meter level i.e. up to 10m</w:t>
      </w:r>
      <w:bookmarkEnd w:id="41"/>
      <w:bookmarkEnd w:id="42"/>
    </w:p>
    <w:p w:rsidR="002B317A" w:rsidRDefault="00DC0D6E">
      <w:pPr>
        <w:pStyle w:val="YJ-Proposal"/>
        <w:numPr>
          <w:ilvl w:val="0"/>
          <w:numId w:val="0"/>
        </w:numPr>
        <w:spacing w:before="120" w:after="120"/>
      </w:pPr>
      <w:bookmarkStart w:id="43" w:name="_Toc66711587"/>
      <w:bookmarkStart w:id="44" w:name="_Toc66711623"/>
      <w:r>
        <w:rPr>
          <w:rFonts w:hint="eastAsia"/>
        </w:rPr>
        <w:t>- meter level i.e. up to 1.5m</w:t>
      </w:r>
      <w:bookmarkEnd w:id="43"/>
      <w:bookmarkEnd w:id="44"/>
    </w:p>
    <w:p w:rsidR="002B317A" w:rsidRDefault="00DC0D6E">
      <w:pPr>
        <w:pStyle w:val="YJ-Proposal"/>
        <w:numPr>
          <w:ilvl w:val="0"/>
          <w:numId w:val="0"/>
        </w:numPr>
        <w:spacing w:before="120" w:after="120"/>
      </w:pPr>
      <w:bookmarkStart w:id="45" w:name="_Toc66711588"/>
      <w:bookmarkStart w:id="46" w:name="_Toc66711624"/>
      <w:r>
        <w:rPr>
          <w:rFonts w:hint="eastAsia"/>
        </w:rPr>
        <w:t>- sub-meter level i.e. up to 0.1m</w:t>
      </w:r>
      <w:bookmarkEnd w:id="45"/>
      <w:bookmarkEnd w:id="46"/>
    </w:p>
    <w:p w:rsidR="002B317A" w:rsidRDefault="002B317A">
      <w:pPr>
        <w:spacing w:before="120" w:after="120"/>
      </w:pPr>
    </w:p>
    <w:p w:rsidR="002B317A" w:rsidRDefault="00DC0D6E">
      <w:pPr>
        <w:pStyle w:val="a3"/>
        <w:keepNext/>
        <w:jc w:val="center"/>
      </w:pPr>
      <w:bookmarkStart w:id="47" w:name="_Ref66697828"/>
      <w:r>
        <w:t xml:space="preserve">Table </w:t>
      </w:r>
      <w:r>
        <w:fldChar w:fldCharType="begin"/>
      </w:r>
      <w:r>
        <w:instrText xml:space="preserve"> SEQ Table \* ARABIC </w:instrText>
      </w:r>
      <w:r>
        <w:fldChar w:fldCharType="separate"/>
      </w:r>
      <w:r>
        <w:t>2</w:t>
      </w:r>
      <w:r>
        <w:fldChar w:fldCharType="end"/>
      </w:r>
      <w:r>
        <w:rPr>
          <w:rFonts w:hint="eastAsia"/>
        </w:rPr>
        <w:t xml:space="preserve"> </w:t>
      </w:r>
      <w:r>
        <w:t>Main service scenarios and po</w:t>
      </w:r>
      <w:r>
        <w:t>sitioning</w:t>
      </w:r>
      <w:r>
        <w:rPr>
          <w:rFonts w:hint="eastAsia"/>
        </w:rPr>
        <w:t xml:space="preserve"> accuracy</w:t>
      </w:r>
      <w:r>
        <w:t xml:space="preserve"> indicators for </w:t>
      </w:r>
      <w:r>
        <w:rPr>
          <w:rFonts w:hint="eastAsia"/>
        </w:rPr>
        <w:t>Public Safety</w:t>
      </w:r>
      <w:bookmarkEnd w:id="47"/>
    </w:p>
    <w:tbl>
      <w:tblPr>
        <w:tblW w:w="7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4084"/>
      </w:tblGrid>
      <w:tr w:rsidR="002B317A">
        <w:trPr>
          <w:trHeight w:val="270"/>
          <w:jc w:val="center"/>
        </w:trPr>
        <w:tc>
          <w:tcPr>
            <w:tcW w:w="3828"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tcPr>
          <w:p w:rsidR="002B317A" w:rsidRDefault="00DC0D6E">
            <w:pPr>
              <w:pStyle w:val="TAH"/>
              <w:rPr>
                <w:rFonts w:ascii="Times New Roman" w:hAnsi="Times New Roman"/>
                <w:sz w:val="20"/>
              </w:rPr>
            </w:pPr>
            <w:r>
              <w:rPr>
                <w:rFonts w:ascii="Times New Roman" w:hAnsi="Times New Roman"/>
                <w:sz w:val="20"/>
              </w:rPr>
              <w:t xml:space="preserve">Use case </w:t>
            </w:r>
          </w:p>
        </w:tc>
        <w:tc>
          <w:tcPr>
            <w:tcW w:w="4084" w:type="dxa"/>
            <w:tcBorders>
              <w:top w:val="single" w:sz="4" w:space="0" w:color="auto"/>
              <w:left w:val="nil"/>
              <w:bottom w:val="single" w:sz="4" w:space="0" w:color="auto"/>
              <w:right w:val="single" w:sz="4" w:space="0" w:color="auto"/>
            </w:tcBorders>
            <w:shd w:val="clear" w:color="auto" w:fill="B6DDE8" w:themeFill="accent5" w:themeFillTint="66"/>
            <w:noWrap/>
            <w:vAlign w:val="center"/>
          </w:tcPr>
          <w:p w:rsidR="002B317A" w:rsidRDefault="00DC0D6E">
            <w:pPr>
              <w:pStyle w:val="TAH"/>
              <w:rPr>
                <w:rFonts w:ascii="Times New Roman" w:hAnsi="Times New Roman"/>
                <w:sz w:val="20"/>
              </w:rPr>
            </w:pPr>
            <w:r>
              <w:rPr>
                <w:rFonts w:ascii="Times New Roman" w:hAnsi="Times New Roman"/>
                <w:sz w:val="20"/>
              </w:rPr>
              <w:t xml:space="preserve">Accuracy </w:t>
            </w:r>
          </w:p>
        </w:tc>
      </w:tr>
      <w:tr w:rsidR="002B317A">
        <w:trPr>
          <w:trHeight w:val="270"/>
          <w:jc w:val="cent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17A" w:rsidRDefault="00DC0D6E">
            <w:pPr>
              <w:pStyle w:val="TAL"/>
              <w:spacing w:before="120" w:after="120"/>
              <w:rPr>
                <w:rFonts w:ascii="Times New Roman" w:hAnsi="Times New Roman"/>
                <w:b/>
                <w:bCs/>
                <w:sz w:val="20"/>
              </w:rPr>
            </w:pPr>
            <w:r>
              <w:rPr>
                <w:rFonts w:ascii="Times New Roman" w:hAnsi="Times New Roman" w:hint="eastAsia"/>
                <w:b/>
                <w:bCs/>
                <w:sz w:val="20"/>
              </w:rPr>
              <w:t>Emergency Calls</w:t>
            </w:r>
          </w:p>
        </w:tc>
        <w:tc>
          <w:tcPr>
            <w:tcW w:w="4084" w:type="dxa"/>
            <w:tcBorders>
              <w:top w:val="single" w:sz="4" w:space="0" w:color="auto"/>
              <w:left w:val="nil"/>
              <w:bottom w:val="single" w:sz="4" w:space="0" w:color="auto"/>
              <w:right w:val="single" w:sz="4" w:space="0" w:color="auto"/>
            </w:tcBorders>
            <w:shd w:val="clear" w:color="auto" w:fill="auto"/>
            <w:noWrap/>
            <w:vAlign w:val="center"/>
          </w:tcPr>
          <w:p w:rsidR="002B317A" w:rsidRDefault="00DC0D6E">
            <w:pPr>
              <w:pStyle w:val="B1"/>
              <w:spacing w:before="120" w:after="120"/>
              <w:jc w:val="left"/>
            </w:pPr>
            <w:r>
              <w:t>[&lt; 50m] horizontal ([80%]), [&lt; 3 m] vertical ([80%])</w:t>
            </w:r>
          </w:p>
        </w:tc>
      </w:tr>
      <w:tr w:rsidR="002B317A">
        <w:trPr>
          <w:trHeight w:val="270"/>
          <w:jc w:val="cent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17A" w:rsidRDefault="00DC0D6E">
            <w:pPr>
              <w:pStyle w:val="TAL"/>
              <w:spacing w:before="120" w:after="120"/>
              <w:rPr>
                <w:rFonts w:ascii="Times New Roman" w:hAnsi="Times New Roman"/>
                <w:b/>
                <w:bCs/>
                <w:sz w:val="20"/>
              </w:rPr>
            </w:pPr>
            <w:r>
              <w:rPr>
                <w:rFonts w:ascii="Times New Roman" w:hAnsi="Times New Roman" w:hint="eastAsia"/>
                <w:b/>
                <w:bCs/>
                <w:sz w:val="20"/>
              </w:rPr>
              <w:t>Man-down during 1st Responder Operation</w:t>
            </w:r>
          </w:p>
        </w:tc>
        <w:tc>
          <w:tcPr>
            <w:tcW w:w="4084" w:type="dxa"/>
            <w:tcBorders>
              <w:top w:val="single" w:sz="4" w:space="0" w:color="auto"/>
              <w:left w:val="nil"/>
              <w:bottom w:val="single" w:sz="4" w:space="0" w:color="auto"/>
              <w:right w:val="single" w:sz="4" w:space="0" w:color="auto"/>
            </w:tcBorders>
            <w:shd w:val="clear" w:color="auto" w:fill="auto"/>
            <w:noWrap/>
            <w:vAlign w:val="center"/>
          </w:tcPr>
          <w:p w:rsidR="002B317A" w:rsidRDefault="00DC0D6E">
            <w:pPr>
              <w:spacing w:before="120" w:after="120"/>
              <w:jc w:val="left"/>
            </w:pPr>
            <w:r>
              <w:rPr>
                <w:rFonts w:hint="eastAsia"/>
              </w:rPr>
              <w:t xml:space="preserve">Outdoor: </w:t>
            </w:r>
            <w:r>
              <w:t>- Accuracy &lt; [1m] horizontal [95%], &lt; [0.3] meters vertical [95%]</w:t>
            </w:r>
          </w:p>
          <w:p w:rsidR="002B317A" w:rsidRDefault="00DC0D6E">
            <w:pPr>
              <w:pStyle w:val="TAC"/>
              <w:spacing w:before="120" w:after="120"/>
              <w:jc w:val="left"/>
              <w:rPr>
                <w:rFonts w:ascii="Times New Roman" w:hAnsi="Times New Roman"/>
                <w:sz w:val="20"/>
              </w:rPr>
            </w:pPr>
            <w:r>
              <w:rPr>
                <w:rFonts w:hint="eastAsia"/>
              </w:rPr>
              <w:t xml:space="preserve">Indoor: </w:t>
            </w:r>
            <w:r>
              <w:t>- Accuracy &lt; [1m] horizontal [95%], &lt; [2] meters vertical [95%]</w:t>
            </w:r>
          </w:p>
        </w:tc>
      </w:tr>
      <w:tr w:rsidR="002B317A">
        <w:trPr>
          <w:trHeight w:val="270"/>
          <w:jc w:val="cent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17A" w:rsidRDefault="00DC0D6E">
            <w:pPr>
              <w:pStyle w:val="TAL"/>
              <w:spacing w:before="120" w:after="120"/>
              <w:rPr>
                <w:rFonts w:ascii="Times New Roman" w:hAnsi="Times New Roman"/>
                <w:b/>
                <w:bCs/>
                <w:sz w:val="20"/>
              </w:rPr>
            </w:pPr>
            <w:r>
              <w:rPr>
                <w:rFonts w:ascii="Times New Roman" w:hAnsi="Times New Roman" w:hint="eastAsia"/>
                <w:b/>
                <w:bCs/>
                <w:sz w:val="20"/>
              </w:rPr>
              <w:t>Alerting Emergence Service Providers</w:t>
            </w:r>
          </w:p>
        </w:tc>
        <w:tc>
          <w:tcPr>
            <w:tcW w:w="4084" w:type="dxa"/>
            <w:tcBorders>
              <w:top w:val="single" w:sz="4" w:space="0" w:color="auto"/>
              <w:left w:val="nil"/>
              <w:bottom w:val="single" w:sz="4" w:space="0" w:color="auto"/>
              <w:right w:val="single" w:sz="4" w:space="0" w:color="auto"/>
            </w:tcBorders>
            <w:shd w:val="clear" w:color="auto" w:fill="auto"/>
            <w:noWrap/>
            <w:vAlign w:val="center"/>
          </w:tcPr>
          <w:p w:rsidR="002B317A" w:rsidRDefault="00DC0D6E">
            <w:pPr>
              <w:pStyle w:val="TAC"/>
              <w:spacing w:before="120" w:after="120"/>
              <w:jc w:val="left"/>
            </w:pPr>
            <w:r>
              <w:t>a horizontal resolution of less than [50 m] and, indoors, a vertical resolution sufficiently accurate to determine the floor, so typically less th</w:t>
            </w:r>
            <w:r>
              <w:t>an [3 m].</w:t>
            </w:r>
          </w:p>
          <w:p w:rsidR="002B317A" w:rsidRDefault="00DC0D6E">
            <w:pPr>
              <w:pStyle w:val="TAC"/>
              <w:spacing w:before="120" w:after="120"/>
              <w:jc w:val="left"/>
              <w:rPr>
                <w:rFonts w:ascii="Times New Roman" w:hAnsi="Times New Roman"/>
                <w:sz w:val="20"/>
              </w:rPr>
            </w:pPr>
            <w:r>
              <w:t>with a horizontal accuracy less than [10 m] and, indoors, with a vertical accuracy sufficiently accurate to determine the floor, so typically less than [3 m].</w:t>
            </w:r>
          </w:p>
        </w:tc>
      </w:tr>
      <w:tr w:rsidR="002B317A">
        <w:trPr>
          <w:trHeight w:val="270"/>
          <w:jc w:val="cent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17A" w:rsidRDefault="00DC0D6E">
            <w:pPr>
              <w:pStyle w:val="TAL"/>
              <w:spacing w:before="120" w:after="120"/>
              <w:rPr>
                <w:rFonts w:ascii="Times New Roman" w:hAnsi="Times New Roman"/>
                <w:b/>
                <w:bCs/>
                <w:sz w:val="20"/>
              </w:rPr>
            </w:pPr>
            <w:r>
              <w:rPr>
                <w:rFonts w:ascii="Times New Roman" w:hAnsi="Times New Roman" w:hint="eastAsia"/>
                <w:b/>
                <w:bCs/>
                <w:sz w:val="20"/>
              </w:rPr>
              <w:t xml:space="preserve"> Unmanned Aerial Vehicle</w:t>
            </w:r>
          </w:p>
        </w:tc>
        <w:tc>
          <w:tcPr>
            <w:tcW w:w="4084" w:type="dxa"/>
            <w:tcBorders>
              <w:top w:val="single" w:sz="4" w:space="0" w:color="auto"/>
              <w:left w:val="nil"/>
              <w:bottom w:val="single" w:sz="4" w:space="0" w:color="auto"/>
              <w:right w:val="single" w:sz="4" w:space="0" w:color="auto"/>
            </w:tcBorders>
            <w:shd w:val="clear" w:color="auto" w:fill="auto"/>
            <w:noWrap/>
            <w:vAlign w:val="center"/>
          </w:tcPr>
          <w:p w:rsidR="002B317A" w:rsidRDefault="00DC0D6E">
            <w:pPr>
              <w:pStyle w:val="TAC"/>
              <w:spacing w:before="120" w:after="120"/>
              <w:jc w:val="left"/>
              <w:rPr>
                <w:rFonts w:ascii="Times New Roman" w:hAnsi="Times New Roman"/>
                <w:sz w:val="20"/>
              </w:rPr>
            </w:pPr>
            <w:r>
              <w:t>Service area is outdoor. Accuracy: 0,1-0,5m horizontal, 0,1 –</w:t>
            </w:r>
            <w:r>
              <w:t xml:space="preserve"> 0,3m vertical,</w:t>
            </w:r>
            <w:r>
              <w:rPr>
                <w:rFonts w:hint="eastAsia"/>
              </w:rPr>
              <w:t xml:space="preserve"> </w:t>
            </w:r>
            <w:r>
              <w:t>Velocity &lt;0,5m/s, Availability: 99-99,9%,</w:t>
            </w:r>
          </w:p>
        </w:tc>
      </w:tr>
    </w:tbl>
    <w:p w:rsidR="002B317A" w:rsidRDefault="002B317A">
      <w:pPr>
        <w:spacing w:before="120" w:after="120"/>
      </w:pPr>
    </w:p>
    <w:p w:rsidR="002B317A" w:rsidRDefault="00DC0D6E">
      <w:pPr>
        <w:pStyle w:val="YJ-Proposal"/>
        <w:spacing w:before="120" w:after="120"/>
      </w:pPr>
      <w:bookmarkStart w:id="48" w:name="_Toc66711589"/>
      <w:bookmarkStart w:id="49" w:name="_Toc66711625"/>
      <w:r>
        <w:rPr>
          <w:rFonts w:hint="eastAsia"/>
        </w:rPr>
        <w:t xml:space="preserve">Capture the accuracy requirements in </w:t>
      </w:r>
      <w:r>
        <w:rPr>
          <w:rFonts w:hint="eastAsia"/>
        </w:rPr>
        <w:fldChar w:fldCharType="begin"/>
      </w:r>
      <w:r>
        <w:instrText xml:space="preserve"> REF _Ref66697828 \h  \* MERGEFORMAT </w:instrText>
      </w:r>
      <w:r>
        <w:rPr>
          <w:rFonts w:hint="eastAsia"/>
        </w:rPr>
      </w:r>
      <w:r>
        <w:rPr>
          <w:rFonts w:hint="eastAsia"/>
        </w:rPr>
        <w:fldChar w:fldCharType="separate"/>
      </w:r>
      <w:r>
        <w:t>Table 2</w:t>
      </w:r>
      <w:r>
        <w:rPr>
          <w:rFonts w:hint="eastAsia"/>
        </w:rPr>
        <w:t xml:space="preserve"> </w:t>
      </w:r>
      <w:r>
        <w:rPr>
          <w:rFonts w:hint="eastAsia"/>
        </w:rPr>
        <w:fldChar w:fldCharType="end"/>
      </w:r>
      <w:r>
        <w:rPr>
          <w:rFonts w:hint="eastAsia"/>
        </w:rPr>
        <w:t>for public safety use cases in the TR</w:t>
      </w:r>
      <w:bookmarkEnd w:id="48"/>
      <w:bookmarkEnd w:id="49"/>
    </w:p>
    <w:p w:rsidR="002B317A" w:rsidRDefault="00DC0D6E">
      <w:pPr>
        <w:pStyle w:val="YJ-Proposal"/>
        <w:spacing w:before="120" w:after="120"/>
      </w:pPr>
      <w:bookmarkStart w:id="50" w:name="_Toc66711590"/>
      <w:bookmarkStart w:id="51" w:name="_Toc66711626"/>
      <w:r>
        <w:rPr>
          <w:rStyle w:val="af"/>
          <w:rFonts w:hint="eastAsia"/>
          <w:i/>
          <w:shd w:val="clear" w:color="auto" w:fill="FFFFFF"/>
        </w:rPr>
        <w:t>To design</w:t>
      </w:r>
      <w:r>
        <w:rPr>
          <w:rStyle w:val="af"/>
          <w:rFonts w:hint="eastAsia"/>
          <w:i/>
          <w:shd w:val="clear" w:color="auto" w:fill="FFFFFF"/>
        </w:rPr>
        <w:t>/evaluate the potential solutions,</w:t>
      </w:r>
      <w:r>
        <w:rPr>
          <w:rFonts w:hint="eastAsia"/>
        </w:rPr>
        <w:t xml:space="preserve"> consider the following 3 categories of positioning accuracy requirement for public safety use cases</w:t>
      </w:r>
      <w:bookmarkEnd w:id="50"/>
      <w:bookmarkEnd w:id="51"/>
    </w:p>
    <w:p w:rsidR="002B317A" w:rsidRDefault="00DC0D6E">
      <w:pPr>
        <w:pStyle w:val="YJ-Proposal"/>
        <w:numPr>
          <w:ilvl w:val="0"/>
          <w:numId w:val="0"/>
        </w:numPr>
        <w:spacing w:before="120" w:after="120"/>
      </w:pPr>
      <w:bookmarkStart w:id="52" w:name="_Toc66711591"/>
      <w:bookmarkStart w:id="53" w:name="_Toc66711627"/>
      <w:r>
        <w:rPr>
          <w:rFonts w:hint="eastAsia"/>
        </w:rPr>
        <w:t>- decimal-meter level i.e. up to 10m</w:t>
      </w:r>
      <w:bookmarkEnd w:id="52"/>
      <w:bookmarkEnd w:id="53"/>
      <w:r>
        <w:rPr>
          <w:rFonts w:hint="eastAsia"/>
        </w:rPr>
        <w:t xml:space="preserve"> </w:t>
      </w:r>
    </w:p>
    <w:p w:rsidR="002B317A" w:rsidRDefault="00DC0D6E">
      <w:pPr>
        <w:pStyle w:val="YJ-Proposal"/>
        <w:numPr>
          <w:ilvl w:val="0"/>
          <w:numId w:val="0"/>
        </w:numPr>
        <w:spacing w:before="120" w:after="120"/>
      </w:pPr>
      <w:bookmarkStart w:id="54" w:name="_Toc66711592"/>
      <w:bookmarkStart w:id="55" w:name="_Toc66711628"/>
      <w:r>
        <w:rPr>
          <w:rFonts w:hint="eastAsia"/>
        </w:rPr>
        <w:t>- meter level i.e. up to 1.5m</w:t>
      </w:r>
      <w:bookmarkEnd w:id="54"/>
      <w:bookmarkEnd w:id="55"/>
    </w:p>
    <w:p w:rsidR="002B317A" w:rsidRDefault="00DC0D6E">
      <w:pPr>
        <w:pStyle w:val="YJ-Proposal"/>
        <w:numPr>
          <w:ilvl w:val="0"/>
          <w:numId w:val="0"/>
        </w:numPr>
        <w:spacing w:before="120" w:after="120"/>
      </w:pPr>
      <w:bookmarkStart w:id="56" w:name="_Toc66711593"/>
      <w:bookmarkStart w:id="57" w:name="_Toc66711629"/>
      <w:r>
        <w:rPr>
          <w:rFonts w:hint="eastAsia"/>
        </w:rPr>
        <w:t>- sub-meter level i.e. up to 0.1m</w:t>
      </w:r>
      <w:bookmarkEnd w:id="56"/>
      <w:bookmarkEnd w:id="57"/>
    </w:p>
    <w:p w:rsidR="002B317A" w:rsidRDefault="002B317A">
      <w:pPr>
        <w:spacing w:before="120" w:after="120"/>
      </w:pPr>
    </w:p>
    <w:p w:rsidR="002B317A" w:rsidRDefault="00DC0D6E">
      <w:pPr>
        <w:pStyle w:val="3"/>
        <w:spacing w:beforeLines="0" w:afterLines="0" w:line="240" w:lineRule="auto"/>
        <w:ind w:right="210"/>
        <w:jc w:val="left"/>
      </w:pPr>
      <w:r>
        <w:rPr>
          <w:rFonts w:hint="eastAsia"/>
        </w:rPr>
        <w:t>Latency</w:t>
      </w:r>
    </w:p>
    <w:p w:rsidR="002B317A" w:rsidRDefault="00DC0D6E">
      <w:pPr>
        <w:pStyle w:val="YJ--"/>
        <w:spacing w:before="120" w:after="120"/>
      </w:pPr>
      <w:r>
        <w:rPr>
          <w:rFonts w:hint="eastAsia"/>
        </w:rPr>
        <w:t xml:space="preserve">For V2X, latency requirements on the following use case categories are summarized from [7][8][9]. </w:t>
      </w:r>
    </w:p>
    <w:p w:rsidR="002B317A" w:rsidRDefault="00DC0D6E">
      <w:pPr>
        <w:pStyle w:val="a3"/>
        <w:keepNext/>
        <w:jc w:val="center"/>
      </w:pPr>
      <w:bookmarkStart w:id="58" w:name="_Ref66698241"/>
      <w:r>
        <w:t xml:space="preserve">Table </w:t>
      </w:r>
      <w:r>
        <w:fldChar w:fldCharType="begin"/>
      </w:r>
      <w:r>
        <w:instrText xml:space="preserve"> SEQ Table \* ARABIC </w:instrText>
      </w:r>
      <w:r>
        <w:fldChar w:fldCharType="separate"/>
      </w:r>
      <w:r>
        <w:t>3</w:t>
      </w:r>
      <w:r>
        <w:fldChar w:fldCharType="end"/>
      </w:r>
      <w:r>
        <w:rPr>
          <w:rFonts w:hint="eastAsia"/>
        </w:rPr>
        <w:t xml:space="preserve"> </w:t>
      </w:r>
      <w:r>
        <w:t>Main service scenarios and positioning</w:t>
      </w:r>
      <w:r>
        <w:rPr>
          <w:rFonts w:hint="eastAsia"/>
        </w:rPr>
        <w:t xml:space="preserve"> latency</w:t>
      </w:r>
      <w:r>
        <w:t xml:space="preserve"> indicators for C-V2X</w:t>
      </w:r>
      <w:bookmarkEnd w:id="58"/>
    </w:p>
    <w:tbl>
      <w:tblPr>
        <w:tblW w:w="7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1"/>
        <w:gridCol w:w="2682"/>
      </w:tblGrid>
      <w:tr w:rsidR="002B317A">
        <w:trPr>
          <w:trHeight w:val="270"/>
          <w:jc w:val="center"/>
        </w:trPr>
        <w:tc>
          <w:tcPr>
            <w:tcW w:w="4371"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tcPr>
          <w:p w:rsidR="002B317A" w:rsidRDefault="00DC0D6E">
            <w:pPr>
              <w:pStyle w:val="TAH"/>
              <w:rPr>
                <w:rFonts w:ascii="Times New Roman" w:hAnsi="Times New Roman"/>
                <w:sz w:val="20"/>
                <w:lang w:eastAsia="zh-CN"/>
              </w:rPr>
            </w:pPr>
            <w:r>
              <w:rPr>
                <w:rFonts w:ascii="Times New Roman" w:hAnsi="Times New Roman"/>
                <w:sz w:val="20"/>
              </w:rPr>
              <w:t xml:space="preserve">Use case </w:t>
            </w:r>
            <w:r>
              <w:rPr>
                <w:rFonts w:ascii="Times New Roman" w:hAnsi="Times New Roman" w:hint="eastAsia"/>
                <w:sz w:val="20"/>
                <w:lang w:eastAsia="zh-CN"/>
              </w:rPr>
              <w:t>Category</w:t>
            </w:r>
          </w:p>
        </w:tc>
        <w:tc>
          <w:tcPr>
            <w:tcW w:w="2682" w:type="dxa"/>
            <w:tcBorders>
              <w:top w:val="single" w:sz="4" w:space="0" w:color="auto"/>
              <w:left w:val="nil"/>
              <w:bottom w:val="single" w:sz="4" w:space="0" w:color="auto"/>
              <w:right w:val="single" w:sz="4" w:space="0" w:color="auto"/>
            </w:tcBorders>
            <w:shd w:val="clear" w:color="auto" w:fill="B6DDE8" w:themeFill="accent5" w:themeFillTint="66"/>
            <w:noWrap/>
            <w:vAlign w:val="center"/>
          </w:tcPr>
          <w:p w:rsidR="002B317A" w:rsidRDefault="00DC0D6E">
            <w:pPr>
              <w:pStyle w:val="TAH"/>
              <w:rPr>
                <w:rFonts w:ascii="Times New Roman" w:hAnsi="Times New Roman"/>
                <w:sz w:val="20"/>
              </w:rPr>
            </w:pPr>
            <w:r>
              <w:rPr>
                <w:rFonts w:ascii="Times New Roman" w:hAnsi="Times New Roman" w:hint="eastAsia"/>
                <w:sz w:val="20"/>
                <w:lang w:eastAsia="zh-CN"/>
              </w:rPr>
              <w:t>Latency Requirement</w:t>
            </w:r>
            <w:r>
              <w:rPr>
                <w:rFonts w:ascii="Times New Roman" w:hAnsi="Times New Roman"/>
                <w:sz w:val="20"/>
              </w:rPr>
              <w:t xml:space="preserve"> </w:t>
            </w:r>
          </w:p>
        </w:tc>
      </w:tr>
      <w:tr w:rsidR="002B317A">
        <w:trPr>
          <w:trHeight w:val="270"/>
          <w:jc w:val="center"/>
        </w:trPr>
        <w:tc>
          <w:tcPr>
            <w:tcW w:w="4371" w:type="dxa"/>
            <w:tcBorders>
              <w:top w:val="single" w:sz="4" w:space="0" w:color="auto"/>
              <w:left w:val="single" w:sz="4" w:space="0" w:color="auto"/>
              <w:bottom w:val="single" w:sz="4" w:space="0" w:color="auto"/>
              <w:right w:val="single" w:sz="4" w:space="0" w:color="auto"/>
            </w:tcBorders>
            <w:noWrap/>
          </w:tcPr>
          <w:p w:rsidR="002B317A" w:rsidRDefault="00DC0D6E">
            <w:pPr>
              <w:spacing w:before="120" w:after="120"/>
              <w:rPr>
                <w:b/>
                <w:bCs/>
              </w:rPr>
            </w:pPr>
            <w:r>
              <w:rPr>
                <w:b/>
                <w:bCs/>
              </w:rPr>
              <w:t>Automotive: senso</w:t>
            </w:r>
            <w:r>
              <w:rPr>
                <w:b/>
                <w:bCs/>
              </w:rPr>
              <w:t xml:space="preserve">r and state map </w:t>
            </w:r>
            <w:r>
              <w:rPr>
                <w:rFonts w:hint="eastAsia"/>
                <w:b/>
                <w:bCs/>
              </w:rPr>
              <w:t>sharing</w:t>
            </w:r>
          </w:p>
        </w:tc>
        <w:tc>
          <w:tcPr>
            <w:tcW w:w="2682" w:type="dxa"/>
            <w:tcBorders>
              <w:top w:val="single" w:sz="4" w:space="0" w:color="auto"/>
              <w:left w:val="nil"/>
              <w:bottom w:val="single" w:sz="4" w:space="0" w:color="auto"/>
              <w:right w:val="single" w:sz="4" w:space="0" w:color="auto"/>
            </w:tcBorders>
            <w:noWrap/>
            <w:vAlign w:val="center"/>
          </w:tcPr>
          <w:p w:rsidR="002B317A" w:rsidRDefault="00DC0D6E">
            <w:pPr>
              <w:pStyle w:val="TAC"/>
              <w:spacing w:before="120" w:after="120"/>
              <w:rPr>
                <w:rFonts w:ascii="Times New Roman" w:hAnsi="Times New Roman"/>
                <w:sz w:val="20"/>
              </w:rPr>
            </w:pPr>
            <w:r>
              <w:rPr>
                <w:rFonts w:ascii="Times New Roman" w:hAnsi="Times New Roman" w:hint="eastAsia"/>
                <w:sz w:val="20"/>
              </w:rPr>
              <w:t>5ms</w:t>
            </w:r>
          </w:p>
        </w:tc>
      </w:tr>
      <w:tr w:rsidR="002B317A">
        <w:trPr>
          <w:trHeight w:val="270"/>
          <w:jc w:val="center"/>
        </w:trPr>
        <w:tc>
          <w:tcPr>
            <w:tcW w:w="4371" w:type="dxa"/>
            <w:tcBorders>
              <w:top w:val="single" w:sz="4" w:space="0" w:color="auto"/>
              <w:left w:val="single" w:sz="4" w:space="0" w:color="auto"/>
              <w:bottom w:val="single" w:sz="4" w:space="0" w:color="auto"/>
              <w:right w:val="single" w:sz="4" w:space="0" w:color="auto"/>
            </w:tcBorders>
            <w:noWrap/>
          </w:tcPr>
          <w:p w:rsidR="002B317A" w:rsidRDefault="00DC0D6E">
            <w:pPr>
              <w:spacing w:before="120" w:after="120"/>
              <w:rPr>
                <w:b/>
                <w:bCs/>
              </w:rPr>
            </w:pPr>
            <w:r>
              <w:rPr>
                <w:rFonts w:hint="eastAsia"/>
                <w:b/>
                <w:bCs/>
              </w:rPr>
              <w:t>Autonomous Driving</w:t>
            </w:r>
          </w:p>
        </w:tc>
        <w:tc>
          <w:tcPr>
            <w:tcW w:w="2682" w:type="dxa"/>
            <w:tcBorders>
              <w:top w:val="single" w:sz="4" w:space="0" w:color="auto"/>
              <w:left w:val="nil"/>
              <w:bottom w:val="single" w:sz="4" w:space="0" w:color="auto"/>
              <w:right w:val="single" w:sz="4" w:space="0" w:color="auto"/>
            </w:tcBorders>
            <w:noWrap/>
            <w:vAlign w:val="center"/>
          </w:tcPr>
          <w:p w:rsidR="002B317A" w:rsidRDefault="00DC0D6E">
            <w:pPr>
              <w:pStyle w:val="TAC"/>
              <w:spacing w:before="120" w:after="120"/>
              <w:rPr>
                <w:rFonts w:ascii="Times New Roman" w:hAnsi="Times New Roman"/>
                <w:sz w:val="20"/>
              </w:rPr>
            </w:pPr>
            <w:r>
              <w:rPr>
                <w:rFonts w:ascii="Times New Roman" w:hAnsi="Times New Roman" w:hint="eastAsia"/>
                <w:sz w:val="20"/>
              </w:rPr>
              <w:t>10ms</w:t>
            </w:r>
          </w:p>
          <w:p w:rsidR="002B317A" w:rsidRDefault="002B317A">
            <w:pPr>
              <w:pStyle w:val="TAC"/>
              <w:spacing w:before="120" w:after="120"/>
              <w:rPr>
                <w:rFonts w:ascii="Times New Roman" w:hAnsi="Times New Roman"/>
                <w:sz w:val="20"/>
              </w:rPr>
            </w:pPr>
          </w:p>
        </w:tc>
      </w:tr>
      <w:tr w:rsidR="002B317A">
        <w:trPr>
          <w:trHeight w:val="270"/>
          <w:jc w:val="center"/>
        </w:trPr>
        <w:tc>
          <w:tcPr>
            <w:tcW w:w="4371" w:type="dxa"/>
            <w:tcBorders>
              <w:top w:val="single" w:sz="4" w:space="0" w:color="auto"/>
              <w:left w:val="single" w:sz="4" w:space="0" w:color="auto"/>
              <w:bottom w:val="single" w:sz="4" w:space="0" w:color="auto"/>
              <w:right w:val="single" w:sz="4" w:space="0" w:color="auto"/>
            </w:tcBorders>
            <w:noWrap/>
          </w:tcPr>
          <w:p w:rsidR="002B317A" w:rsidRDefault="00DC0D6E">
            <w:pPr>
              <w:spacing w:before="120" w:after="120"/>
              <w:rPr>
                <w:b/>
                <w:bCs/>
                <w:color w:val="000000"/>
              </w:rPr>
            </w:pPr>
            <w:r>
              <w:rPr>
                <w:rFonts w:hint="eastAsia"/>
                <w:b/>
                <w:bCs/>
                <w:color w:val="000000"/>
              </w:rPr>
              <w:t>Assisted Driving Applications</w:t>
            </w:r>
          </w:p>
        </w:tc>
        <w:tc>
          <w:tcPr>
            <w:tcW w:w="2682" w:type="dxa"/>
            <w:tcBorders>
              <w:top w:val="single" w:sz="4" w:space="0" w:color="auto"/>
              <w:left w:val="nil"/>
              <w:bottom w:val="single" w:sz="4" w:space="0" w:color="auto"/>
              <w:right w:val="single" w:sz="4" w:space="0" w:color="auto"/>
            </w:tcBorders>
            <w:noWrap/>
            <w:vAlign w:val="center"/>
          </w:tcPr>
          <w:p w:rsidR="002B317A" w:rsidRDefault="00DC0D6E">
            <w:pPr>
              <w:pStyle w:val="TAC"/>
              <w:spacing w:before="120" w:after="120"/>
              <w:rPr>
                <w:rFonts w:ascii="Times New Roman" w:hAnsi="Times New Roman"/>
                <w:color w:val="000000"/>
                <w:sz w:val="20"/>
                <w:lang w:val="fr-FR"/>
              </w:rPr>
            </w:pPr>
            <w:r>
              <w:rPr>
                <w:rFonts w:ascii="Times New Roman" w:hAnsi="Times New Roman" w:hint="eastAsia"/>
                <w:color w:val="000000"/>
                <w:sz w:val="20"/>
                <w:lang w:val="fr-FR"/>
              </w:rPr>
              <w:t>30ms</w:t>
            </w:r>
          </w:p>
        </w:tc>
      </w:tr>
      <w:tr w:rsidR="002B317A">
        <w:trPr>
          <w:trHeight w:val="270"/>
          <w:jc w:val="center"/>
        </w:trPr>
        <w:tc>
          <w:tcPr>
            <w:tcW w:w="4371" w:type="dxa"/>
            <w:tcBorders>
              <w:top w:val="single" w:sz="4" w:space="0" w:color="auto"/>
              <w:left w:val="single" w:sz="4" w:space="0" w:color="auto"/>
              <w:bottom w:val="single" w:sz="4" w:space="0" w:color="auto"/>
              <w:right w:val="single" w:sz="4" w:space="0" w:color="auto"/>
            </w:tcBorders>
            <w:noWrap/>
          </w:tcPr>
          <w:p w:rsidR="002B317A" w:rsidRDefault="00DC0D6E">
            <w:pPr>
              <w:spacing w:before="120" w:after="120"/>
              <w:rPr>
                <w:b/>
                <w:bCs/>
              </w:rPr>
            </w:pPr>
            <w:r>
              <w:rPr>
                <w:rFonts w:hint="eastAsia"/>
                <w:b/>
                <w:bCs/>
              </w:rPr>
              <w:t>Remote driving and Tele-Operating Aspects</w:t>
            </w:r>
          </w:p>
        </w:tc>
        <w:tc>
          <w:tcPr>
            <w:tcW w:w="2682" w:type="dxa"/>
            <w:tcBorders>
              <w:top w:val="single" w:sz="4" w:space="0" w:color="auto"/>
              <w:left w:val="nil"/>
              <w:bottom w:val="single" w:sz="4" w:space="0" w:color="auto"/>
              <w:right w:val="single" w:sz="4" w:space="0" w:color="auto"/>
            </w:tcBorders>
            <w:noWrap/>
            <w:vAlign w:val="center"/>
          </w:tcPr>
          <w:p w:rsidR="002B317A" w:rsidRDefault="00DC0D6E">
            <w:pPr>
              <w:pStyle w:val="TAC"/>
              <w:spacing w:before="120" w:after="120"/>
              <w:rPr>
                <w:rFonts w:ascii="Times New Roman" w:hAnsi="Times New Roman"/>
                <w:sz w:val="20"/>
                <w:lang w:val="fr-FR"/>
              </w:rPr>
            </w:pPr>
            <w:r>
              <w:rPr>
                <w:rFonts w:ascii="Times New Roman" w:hAnsi="Times New Roman" w:hint="eastAsia"/>
                <w:sz w:val="20"/>
                <w:lang w:val="fr-FR"/>
              </w:rPr>
              <w:t>30ms</w:t>
            </w:r>
          </w:p>
        </w:tc>
      </w:tr>
      <w:tr w:rsidR="002B317A">
        <w:trPr>
          <w:trHeight w:val="270"/>
          <w:jc w:val="center"/>
        </w:trPr>
        <w:tc>
          <w:tcPr>
            <w:tcW w:w="4371" w:type="dxa"/>
            <w:tcBorders>
              <w:top w:val="single" w:sz="4" w:space="0" w:color="auto"/>
              <w:left w:val="single" w:sz="4" w:space="0" w:color="auto"/>
              <w:bottom w:val="single" w:sz="4" w:space="0" w:color="auto"/>
              <w:right w:val="single" w:sz="4" w:space="0" w:color="auto"/>
            </w:tcBorders>
            <w:noWrap/>
          </w:tcPr>
          <w:p w:rsidR="002B317A" w:rsidRDefault="00DC0D6E">
            <w:pPr>
              <w:spacing w:before="120" w:after="120"/>
              <w:rPr>
                <w:b/>
                <w:bCs/>
              </w:rPr>
            </w:pPr>
            <w:r>
              <w:rPr>
                <w:rFonts w:hint="eastAsia"/>
                <w:b/>
                <w:bCs/>
              </w:rPr>
              <w:t>Traffic Flow Management</w:t>
            </w:r>
          </w:p>
        </w:tc>
        <w:tc>
          <w:tcPr>
            <w:tcW w:w="2682" w:type="dxa"/>
            <w:tcBorders>
              <w:top w:val="single" w:sz="4" w:space="0" w:color="auto"/>
              <w:left w:val="nil"/>
              <w:bottom w:val="single" w:sz="4" w:space="0" w:color="auto"/>
              <w:right w:val="single" w:sz="4" w:space="0" w:color="auto"/>
            </w:tcBorders>
            <w:noWrap/>
            <w:vAlign w:val="center"/>
          </w:tcPr>
          <w:p w:rsidR="002B317A" w:rsidRDefault="00DC0D6E">
            <w:pPr>
              <w:pStyle w:val="TAC"/>
              <w:spacing w:before="120" w:after="120"/>
              <w:rPr>
                <w:rFonts w:ascii="Times New Roman" w:hAnsi="Times New Roman"/>
                <w:sz w:val="20"/>
              </w:rPr>
            </w:pPr>
            <w:r>
              <w:rPr>
                <w:rFonts w:ascii="Times New Roman" w:hAnsi="Times New Roman" w:hint="eastAsia"/>
                <w:sz w:val="20"/>
              </w:rPr>
              <w:t>400~2500ms</w:t>
            </w:r>
          </w:p>
        </w:tc>
      </w:tr>
      <w:tr w:rsidR="002B317A">
        <w:trPr>
          <w:trHeight w:val="270"/>
          <w:jc w:val="center"/>
        </w:trPr>
        <w:tc>
          <w:tcPr>
            <w:tcW w:w="4371" w:type="dxa"/>
            <w:tcBorders>
              <w:top w:val="single" w:sz="4" w:space="0" w:color="auto"/>
              <w:left w:val="single" w:sz="4" w:space="0" w:color="auto"/>
              <w:bottom w:val="single" w:sz="4" w:space="0" w:color="auto"/>
              <w:right w:val="single" w:sz="4" w:space="0" w:color="auto"/>
            </w:tcBorders>
            <w:noWrap/>
          </w:tcPr>
          <w:p w:rsidR="002B317A" w:rsidRDefault="00DC0D6E">
            <w:pPr>
              <w:spacing w:before="120" w:after="120"/>
              <w:rPr>
                <w:b/>
                <w:bCs/>
              </w:rPr>
            </w:pPr>
            <w:r>
              <w:rPr>
                <w:rFonts w:hint="eastAsia"/>
                <w:b/>
                <w:bCs/>
              </w:rPr>
              <w:t>Vehicle Operations Management</w:t>
            </w:r>
          </w:p>
        </w:tc>
        <w:tc>
          <w:tcPr>
            <w:tcW w:w="2682" w:type="dxa"/>
            <w:tcBorders>
              <w:top w:val="single" w:sz="4" w:space="0" w:color="auto"/>
              <w:left w:val="nil"/>
              <w:bottom w:val="single" w:sz="4" w:space="0" w:color="auto"/>
              <w:right w:val="single" w:sz="4" w:space="0" w:color="auto"/>
            </w:tcBorders>
            <w:noWrap/>
            <w:vAlign w:val="center"/>
          </w:tcPr>
          <w:p w:rsidR="002B317A" w:rsidRDefault="00DC0D6E">
            <w:pPr>
              <w:pStyle w:val="TAC"/>
              <w:spacing w:before="120" w:after="120"/>
              <w:rPr>
                <w:rFonts w:ascii="Times New Roman" w:hAnsi="Times New Roman"/>
                <w:sz w:val="20"/>
              </w:rPr>
            </w:pPr>
            <w:r>
              <w:rPr>
                <w:rFonts w:ascii="Times New Roman" w:hAnsi="Times New Roman" w:hint="eastAsia"/>
                <w:sz w:val="20"/>
              </w:rPr>
              <w:t>5s</w:t>
            </w:r>
          </w:p>
        </w:tc>
      </w:tr>
      <w:tr w:rsidR="002B317A">
        <w:trPr>
          <w:trHeight w:val="270"/>
          <w:jc w:val="center"/>
        </w:trPr>
        <w:tc>
          <w:tcPr>
            <w:tcW w:w="4371" w:type="dxa"/>
            <w:tcBorders>
              <w:top w:val="single" w:sz="4" w:space="0" w:color="auto"/>
              <w:left w:val="single" w:sz="4" w:space="0" w:color="auto"/>
              <w:bottom w:val="single" w:sz="4" w:space="0" w:color="auto"/>
              <w:right w:val="single" w:sz="4" w:space="0" w:color="auto"/>
            </w:tcBorders>
            <w:noWrap/>
          </w:tcPr>
          <w:p w:rsidR="002B317A" w:rsidRDefault="00DC0D6E">
            <w:pPr>
              <w:spacing w:before="120" w:after="120"/>
              <w:rPr>
                <w:b/>
                <w:bCs/>
              </w:rPr>
            </w:pPr>
            <w:r>
              <w:rPr>
                <w:rFonts w:hint="eastAsia"/>
                <w:b/>
                <w:bCs/>
              </w:rPr>
              <w:t>Platooning</w:t>
            </w:r>
          </w:p>
        </w:tc>
        <w:tc>
          <w:tcPr>
            <w:tcW w:w="2682" w:type="dxa"/>
            <w:tcBorders>
              <w:top w:val="single" w:sz="4" w:space="0" w:color="auto"/>
              <w:left w:val="nil"/>
              <w:bottom w:val="single" w:sz="4" w:space="0" w:color="auto"/>
              <w:right w:val="single" w:sz="4" w:space="0" w:color="auto"/>
            </w:tcBorders>
            <w:noWrap/>
            <w:vAlign w:val="center"/>
          </w:tcPr>
          <w:p w:rsidR="002B317A" w:rsidRDefault="00DC0D6E">
            <w:pPr>
              <w:pStyle w:val="TAC"/>
              <w:spacing w:before="120" w:after="120"/>
              <w:rPr>
                <w:rFonts w:ascii="Times New Roman" w:hAnsi="Times New Roman"/>
                <w:sz w:val="20"/>
              </w:rPr>
            </w:pPr>
            <w:r>
              <w:rPr>
                <w:rFonts w:ascii="Times New Roman" w:hAnsi="Times New Roman" w:hint="eastAsia"/>
                <w:sz w:val="20"/>
              </w:rPr>
              <w:t xml:space="preserve">100ms,50ms </w:t>
            </w:r>
            <w:r>
              <w:rPr>
                <w:rFonts w:ascii="Times New Roman" w:hAnsi="Times New Roman" w:hint="eastAsia"/>
                <w:color w:val="FF0000"/>
                <w:sz w:val="20"/>
              </w:rPr>
              <w:t xml:space="preserve"> </w:t>
            </w:r>
          </w:p>
        </w:tc>
      </w:tr>
      <w:tr w:rsidR="002B317A">
        <w:trPr>
          <w:trHeight w:val="270"/>
          <w:jc w:val="center"/>
        </w:trPr>
        <w:tc>
          <w:tcPr>
            <w:tcW w:w="4371" w:type="dxa"/>
            <w:tcBorders>
              <w:top w:val="single" w:sz="4" w:space="0" w:color="auto"/>
              <w:left w:val="single" w:sz="4" w:space="0" w:color="auto"/>
              <w:bottom w:val="single" w:sz="4" w:space="0" w:color="auto"/>
              <w:right w:val="single" w:sz="4" w:space="0" w:color="auto"/>
            </w:tcBorders>
            <w:noWrap/>
          </w:tcPr>
          <w:p w:rsidR="002B317A" w:rsidRDefault="00DC0D6E">
            <w:pPr>
              <w:spacing w:before="120" w:after="120"/>
              <w:rPr>
                <w:b/>
                <w:bCs/>
              </w:rPr>
            </w:pPr>
            <w:r>
              <w:rPr>
                <w:rFonts w:hint="eastAsia"/>
                <w:b/>
                <w:bCs/>
              </w:rPr>
              <w:t>Entertainment</w:t>
            </w:r>
          </w:p>
        </w:tc>
        <w:tc>
          <w:tcPr>
            <w:tcW w:w="2682" w:type="dxa"/>
            <w:tcBorders>
              <w:top w:val="single" w:sz="4" w:space="0" w:color="auto"/>
              <w:left w:val="nil"/>
              <w:bottom w:val="single" w:sz="4" w:space="0" w:color="auto"/>
              <w:right w:val="single" w:sz="4" w:space="0" w:color="auto"/>
            </w:tcBorders>
            <w:noWrap/>
            <w:vAlign w:val="center"/>
          </w:tcPr>
          <w:p w:rsidR="002B317A" w:rsidRDefault="00DC0D6E">
            <w:pPr>
              <w:pStyle w:val="TAC"/>
              <w:spacing w:before="120" w:after="120"/>
              <w:rPr>
                <w:rFonts w:ascii="Times New Roman" w:hAnsi="Times New Roman"/>
                <w:sz w:val="20"/>
              </w:rPr>
            </w:pPr>
            <w:r>
              <w:rPr>
                <w:rFonts w:ascii="Times New Roman" w:hAnsi="Times New Roman" w:hint="eastAsia"/>
                <w:sz w:val="20"/>
              </w:rPr>
              <w:t>5s</w:t>
            </w:r>
          </w:p>
        </w:tc>
      </w:tr>
    </w:tbl>
    <w:p w:rsidR="002B317A" w:rsidRDefault="002B317A">
      <w:pPr>
        <w:spacing w:before="120" w:after="120"/>
      </w:pPr>
    </w:p>
    <w:p w:rsidR="002B317A" w:rsidRDefault="00DC0D6E">
      <w:pPr>
        <w:pStyle w:val="YJ-Proposal"/>
        <w:spacing w:before="120" w:after="120"/>
      </w:pPr>
      <w:bookmarkStart w:id="59" w:name="_Toc66711630"/>
      <w:bookmarkStart w:id="60" w:name="_Toc66711594"/>
      <w:r>
        <w:rPr>
          <w:rFonts w:hint="eastAsia"/>
        </w:rPr>
        <w:t xml:space="preserve">Capture the latency requirements in </w:t>
      </w:r>
      <w:r>
        <w:fldChar w:fldCharType="begin"/>
      </w:r>
      <w:r>
        <w:instrText xml:space="preserve"> REF _Ref66698241 \h  \* MERGEFORMAT </w:instrText>
      </w:r>
      <w:r>
        <w:fldChar w:fldCharType="separate"/>
      </w:r>
      <w:r>
        <w:t>Table 3</w:t>
      </w:r>
      <w:r>
        <w:fldChar w:fldCharType="end"/>
      </w:r>
      <w:r>
        <w:rPr>
          <w:rFonts w:hint="eastAsia"/>
        </w:rPr>
        <w:t xml:space="preserve"> for each V2X use case in the TR</w:t>
      </w:r>
      <w:bookmarkEnd w:id="59"/>
      <w:bookmarkEnd w:id="60"/>
    </w:p>
    <w:p w:rsidR="002B317A" w:rsidRDefault="00DC0D6E">
      <w:pPr>
        <w:pStyle w:val="YJ-Proposal"/>
        <w:spacing w:before="120" w:after="120"/>
      </w:pPr>
      <w:bookmarkStart w:id="61" w:name="_Toc66711595"/>
      <w:bookmarkStart w:id="62" w:name="_Toc66711631"/>
      <w:r>
        <w:rPr>
          <w:rFonts w:hint="eastAsia"/>
        </w:rPr>
        <w:t>To design/evaluate the potential solutions, consider the following 3 categor</w:t>
      </w:r>
      <w:r>
        <w:rPr>
          <w:rFonts w:hint="eastAsia"/>
        </w:rPr>
        <w:t>ies of latency requirements.</w:t>
      </w:r>
      <w:bookmarkEnd w:id="61"/>
      <w:bookmarkEnd w:id="62"/>
    </w:p>
    <w:p w:rsidR="002B317A" w:rsidRDefault="00DC0D6E">
      <w:pPr>
        <w:pStyle w:val="YJ-Proposal"/>
        <w:numPr>
          <w:ilvl w:val="0"/>
          <w:numId w:val="0"/>
        </w:numPr>
        <w:spacing w:before="120" w:after="120"/>
      </w:pPr>
      <w:bookmarkStart w:id="63" w:name="_Toc66711632"/>
      <w:bookmarkStart w:id="64" w:name="_Toc66711596"/>
      <w:bookmarkStart w:id="65" w:name="_Toc66711373"/>
      <w:r>
        <w:rPr>
          <w:rFonts w:hint="eastAsia"/>
        </w:rPr>
        <w:t>- milli-second level: 5ms</w:t>
      </w:r>
      <w:bookmarkEnd w:id="63"/>
      <w:bookmarkEnd w:id="64"/>
      <w:bookmarkEnd w:id="65"/>
    </w:p>
    <w:p w:rsidR="002B317A" w:rsidRDefault="00DC0D6E">
      <w:pPr>
        <w:pStyle w:val="YJ-Proposal"/>
        <w:numPr>
          <w:ilvl w:val="0"/>
          <w:numId w:val="0"/>
        </w:numPr>
        <w:spacing w:before="120" w:after="120"/>
      </w:pPr>
      <w:bookmarkStart w:id="66" w:name="_Toc66711597"/>
      <w:bookmarkStart w:id="67" w:name="_Toc66711633"/>
      <w:bookmarkStart w:id="68" w:name="_Toc66711374"/>
      <w:r>
        <w:rPr>
          <w:rFonts w:hint="eastAsia"/>
        </w:rPr>
        <w:t>- decimal milli-second level: up to 30ms</w:t>
      </w:r>
      <w:bookmarkEnd w:id="66"/>
      <w:bookmarkEnd w:id="67"/>
      <w:bookmarkEnd w:id="68"/>
    </w:p>
    <w:p w:rsidR="002B317A" w:rsidRDefault="00DC0D6E">
      <w:pPr>
        <w:pStyle w:val="YJ-Proposal"/>
        <w:numPr>
          <w:ilvl w:val="0"/>
          <w:numId w:val="0"/>
        </w:numPr>
        <w:spacing w:before="120" w:after="120"/>
        <w:rPr>
          <w:lang w:eastAsia="zh-CN"/>
        </w:rPr>
      </w:pPr>
      <w:bookmarkStart w:id="69" w:name="_Toc66711634"/>
      <w:bookmarkStart w:id="70" w:name="_Toc66711375"/>
      <w:bookmarkStart w:id="71" w:name="_Toc66711598"/>
      <w:r>
        <w:rPr>
          <w:rFonts w:hint="eastAsia"/>
        </w:rPr>
        <w:t>- second level: 5s</w:t>
      </w:r>
      <w:bookmarkEnd w:id="69"/>
      <w:bookmarkEnd w:id="70"/>
      <w:bookmarkEnd w:id="71"/>
    </w:p>
    <w:p w:rsidR="002B317A" w:rsidRDefault="00DC0D6E">
      <w:pPr>
        <w:spacing w:before="120" w:after="120"/>
      </w:pPr>
      <w:r>
        <w:rPr>
          <w:rFonts w:hint="eastAsia"/>
        </w:rPr>
        <w:t>For public safety, the latency requirements are synthesized from [4]</w:t>
      </w:r>
    </w:p>
    <w:p w:rsidR="002B317A" w:rsidRDefault="00DC0D6E">
      <w:pPr>
        <w:pStyle w:val="a3"/>
        <w:keepNext/>
        <w:jc w:val="center"/>
      </w:pPr>
      <w:bookmarkStart w:id="72" w:name="_Ref66698347"/>
      <w:r>
        <w:t xml:space="preserve">Table </w:t>
      </w:r>
      <w:r>
        <w:fldChar w:fldCharType="begin"/>
      </w:r>
      <w:r>
        <w:instrText xml:space="preserve"> SEQ Table \* ARABIC </w:instrText>
      </w:r>
      <w:r>
        <w:fldChar w:fldCharType="separate"/>
      </w:r>
      <w:r>
        <w:t>4</w:t>
      </w:r>
      <w:r>
        <w:fldChar w:fldCharType="end"/>
      </w:r>
      <w:r>
        <w:rPr>
          <w:rFonts w:hint="eastAsia"/>
        </w:rPr>
        <w:t xml:space="preserve"> </w:t>
      </w:r>
      <w:r>
        <w:t>Main service scenarios and positioning</w:t>
      </w:r>
      <w:r>
        <w:rPr>
          <w:rFonts w:hint="eastAsia"/>
        </w:rPr>
        <w:t xml:space="preserve"> latency</w:t>
      </w:r>
      <w:r>
        <w:t xml:space="preserve"> indicators for </w:t>
      </w:r>
      <w:r>
        <w:rPr>
          <w:rFonts w:hint="eastAsia"/>
        </w:rPr>
        <w:t>public safety</w:t>
      </w:r>
      <w:bookmarkEnd w:id="72"/>
    </w:p>
    <w:tbl>
      <w:tblPr>
        <w:tblW w:w="7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1"/>
        <w:gridCol w:w="3215"/>
      </w:tblGrid>
      <w:tr w:rsidR="002B317A">
        <w:trPr>
          <w:trHeight w:val="270"/>
          <w:jc w:val="center"/>
        </w:trPr>
        <w:tc>
          <w:tcPr>
            <w:tcW w:w="3931"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tcPr>
          <w:p w:rsidR="002B317A" w:rsidRDefault="00DC0D6E">
            <w:pPr>
              <w:pStyle w:val="TAH"/>
              <w:rPr>
                <w:rFonts w:ascii="Times New Roman" w:hAnsi="Times New Roman"/>
                <w:sz w:val="20"/>
              </w:rPr>
            </w:pPr>
            <w:r>
              <w:rPr>
                <w:rFonts w:ascii="Times New Roman" w:hAnsi="Times New Roman"/>
                <w:sz w:val="20"/>
              </w:rPr>
              <w:t xml:space="preserve">Use case </w:t>
            </w:r>
          </w:p>
        </w:tc>
        <w:tc>
          <w:tcPr>
            <w:tcW w:w="3215" w:type="dxa"/>
            <w:tcBorders>
              <w:top w:val="single" w:sz="4" w:space="0" w:color="auto"/>
              <w:left w:val="nil"/>
              <w:bottom w:val="single" w:sz="4" w:space="0" w:color="auto"/>
              <w:right w:val="single" w:sz="4" w:space="0" w:color="auto"/>
            </w:tcBorders>
            <w:shd w:val="clear" w:color="auto" w:fill="B6DDE8" w:themeFill="accent5" w:themeFillTint="66"/>
            <w:noWrap/>
            <w:vAlign w:val="center"/>
          </w:tcPr>
          <w:p w:rsidR="002B317A" w:rsidRDefault="00DC0D6E">
            <w:pPr>
              <w:pStyle w:val="TAH"/>
              <w:rPr>
                <w:rFonts w:ascii="Times New Roman" w:hAnsi="Times New Roman"/>
                <w:sz w:val="20"/>
              </w:rPr>
            </w:pPr>
            <w:r>
              <w:rPr>
                <w:rFonts w:ascii="Times New Roman" w:hAnsi="Times New Roman" w:hint="eastAsia"/>
                <w:sz w:val="20"/>
                <w:lang w:eastAsia="zh-CN"/>
              </w:rPr>
              <w:t>Latency</w:t>
            </w:r>
            <w:r>
              <w:rPr>
                <w:rFonts w:ascii="Times New Roman" w:hAnsi="Times New Roman"/>
                <w:sz w:val="20"/>
              </w:rPr>
              <w:t xml:space="preserve"> </w:t>
            </w:r>
          </w:p>
        </w:tc>
      </w:tr>
      <w:tr w:rsidR="002B317A">
        <w:trPr>
          <w:trHeight w:val="491"/>
          <w:jc w:val="center"/>
        </w:trPr>
        <w:tc>
          <w:tcPr>
            <w:tcW w:w="3931" w:type="dxa"/>
            <w:tcBorders>
              <w:top w:val="single" w:sz="4" w:space="0" w:color="auto"/>
              <w:left w:val="single" w:sz="4" w:space="0" w:color="auto"/>
              <w:bottom w:val="single" w:sz="4" w:space="0" w:color="auto"/>
              <w:right w:val="single" w:sz="4" w:space="0" w:color="auto"/>
            </w:tcBorders>
            <w:noWrap/>
            <w:vAlign w:val="center"/>
          </w:tcPr>
          <w:p w:rsidR="002B317A" w:rsidRDefault="00DC0D6E">
            <w:pPr>
              <w:pStyle w:val="TAL"/>
              <w:spacing w:before="120" w:after="120"/>
              <w:rPr>
                <w:rFonts w:ascii="Times New Roman" w:hAnsi="Times New Roman"/>
                <w:b/>
                <w:bCs/>
                <w:sz w:val="20"/>
              </w:rPr>
            </w:pPr>
            <w:r>
              <w:rPr>
                <w:rFonts w:ascii="Times New Roman" w:hAnsi="Times New Roman" w:hint="eastAsia"/>
                <w:b/>
                <w:bCs/>
                <w:sz w:val="20"/>
              </w:rPr>
              <w:t>Emergency Calls</w:t>
            </w:r>
          </w:p>
        </w:tc>
        <w:tc>
          <w:tcPr>
            <w:tcW w:w="3215" w:type="dxa"/>
            <w:tcBorders>
              <w:top w:val="single" w:sz="4" w:space="0" w:color="auto"/>
              <w:left w:val="nil"/>
              <w:bottom w:val="single" w:sz="4" w:space="0" w:color="auto"/>
              <w:right w:val="single" w:sz="4" w:space="0" w:color="auto"/>
            </w:tcBorders>
            <w:noWrap/>
            <w:vAlign w:val="center"/>
          </w:tcPr>
          <w:p w:rsidR="002B317A" w:rsidRDefault="00DC0D6E">
            <w:pPr>
              <w:pStyle w:val="B1"/>
              <w:spacing w:before="120" w:after="120"/>
              <w:jc w:val="center"/>
            </w:pPr>
            <w:r>
              <w:rPr>
                <w:rFonts w:hint="eastAsia"/>
              </w:rPr>
              <w:t>30seconds</w:t>
            </w:r>
          </w:p>
        </w:tc>
      </w:tr>
      <w:tr w:rsidR="002B317A">
        <w:trPr>
          <w:trHeight w:val="270"/>
          <w:jc w:val="center"/>
        </w:trPr>
        <w:tc>
          <w:tcPr>
            <w:tcW w:w="3931" w:type="dxa"/>
            <w:tcBorders>
              <w:top w:val="single" w:sz="4" w:space="0" w:color="auto"/>
              <w:left w:val="single" w:sz="4" w:space="0" w:color="auto"/>
              <w:bottom w:val="single" w:sz="4" w:space="0" w:color="auto"/>
              <w:right w:val="single" w:sz="4" w:space="0" w:color="auto"/>
            </w:tcBorders>
            <w:noWrap/>
            <w:vAlign w:val="center"/>
          </w:tcPr>
          <w:p w:rsidR="002B317A" w:rsidRDefault="00DC0D6E">
            <w:pPr>
              <w:pStyle w:val="TAL"/>
              <w:spacing w:before="120" w:after="120"/>
              <w:rPr>
                <w:rFonts w:ascii="Times New Roman" w:hAnsi="Times New Roman"/>
                <w:b/>
                <w:bCs/>
                <w:sz w:val="20"/>
              </w:rPr>
            </w:pPr>
            <w:r>
              <w:rPr>
                <w:rFonts w:ascii="Times New Roman" w:hAnsi="Times New Roman" w:hint="eastAsia"/>
                <w:b/>
                <w:bCs/>
                <w:sz w:val="20"/>
              </w:rPr>
              <w:t>Man-down during 1st Responder Operation</w:t>
            </w:r>
          </w:p>
        </w:tc>
        <w:tc>
          <w:tcPr>
            <w:tcW w:w="3215" w:type="dxa"/>
            <w:tcBorders>
              <w:top w:val="single" w:sz="4" w:space="0" w:color="auto"/>
              <w:left w:val="nil"/>
              <w:bottom w:val="single" w:sz="4" w:space="0" w:color="auto"/>
              <w:right w:val="single" w:sz="4" w:space="0" w:color="auto"/>
            </w:tcBorders>
            <w:noWrap/>
            <w:vAlign w:val="center"/>
          </w:tcPr>
          <w:p w:rsidR="002B317A" w:rsidRDefault="00DC0D6E">
            <w:pPr>
              <w:spacing w:before="120" w:after="120"/>
              <w:jc w:val="center"/>
            </w:pPr>
            <w:r>
              <w:rPr>
                <w:rFonts w:hint="eastAsia"/>
              </w:rPr>
              <w:t>1 second</w:t>
            </w:r>
          </w:p>
          <w:p w:rsidR="002B317A" w:rsidRDefault="002B317A">
            <w:pPr>
              <w:pStyle w:val="TAC"/>
              <w:spacing w:before="120" w:after="120"/>
              <w:rPr>
                <w:rFonts w:ascii="Times New Roman" w:hAnsi="Times New Roman"/>
                <w:sz w:val="20"/>
              </w:rPr>
            </w:pPr>
          </w:p>
        </w:tc>
      </w:tr>
      <w:tr w:rsidR="002B317A">
        <w:trPr>
          <w:trHeight w:val="270"/>
          <w:jc w:val="center"/>
        </w:trPr>
        <w:tc>
          <w:tcPr>
            <w:tcW w:w="3931" w:type="dxa"/>
            <w:tcBorders>
              <w:top w:val="single" w:sz="4" w:space="0" w:color="auto"/>
              <w:left w:val="single" w:sz="4" w:space="0" w:color="auto"/>
              <w:bottom w:val="single" w:sz="4" w:space="0" w:color="auto"/>
              <w:right w:val="single" w:sz="4" w:space="0" w:color="auto"/>
            </w:tcBorders>
            <w:noWrap/>
            <w:vAlign w:val="center"/>
          </w:tcPr>
          <w:p w:rsidR="002B317A" w:rsidRDefault="00DC0D6E">
            <w:pPr>
              <w:pStyle w:val="TAL"/>
              <w:spacing w:before="120" w:after="120"/>
              <w:rPr>
                <w:rFonts w:ascii="Times New Roman" w:hAnsi="Times New Roman"/>
                <w:b/>
                <w:bCs/>
                <w:sz w:val="20"/>
              </w:rPr>
            </w:pPr>
            <w:r>
              <w:rPr>
                <w:rFonts w:ascii="Times New Roman" w:hAnsi="Times New Roman" w:hint="eastAsia"/>
                <w:b/>
                <w:bCs/>
                <w:sz w:val="20"/>
              </w:rPr>
              <w:t>Alerting Emergence Service Providers</w:t>
            </w:r>
          </w:p>
        </w:tc>
        <w:tc>
          <w:tcPr>
            <w:tcW w:w="3215" w:type="dxa"/>
            <w:tcBorders>
              <w:top w:val="single" w:sz="4" w:space="0" w:color="auto"/>
              <w:left w:val="nil"/>
              <w:bottom w:val="single" w:sz="4" w:space="0" w:color="auto"/>
              <w:right w:val="single" w:sz="4" w:space="0" w:color="auto"/>
            </w:tcBorders>
            <w:noWrap/>
            <w:vAlign w:val="center"/>
          </w:tcPr>
          <w:p w:rsidR="002B317A" w:rsidRDefault="00DC0D6E">
            <w:pPr>
              <w:pStyle w:val="TAC"/>
              <w:spacing w:before="120" w:after="120"/>
              <w:rPr>
                <w:rFonts w:ascii="Times New Roman" w:hAnsi="Times New Roman"/>
                <w:sz w:val="20"/>
              </w:rPr>
            </w:pPr>
            <w:r>
              <w:rPr>
                <w:rFonts w:ascii="Times New Roman" w:hAnsi="Times New Roman"/>
                <w:sz w:val="20"/>
              </w:rPr>
              <w:t>[Similar to Emergency Calls]</w:t>
            </w:r>
          </w:p>
        </w:tc>
      </w:tr>
      <w:tr w:rsidR="002B317A">
        <w:trPr>
          <w:trHeight w:val="270"/>
          <w:jc w:val="center"/>
        </w:trPr>
        <w:tc>
          <w:tcPr>
            <w:tcW w:w="3931" w:type="dxa"/>
            <w:tcBorders>
              <w:top w:val="single" w:sz="4" w:space="0" w:color="auto"/>
              <w:left w:val="single" w:sz="4" w:space="0" w:color="auto"/>
              <w:bottom w:val="single" w:sz="4" w:space="0" w:color="auto"/>
              <w:right w:val="single" w:sz="4" w:space="0" w:color="auto"/>
            </w:tcBorders>
            <w:noWrap/>
            <w:vAlign w:val="center"/>
          </w:tcPr>
          <w:p w:rsidR="002B317A" w:rsidRDefault="00DC0D6E">
            <w:pPr>
              <w:pStyle w:val="TAL"/>
              <w:spacing w:before="120" w:after="120"/>
              <w:rPr>
                <w:rFonts w:ascii="Times New Roman" w:hAnsi="Times New Roman"/>
                <w:b/>
                <w:bCs/>
                <w:sz w:val="20"/>
              </w:rPr>
            </w:pPr>
            <w:r>
              <w:rPr>
                <w:rFonts w:ascii="Times New Roman" w:hAnsi="Times New Roman" w:hint="eastAsia"/>
                <w:b/>
                <w:bCs/>
                <w:sz w:val="20"/>
              </w:rPr>
              <w:t xml:space="preserve"> Unmanned Aerial Vehicle</w:t>
            </w:r>
          </w:p>
        </w:tc>
        <w:tc>
          <w:tcPr>
            <w:tcW w:w="3215" w:type="dxa"/>
            <w:tcBorders>
              <w:top w:val="single" w:sz="4" w:space="0" w:color="auto"/>
              <w:left w:val="nil"/>
              <w:bottom w:val="single" w:sz="4" w:space="0" w:color="auto"/>
              <w:right w:val="single" w:sz="4" w:space="0" w:color="auto"/>
            </w:tcBorders>
            <w:noWrap/>
            <w:vAlign w:val="center"/>
          </w:tcPr>
          <w:p w:rsidR="002B317A" w:rsidRDefault="00DC0D6E">
            <w:pPr>
              <w:pStyle w:val="TAC"/>
              <w:spacing w:before="120" w:after="120"/>
              <w:rPr>
                <w:rFonts w:ascii="Times New Roman" w:hAnsi="Times New Roman"/>
                <w:sz w:val="20"/>
              </w:rPr>
            </w:pPr>
            <w:r>
              <w:rPr>
                <w:rFonts w:ascii="Times New Roman" w:hAnsi="Times New Roman"/>
                <w:sz w:val="20"/>
              </w:rPr>
              <w:t>150ms</w:t>
            </w:r>
          </w:p>
        </w:tc>
      </w:tr>
    </w:tbl>
    <w:p w:rsidR="002B317A" w:rsidRDefault="002B317A">
      <w:pPr>
        <w:spacing w:before="120" w:after="120"/>
      </w:pPr>
    </w:p>
    <w:p w:rsidR="002B317A" w:rsidRDefault="00DC0D6E">
      <w:pPr>
        <w:pStyle w:val="YJ-Proposal"/>
        <w:spacing w:before="120" w:after="120"/>
      </w:pPr>
      <w:bookmarkStart w:id="73" w:name="_Toc66711635"/>
      <w:bookmarkStart w:id="74" w:name="_Toc66711599"/>
      <w:r>
        <w:rPr>
          <w:rFonts w:hint="eastAsia"/>
        </w:rPr>
        <w:lastRenderedPageBreak/>
        <w:t xml:space="preserve">Capture the latency requirements in </w:t>
      </w:r>
      <w:r>
        <w:rPr>
          <w:rFonts w:hint="eastAsia"/>
        </w:rPr>
        <w:fldChar w:fldCharType="begin"/>
      </w:r>
      <w:r>
        <w:instrText xml:space="preserve"> REF _Ref66698347 \h  \* MERGEFORMAT </w:instrText>
      </w:r>
      <w:r>
        <w:rPr>
          <w:rFonts w:hint="eastAsia"/>
        </w:rPr>
      </w:r>
      <w:r>
        <w:rPr>
          <w:rFonts w:hint="eastAsia"/>
        </w:rPr>
        <w:fldChar w:fldCharType="separate"/>
      </w:r>
      <w:r>
        <w:t>Table 4</w:t>
      </w:r>
      <w:r>
        <w:rPr>
          <w:rFonts w:hint="eastAsia"/>
        </w:rPr>
        <w:t xml:space="preserve"> </w:t>
      </w:r>
      <w:r>
        <w:rPr>
          <w:rFonts w:hint="eastAsia"/>
        </w:rPr>
        <w:fldChar w:fldCharType="end"/>
      </w:r>
      <w:r>
        <w:rPr>
          <w:rFonts w:hint="eastAsia"/>
        </w:rPr>
        <w:t>for each public safety use case in the TR</w:t>
      </w:r>
      <w:bookmarkEnd w:id="73"/>
      <w:bookmarkEnd w:id="74"/>
    </w:p>
    <w:p w:rsidR="002B317A" w:rsidRDefault="00DC0D6E">
      <w:pPr>
        <w:pStyle w:val="YJ-Proposal"/>
        <w:spacing w:before="120" w:after="120"/>
      </w:pPr>
      <w:bookmarkStart w:id="75" w:name="_Toc66711636"/>
      <w:bookmarkStart w:id="76" w:name="_Toc66711600"/>
      <w:r>
        <w:rPr>
          <w:rFonts w:hint="eastAsia"/>
        </w:rPr>
        <w:t>To design/evaluate the potential solutions</w:t>
      </w:r>
      <w:r>
        <w:rPr>
          <w:rFonts w:hint="eastAsia"/>
          <w:i w:val="0"/>
        </w:rPr>
        <w:t>,</w:t>
      </w:r>
      <w:r>
        <w:rPr>
          <w:rFonts w:hint="eastAsia"/>
        </w:rPr>
        <w:t xml:space="preserve"> consider the following </w:t>
      </w:r>
      <w:r>
        <w:rPr>
          <w:rFonts w:hint="eastAsia"/>
        </w:rPr>
        <w:t>3 categories of latency requirements.</w:t>
      </w:r>
      <w:bookmarkEnd w:id="75"/>
      <w:bookmarkEnd w:id="76"/>
    </w:p>
    <w:p w:rsidR="002B317A" w:rsidRDefault="00DC0D6E">
      <w:pPr>
        <w:pStyle w:val="YJ-Proposal"/>
        <w:numPr>
          <w:ilvl w:val="0"/>
          <w:numId w:val="0"/>
        </w:numPr>
        <w:spacing w:before="120" w:after="120"/>
      </w:pPr>
      <w:bookmarkStart w:id="77" w:name="_Toc66711637"/>
      <w:bookmarkStart w:id="78" w:name="_Toc66711601"/>
      <w:r>
        <w:rPr>
          <w:rFonts w:hint="eastAsia"/>
        </w:rPr>
        <w:t>-decimal-second level: 30s seconds</w:t>
      </w:r>
      <w:bookmarkEnd w:id="77"/>
      <w:bookmarkEnd w:id="78"/>
    </w:p>
    <w:p w:rsidR="002B317A" w:rsidRDefault="00DC0D6E">
      <w:pPr>
        <w:pStyle w:val="YJ-Proposal"/>
        <w:numPr>
          <w:ilvl w:val="0"/>
          <w:numId w:val="0"/>
        </w:numPr>
        <w:spacing w:before="120" w:after="120"/>
      </w:pPr>
      <w:bookmarkStart w:id="79" w:name="_Toc66711602"/>
      <w:bookmarkStart w:id="80" w:name="_Toc66711638"/>
      <w:r>
        <w:rPr>
          <w:rFonts w:hint="eastAsia"/>
        </w:rPr>
        <w:t>- decimal milli-second level: up to 30ms</w:t>
      </w:r>
      <w:bookmarkEnd w:id="79"/>
      <w:bookmarkEnd w:id="80"/>
    </w:p>
    <w:p w:rsidR="002B317A" w:rsidRDefault="00DC0D6E">
      <w:pPr>
        <w:pStyle w:val="YJ-Proposal"/>
        <w:numPr>
          <w:ilvl w:val="0"/>
          <w:numId w:val="0"/>
        </w:numPr>
        <w:spacing w:before="120" w:after="120"/>
      </w:pPr>
      <w:bookmarkStart w:id="81" w:name="_Toc66711603"/>
      <w:bookmarkStart w:id="82" w:name="_Toc66711639"/>
      <w:r>
        <w:rPr>
          <w:rFonts w:hint="eastAsia"/>
        </w:rPr>
        <w:t>- second level 5s</w:t>
      </w:r>
      <w:bookmarkEnd w:id="81"/>
      <w:bookmarkEnd w:id="82"/>
    </w:p>
    <w:p w:rsidR="002B317A" w:rsidRDefault="002B317A">
      <w:pPr>
        <w:spacing w:before="120" w:after="120"/>
      </w:pPr>
    </w:p>
    <w:p w:rsidR="002B317A" w:rsidRDefault="00DC0D6E">
      <w:pPr>
        <w:pStyle w:val="1"/>
        <w:spacing w:beforeLines="0" w:afterLines="0" w:line="240" w:lineRule="auto"/>
        <w:ind w:left="0"/>
      </w:pPr>
      <w:r>
        <w:rPr>
          <w:rFonts w:hint="eastAsia"/>
        </w:rPr>
        <w:t>Deployment and Operation Scenarios</w:t>
      </w:r>
    </w:p>
    <w:p w:rsidR="002B317A" w:rsidRDefault="00DC0D6E">
      <w:pPr>
        <w:pStyle w:val="YJ--"/>
        <w:spacing w:before="120" w:after="120"/>
      </w:pPr>
      <w:r>
        <w:rPr>
          <w:rFonts w:hint="eastAsia"/>
        </w:rPr>
        <w:t xml:space="preserve">With regard to the operation scenarios, both in coverage and out of coverage scenarios are mentioned in [10]. As we know, the Rel-16 NR positioning WI targets </w:t>
      </w:r>
      <w:r>
        <w:t xml:space="preserve"> &lt;3 m (80%) horizontal positioning requirements</w:t>
      </w:r>
      <w:r>
        <w:rPr>
          <w:rFonts w:hint="eastAsia"/>
        </w:rPr>
        <w:t xml:space="preserve"> </w:t>
      </w:r>
      <w:r>
        <w:t xml:space="preserve">for </w:t>
      </w:r>
      <w:r>
        <w:rPr>
          <w:rFonts w:hint="eastAsia"/>
        </w:rPr>
        <w:t>commercial use cases and</w:t>
      </w:r>
      <w:r>
        <w:t xml:space="preserve"> &lt;10 m (80%) horizont</w:t>
      </w:r>
      <w:r>
        <w:t>al positioning requirements</w:t>
      </w:r>
      <w:r>
        <w:rPr>
          <w:rFonts w:hint="eastAsia"/>
        </w:rPr>
        <w:t xml:space="preserve"> </w:t>
      </w:r>
      <w:r>
        <w:t>for</w:t>
      </w:r>
      <w:r>
        <w:rPr>
          <w:rFonts w:hint="eastAsia"/>
        </w:rPr>
        <w:t xml:space="preserve"> regular use cases using RAT-dependent solutions [11]</w:t>
      </w:r>
      <w:r>
        <w:t xml:space="preserve">. </w:t>
      </w:r>
      <w:r>
        <w:rPr>
          <w:rFonts w:hint="eastAsia"/>
        </w:rPr>
        <w:t xml:space="preserve">For Rel-17 NR positioning enhancement SI, it addresses higher accuracy location requirements, which targets to support the </w:t>
      </w:r>
      <w:r>
        <w:t xml:space="preserve">sub-meter level position accuracy </w:t>
      </w:r>
      <w:r>
        <w:rPr>
          <w:rFonts w:hint="eastAsia"/>
        </w:rPr>
        <w:t>(</w:t>
      </w:r>
      <w:r>
        <w:t>&lt; 1 m)</w:t>
      </w:r>
      <w:r>
        <w:rPr>
          <w:rFonts w:hint="eastAsia"/>
        </w:rPr>
        <w:t xml:space="preserve"> for g</w:t>
      </w:r>
      <w:r>
        <w:rPr>
          <w:rFonts w:hint="eastAsia"/>
        </w:rPr>
        <w:t>eneral commercial use cases and positioning accuracy &lt;0.2m for IIoT use cases. According to the aforementioned quantitative requirements in the previous section, the up to 0.1m  sub-meter level accuracy requirement appears to be most challenging. Several a</w:t>
      </w:r>
      <w:r>
        <w:rPr>
          <w:rFonts w:hint="eastAsia"/>
        </w:rPr>
        <w:t xml:space="preserve">pproaches have been identified and captured in [6] as outcome of Rel-17 NR positioning study, which are listed below. </w:t>
      </w:r>
    </w:p>
    <w:p w:rsidR="002B317A" w:rsidRDefault="00DC0D6E">
      <w:pPr>
        <w:pStyle w:val="YJ--"/>
        <w:spacing w:before="120" w:after="120"/>
      </w:pPr>
      <w:r>
        <w:rPr>
          <w:rFonts w:hint="eastAsia"/>
        </w:rPr>
        <w:t xml:space="preserve">- The aggregation of reference signal resources including those for DL PRS and UL SRS via e.g. simultaneous transmission/reception by UE </w:t>
      </w:r>
      <w:r>
        <w:rPr>
          <w:rFonts w:hint="eastAsia"/>
        </w:rPr>
        <w:t>of intra-band one or more continous carriers in one or more contiguous PFLs.</w:t>
      </w:r>
    </w:p>
    <w:p w:rsidR="002B317A" w:rsidRDefault="00DC0D6E">
      <w:pPr>
        <w:pStyle w:val="YJ--"/>
        <w:spacing w:before="120" w:after="120"/>
      </w:pPr>
      <w:r>
        <w:rPr>
          <w:rFonts w:hint="eastAsia"/>
        </w:rPr>
        <w:t xml:space="preserve">-  </w:t>
      </w:r>
      <w:r>
        <w:t>E</w:t>
      </w:r>
      <w:r>
        <w:rPr>
          <w:rFonts w:hint="eastAsia"/>
        </w:rPr>
        <w:t xml:space="preserve">nhancements of </w:t>
      </w:r>
      <w:r>
        <w:t xml:space="preserve">information </w:t>
      </w:r>
      <w:r>
        <w:rPr>
          <w:rFonts w:hint="eastAsia"/>
        </w:rPr>
        <w:t>reporting</w:t>
      </w:r>
      <w:r>
        <w:t xml:space="preserve"> from UE and gNB for supporting multipath/NLOS mitigation</w:t>
      </w:r>
      <w:r>
        <w:rPr>
          <w:rFonts w:hint="eastAsia"/>
        </w:rPr>
        <w:t xml:space="preserve"> </w:t>
      </w:r>
      <w:r>
        <w:t>information associated with multi-path</w:t>
      </w:r>
      <w:r>
        <w:rPr>
          <w:rFonts w:hint="eastAsia"/>
        </w:rPr>
        <w:t>,</w:t>
      </w:r>
      <w:r>
        <w:t xml:space="preserve"> e.g., LOS/NLOS identification, time of ar</w:t>
      </w:r>
      <w:r>
        <w:t>rival of the multi-path components, signal power and/or relative power, power delay profile, angle, and/or polarization information, coherence bandwidth, etc.</w:t>
      </w:r>
    </w:p>
    <w:p w:rsidR="002B317A" w:rsidRDefault="00DC0D6E">
      <w:pPr>
        <w:pStyle w:val="YJ--"/>
        <w:spacing w:before="120" w:after="120"/>
      </w:pPr>
      <w:r>
        <w:rPr>
          <w:rFonts w:hint="eastAsia"/>
        </w:rPr>
        <w:t>-  High density BS layout, e.g. 18 BSs on a square lattice spanning for</w:t>
      </w:r>
      <w:r>
        <w:rPr>
          <w:rFonts w:hint="eastAsia"/>
        </w:rPr>
        <w:tab/>
        <w:t>InF-SH scenario.</w:t>
      </w:r>
    </w:p>
    <w:p w:rsidR="002B317A" w:rsidRDefault="00DC0D6E">
      <w:pPr>
        <w:pStyle w:val="YJ--"/>
        <w:spacing w:before="120" w:after="120"/>
      </w:pPr>
      <w:r>
        <w:rPr>
          <w:rFonts w:hint="eastAsia"/>
        </w:rPr>
        <w:t>As we kn</w:t>
      </w:r>
      <w:r>
        <w:rPr>
          <w:rFonts w:hint="eastAsia"/>
        </w:rPr>
        <w:t xml:space="preserve">ow, Rel-16/17 NR positioning defines the NR Uu positioning signaling between LMF and UE through LPP protocol. For in coverage UE where Uu is available, the positioning techniques specified in Rel-16 and Rel-17 could be reused. Only if the </w:t>
      </w:r>
      <w:r>
        <w:rPr>
          <w:lang w:eastAsia="ja-JP"/>
        </w:rPr>
        <w:t>achievable positi</w:t>
      </w:r>
      <w:r>
        <w:rPr>
          <w:lang w:eastAsia="ja-JP"/>
        </w:rPr>
        <w:t>oning accuracy and latency with the Rel-16</w:t>
      </w:r>
      <w:r>
        <w:rPr>
          <w:rFonts w:hint="eastAsia"/>
        </w:rPr>
        <w:t>/17</w:t>
      </w:r>
      <w:r>
        <w:rPr>
          <w:lang w:eastAsia="ja-JP"/>
        </w:rPr>
        <w:t xml:space="preserve"> positioning solution</w:t>
      </w:r>
      <w:r>
        <w:rPr>
          <w:rFonts w:hint="eastAsia"/>
        </w:rPr>
        <w:t xml:space="preserve"> could not satisfy the positioning requirement for UE, the sidelink positioning could be considered as a complement for in coverage UE. </w:t>
      </w:r>
    </w:p>
    <w:p w:rsidR="002B317A" w:rsidRDefault="00DC0D6E">
      <w:pPr>
        <w:pStyle w:val="YJ--"/>
        <w:spacing w:before="120" w:after="120"/>
      </w:pPr>
      <w:r>
        <w:rPr>
          <w:rFonts w:hint="eastAsia"/>
        </w:rPr>
        <w:t xml:space="preserve">However, for out of coverage UE where Uu is not </w:t>
      </w:r>
      <w:r>
        <w:rPr>
          <w:rFonts w:hint="eastAsia"/>
        </w:rPr>
        <w:t>available, it is hard to reuse the Rel-16/17 Uu based positioning techniques. At this time, sidelink positioning could be considered to provide the positioning functionality. For example, the UE type RSUs or some UEs with precise location information could</w:t>
      </w:r>
      <w:r>
        <w:rPr>
          <w:rFonts w:hint="eastAsia"/>
        </w:rPr>
        <w:t xml:space="preserve"> act as anchor nodes. By means of the ranging between UE and anchor nodes, UEs could infer its position based on the inter-node distance and orientation measurement and anchor node</w:t>
      </w:r>
      <w:r>
        <w:t>’</w:t>
      </w:r>
      <w:r>
        <w:rPr>
          <w:rFonts w:hint="eastAsia"/>
        </w:rPr>
        <w:t xml:space="preserve">s position when GNSS is not reachable(e.g. tunnel, parking lot, etc). When </w:t>
      </w:r>
      <w:r>
        <w:rPr>
          <w:rFonts w:hint="eastAsia"/>
        </w:rPr>
        <w:t>GNSS is reachable, sidelink positioning could also be used to further improve the position accuracy of UE such that the aforementioned up to 0.1m requirement is fulfilled [12].</w:t>
      </w:r>
    </w:p>
    <w:p w:rsidR="002B317A" w:rsidRDefault="00DC0D6E">
      <w:pPr>
        <w:pStyle w:val="YJ--"/>
        <w:spacing w:before="120" w:after="120"/>
      </w:pPr>
      <w:r>
        <w:rPr>
          <w:rFonts w:hint="eastAsia"/>
        </w:rPr>
        <w:t>To sum up, it is suggested that out of coverage is considered for sidelink posi</w:t>
      </w:r>
      <w:r>
        <w:rPr>
          <w:rFonts w:hint="eastAsia"/>
        </w:rPr>
        <w:t>tioning, including both indoor and outdoor scenarios. For in coverage scenario, it is suggested to reuse the NR positioning techniques specified in Rel-16/17 or those developed under the out of coverage scenario.</w:t>
      </w:r>
    </w:p>
    <w:p w:rsidR="002B317A" w:rsidRDefault="00DC0D6E">
      <w:pPr>
        <w:pStyle w:val="YJ-Proposal"/>
        <w:spacing w:before="120" w:after="120"/>
      </w:pPr>
      <w:bookmarkStart w:id="83" w:name="_Toc66711640"/>
      <w:bookmarkStart w:id="84" w:name="_Toc66711604"/>
      <w:r>
        <w:rPr>
          <w:rFonts w:hint="eastAsia"/>
        </w:rPr>
        <w:t xml:space="preserve">Out of coverage scenario is considered for </w:t>
      </w:r>
      <w:r>
        <w:rPr>
          <w:rFonts w:hint="eastAsia"/>
        </w:rPr>
        <w:t>sidelink positioning, including both indoor and outdoor V2X/public safety UEs.</w:t>
      </w:r>
      <w:bookmarkEnd w:id="83"/>
      <w:bookmarkEnd w:id="84"/>
      <w:r>
        <w:rPr>
          <w:rFonts w:hint="eastAsia"/>
        </w:rPr>
        <w:t xml:space="preserve"> </w:t>
      </w:r>
    </w:p>
    <w:p w:rsidR="002B317A" w:rsidRDefault="00DC0D6E">
      <w:pPr>
        <w:pStyle w:val="YJ-Proposal"/>
        <w:spacing w:before="120" w:after="120"/>
      </w:pPr>
      <w:bookmarkStart w:id="85" w:name="_Toc66711641"/>
      <w:bookmarkStart w:id="86" w:name="_Toc66711605"/>
      <w:r>
        <w:rPr>
          <w:rFonts w:hint="eastAsia"/>
        </w:rPr>
        <w:t>For in coverage V2X/public safety UE, the positioning techniques specified in Rel-16 and Rel-17 or developed under the out-of-coverage scenario could be reused.</w:t>
      </w:r>
      <w:bookmarkEnd w:id="85"/>
      <w:bookmarkEnd w:id="86"/>
    </w:p>
    <w:p w:rsidR="002B317A" w:rsidRDefault="00DC0D6E">
      <w:pPr>
        <w:pStyle w:val="YJ--"/>
        <w:spacing w:before="120" w:after="120"/>
        <w:rPr>
          <w:lang w:val="fi-FI"/>
        </w:rPr>
      </w:pPr>
      <w:r>
        <w:rPr>
          <w:rFonts w:hint="eastAsia"/>
        </w:rPr>
        <w:t>For the frequen</w:t>
      </w:r>
      <w:r>
        <w:rPr>
          <w:rFonts w:hint="eastAsia"/>
        </w:rPr>
        <w:t xml:space="preserve">cy band support, we think the sidelink positioning should be aligned with that of Rel-16/17 NR sidelink WI. In Rel-16 NR sidelink WI [13], </w:t>
      </w:r>
      <w:r>
        <w:rPr>
          <w:lang w:eastAsia="ko-KR"/>
        </w:rPr>
        <w:t xml:space="preserve">both </w:t>
      </w:r>
      <w:r>
        <w:rPr>
          <w:rFonts w:hint="eastAsia"/>
          <w:lang w:eastAsia="ko-KR"/>
        </w:rPr>
        <w:t>the</w:t>
      </w:r>
      <w:r>
        <w:rPr>
          <w:lang w:eastAsia="ko-KR"/>
        </w:rPr>
        <w:t xml:space="preserve"> </w:t>
      </w:r>
      <w:r>
        <w:rPr>
          <w:rFonts w:hint="eastAsia"/>
          <w:lang w:eastAsia="ko-KR"/>
        </w:rPr>
        <w:t>operating scenario</w:t>
      </w:r>
      <w:r>
        <w:rPr>
          <w:rFonts w:hint="eastAsia"/>
        </w:rPr>
        <w:t>s</w:t>
      </w:r>
      <w:r>
        <w:rPr>
          <w:rFonts w:hint="eastAsia"/>
          <w:lang w:eastAsia="ko-KR"/>
        </w:rPr>
        <w:t xml:space="preserve"> </w:t>
      </w:r>
      <w:r>
        <w:rPr>
          <w:rFonts w:hint="eastAsia"/>
        </w:rPr>
        <w:t xml:space="preserve">are supported: 1) </w:t>
      </w:r>
      <w:r>
        <w:rPr>
          <w:lang w:eastAsia="ko-KR"/>
        </w:rPr>
        <w:t>carrier</w:t>
      </w:r>
      <w:r>
        <w:rPr>
          <w:rFonts w:hint="eastAsia"/>
          <w:lang w:eastAsia="ko-KR"/>
        </w:rPr>
        <w:t>(s)</w:t>
      </w:r>
      <w:r>
        <w:rPr>
          <w:lang w:eastAsia="ko-KR"/>
        </w:rPr>
        <w:t xml:space="preserve"> </w:t>
      </w:r>
      <w:r>
        <w:rPr>
          <w:rFonts w:hint="eastAsia"/>
        </w:rPr>
        <w:t xml:space="preserve">is/are </w:t>
      </w:r>
      <w:r>
        <w:rPr>
          <w:lang w:eastAsia="ko-KR"/>
        </w:rPr>
        <w:t xml:space="preserve">dedicated to </w:t>
      </w:r>
      <w:r>
        <w:rPr>
          <w:rFonts w:hint="eastAsia"/>
        </w:rPr>
        <w:t>ITS; 2)</w:t>
      </w:r>
      <w:r>
        <w:rPr>
          <w:lang w:eastAsia="ko-KR"/>
        </w:rPr>
        <w:t xml:space="preserve"> carrier</w:t>
      </w:r>
      <w:r>
        <w:rPr>
          <w:rFonts w:hint="eastAsia"/>
          <w:lang w:eastAsia="ko-KR"/>
        </w:rPr>
        <w:t>(s) is/are</w:t>
      </w:r>
      <w:r>
        <w:rPr>
          <w:lang w:eastAsia="ko-KR"/>
        </w:rPr>
        <w:t xml:space="preserve"> licensed spec</w:t>
      </w:r>
      <w:r>
        <w:rPr>
          <w:lang w:eastAsia="ko-KR"/>
        </w:rPr>
        <w:t>trum and also used for NR Uu/LTE Uu operation.</w:t>
      </w:r>
      <w:r>
        <w:rPr>
          <w:rFonts w:hint="eastAsia"/>
        </w:rPr>
        <w:t xml:space="preserve"> </w:t>
      </w:r>
      <w:r>
        <w:rPr>
          <w:lang w:eastAsia="ko-KR"/>
        </w:rPr>
        <w:t xml:space="preserve">NR sidelink design starts with frequencies in FR1, and NR sidelink in FR2 is supported by applying the design for FR1 and PT-RS to the numerologies agreed for FR2. </w:t>
      </w:r>
      <w:r>
        <w:rPr>
          <w:lang w:val="fi-FI"/>
        </w:rPr>
        <w:t xml:space="preserve">No FR2 specific optimization is supported in </w:t>
      </w:r>
      <w:r>
        <w:rPr>
          <w:lang w:val="fi-FI"/>
        </w:rPr>
        <w:t>this WI except PT-RS</w:t>
      </w:r>
      <w:r>
        <w:rPr>
          <w:rFonts w:hint="eastAsia"/>
        </w:rPr>
        <w:t xml:space="preserve"> and no</w:t>
      </w:r>
      <w:r>
        <w:rPr>
          <w:lang w:val="fi-FI"/>
        </w:rPr>
        <w:t xml:space="preserve"> beam management is supported in this work.</w:t>
      </w:r>
    </w:p>
    <w:p w:rsidR="002B317A" w:rsidRDefault="00DC0D6E">
      <w:pPr>
        <w:pStyle w:val="YJ--"/>
        <w:spacing w:before="120" w:after="120"/>
        <w:rPr>
          <w:b/>
          <w:bCs/>
        </w:rPr>
      </w:pPr>
      <w:r>
        <w:rPr>
          <w:rFonts w:hint="eastAsia"/>
        </w:rPr>
        <w:lastRenderedPageBreak/>
        <w:t>Similarly, we think the sidelink positioning should consider both ITS and licensed band. Moreover, FR1 should be prioritized over FR2. The potential FR2 specific optimization for sideli</w:t>
      </w:r>
      <w:r>
        <w:rPr>
          <w:rFonts w:hint="eastAsia"/>
        </w:rPr>
        <w:t>nk positioning should not be considered only if NR sidelink supports FR2 optimization first. Therefore, some beam-specific designs for positioning(e.g. DL-AOD method, more than one DL PRS resource within a DL PRS resources set, DL PRS repetition within a p</w:t>
      </w:r>
      <w:r>
        <w:rPr>
          <w:rFonts w:hint="eastAsia"/>
        </w:rPr>
        <w:t>eriod etc.) may not be applicable for sidelink positioning. As a matter of fact, the introduction of b</w:t>
      </w:r>
      <w:r>
        <w:rPr>
          <w:rFonts w:eastAsia="Malgun Gothic"/>
        </w:rPr>
        <w:t xml:space="preserve">eam-related operation </w:t>
      </w:r>
      <w:r>
        <w:rPr>
          <w:rFonts w:hint="eastAsia"/>
        </w:rPr>
        <w:t xml:space="preserve">for sidelink </w:t>
      </w:r>
      <w:r>
        <w:rPr>
          <w:rFonts w:eastAsia="Malgun Gothic"/>
        </w:rPr>
        <w:t>including fast beam management and beam sweeping operations</w:t>
      </w:r>
      <w:r>
        <w:rPr>
          <w:rFonts w:hint="eastAsia"/>
        </w:rPr>
        <w:t xml:space="preserve"> may require a separate study. </w:t>
      </w:r>
    </w:p>
    <w:p w:rsidR="002B317A" w:rsidRDefault="00DC0D6E">
      <w:pPr>
        <w:pStyle w:val="YJ-Observation"/>
        <w:spacing w:before="120" w:after="120"/>
      </w:pPr>
      <w:bookmarkStart w:id="87" w:name="_Toc66711568"/>
      <w:r>
        <w:rPr>
          <w:rFonts w:hint="eastAsia"/>
        </w:rPr>
        <w:t>NR sidelink does not support</w:t>
      </w:r>
      <w:r>
        <w:rPr>
          <w:rFonts w:hint="eastAsia"/>
        </w:rPr>
        <w:t xml:space="preserve"> any FR2 specific optimization and no beam management is supported until now.</w:t>
      </w:r>
      <w:bookmarkEnd w:id="87"/>
      <w:r>
        <w:rPr>
          <w:rFonts w:hint="eastAsia"/>
        </w:rPr>
        <w:t xml:space="preserve"> </w:t>
      </w:r>
    </w:p>
    <w:p w:rsidR="002B317A" w:rsidRDefault="00DC0D6E">
      <w:pPr>
        <w:pStyle w:val="YJ-Proposal"/>
        <w:spacing w:before="120" w:after="120"/>
      </w:pPr>
      <w:bookmarkStart w:id="88" w:name="_Toc66711642"/>
      <w:r>
        <w:rPr>
          <w:rFonts w:hint="eastAsia"/>
        </w:rPr>
        <w:t>Sidelink positioning should consider both ITS and licensed band.</w:t>
      </w:r>
      <w:bookmarkEnd w:id="88"/>
      <w:r>
        <w:rPr>
          <w:rFonts w:hint="eastAsia"/>
        </w:rPr>
        <w:t xml:space="preserve"> </w:t>
      </w:r>
    </w:p>
    <w:p w:rsidR="002B317A" w:rsidRDefault="00DC0D6E">
      <w:pPr>
        <w:pStyle w:val="YJ-Proposal"/>
        <w:spacing w:before="120" w:after="120"/>
      </w:pPr>
      <w:bookmarkStart w:id="89" w:name="_Toc66711643"/>
      <w:r>
        <w:rPr>
          <w:rFonts w:hint="eastAsia"/>
        </w:rPr>
        <w:t xml:space="preserve">Sidelink positioning may study both FR1 and FR2. However, </w:t>
      </w:r>
      <w:r>
        <w:t>no specific optimization (e.g., the beam related tech</w:t>
      </w:r>
      <w:r>
        <w:t>niques) is considered for FR2</w:t>
      </w:r>
      <w:r>
        <w:rPr>
          <w:rFonts w:hint="eastAsia"/>
        </w:rPr>
        <w:t>.</w:t>
      </w:r>
      <w:bookmarkEnd w:id="89"/>
      <w:r>
        <w:rPr>
          <w:rFonts w:hint="eastAsia"/>
        </w:rPr>
        <w:t xml:space="preserve"> </w:t>
      </w:r>
    </w:p>
    <w:p w:rsidR="002B317A" w:rsidRDefault="002B317A">
      <w:pPr>
        <w:spacing w:beforeLines="100" w:before="240" w:after="120"/>
        <w:rPr>
          <w:iCs/>
          <w:sz w:val="20"/>
        </w:rPr>
      </w:pPr>
    </w:p>
    <w:p w:rsidR="002B317A" w:rsidRDefault="00DC0D6E">
      <w:pPr>
        <w:pStyle w:val="1"/>
        <w:spacing w:before="120" w:after="120"/>
        <w:ind w:left="0"/>
        <w:rPr>
          <w:rFonts w:eastAsia="宋体"/>
        </w:rPr>
      </w:pPr>
      <w:r>
        <w:rPr>
          <w:rFonts w:eastAsia="宋体" w:hint="eastAsia"/>
        </w:rPr>
        <w:t>Conclusion</w:t>
      </w:r>
    </w:p>
    <w:p w:rsidR="002B317A" w:rsidRDefault="00DC0D6E">
      <w:pPr>
        <w:spacing w:before="120" w:after="120"/>
        <w:rPr>
          <w:sz w:val="20"/>
        </w:rPr>
      </w:pPr>
      <w:r>
        <w:rPr>
          <w:sz w:val="20"/>
        </w:rPr>
        <w:t>T</w:t>
      </w:r>
      <w:r>
        <w:rPr>
          <w:rFonts w:hint="eastAsia"/>
          <w:sz w:val="20"/>
        </w:rPr>
        <w:t>his paper concludes with the following proposals and observations:</w:t>
      </w:r>
    </w:p>
    <w:p w:rsidR="002B317A" w:rsidRDefault="00DC0D6E">
      <w:pPr>
        <w:pStyle w:val="10"/>
        <w:tabs>
          <w:tab w:val="left" w:pos="1680"/>
          <w:tab w:val="right" w:leader="dot" w:pos="9650"/>
        </w:tabs>
        <w:spacing w:before="120" w:after="120"/>
        <w:rPr>
          <w:rFonts w:asciiTheme="minorHAnsi" w:hAnsiTheme="minorHAnsi" w:cstheme="minorBidi"/>
          <w:b w:val="0"/>
          <w:i w:val="0"/>
          <w:sz w:val="21"/>
          <w:szCs w:val="22"/>
        </w:rPr>
      </w:pPr>
      <w:r>
        <w:rPr>
          <w:sz w:val="21"/>
          <w:szCs w:val="22"/>
        </w:rPr>
        <w:fldChar w:fldCharType="begin"/>
      </w:r>
      <w:r>
        <w:rPr>
          <w:sz w:val="21"/>
          <w:szCs w:val="22"/>
        </w:rPr>
        <w:instrText>TOC \n  \t "YJ-Observation,1,sub-observation,2" \h</w:instrText>
      </w:r>
      <w:r>
        <w:rPr>
          <w:sz w:val="21"/>
          <w:szCs w:val="22"/>
        </w:rPr>
        <w:fldChar w:fldCharType="separate"/>
      </w:r>
      <w:hyperlink w:anchor="_Toc66711568" w:history="1">
        <w:r>
          <w:rPr>
            <w:rStyle w:val="af0"/>
            <w:rFonts w:eastAsia="宋体"/>
          </w:rPr>
          <w:t>Observation 1:</w:t>
        </w:r>
        <w:r>
          <w:rPr>
            <w:rFonts w:asciiTheme="minorHAnsi" w:hAnsiTheme="minorHAnsi" w:cstheme="minorBidi"/>
            <w:b w:val="0"/>
            <w:i w:val="0"/>
            <w:sz w:val="21"/>
            <w:szCs w:val="22"/>
          </w:rPr>
          <w:tab/>
        </w:r>
        <w:r>
          <w:rPr>
            <w:rStyle w:val="af0"/>
          </w:rPr>
          <w:t xml:space="preserve">NR sidelink does not support any FR2 specific </w:t>
        </w:r>
        <w:r>
          <w:rPr>
            <w:rStyle w:val="af0"/>
          </w:rPr>
          <w:t>optimization and no beam management is supported until now.</w:t>
        </w:r>
      </w:hyperlink>
    </w:p>
    <w:p w:rsidR="002B317A" w:rsidRDefault="00DC0D6E">
      <w:pPr>
        <w:pStyle w:val="10"/>
        <w:tabs>
          <w:tab w:val="right" w:leader="dot" w:pos="9660"/>
        </w:tabs>
        <w:snapToGrid w:val="0"/>
        <w:spacing w:before="120" w:after="120"/>
        <w:rPr>
          <w:szCs w:val="22"/>
        </w:rPr>
      </w:pPr>
      <w:r>
        <w:rPr>
          <w:szCs w:val="22"/>
        </w:rPr>
        <w:fldChar w:fldCharType="end"/>
      </w:r>
    </w:p>
    <w:p w:rsidR="002B317A" w:rsidRDefault="00DC0D6E">
      <w:pPr>
        <w:pStyle w:val="10"/>
        <w:tabs>
          <w:tab w:val="left" w:pos="1282"/>
          <w:tab w:val="right" w:leader="dot" w:pos="9650"/>
        </w:tabs>
        <w:spacing w:before="120" w:after="120"/>
        <w:rPr>
          <w:rFonts w:asciiTheme="minorHAnsi" w:hAnsiTheme="minorHAnsi" w:cstheme="minorBidi"/>
          <w:b w:val="0"/>
          <w:i w:val="0"/>
          <w:sz w:val="21"/>
          <w:szCs w:val="22"/>
        </w:rPr>
      </w:pPr>
      <w:r>
        <w:t>TOC \n  \t "YJ-Proposal,1,subullet,2,subsub,3"</w:t>
      </w:r>
      <w:r>
        <w:rPr>
          <w:rFonts w:eastAsia="宋体"/>
        </w:rPr>
        <w:t>Proposal 1:</w:t>
      </w:r>
      <w:r>
        <w:rPr>
          <w:rFonts w:asciiTheme="minorHAnsi" w:hAnsiTheme="minorHAnsi" w:cstheme="minorBidi"/>
          <w:b w:val="0"/>
          <w:i w:val="0"/>
          <w:sz w:val="21"/>
          <w:szCs w:val="22"/>
        </w:rPr>
        <w:tab/>
      </w:r>
      <w:r>
        <w:t xml:space="preserve">Capture the following V2X use cases together with descriptions in the TR and further investigate the concrete requirements for the </w:t>
      </w:r>
      <w:r>
        <w:t>key components involved.</w:t>
      </w:r>
    </w:p>
    <w:p w:rsidR="002B317A" w:rsidRDefault="00DC0D6E">
      <w:pPr>
        <w:pStyle w:val="10"/>
        <w:tabs>
          <w:tab w:val="right" w:leader="dot" w:pos="9650"/>
        </w:tabs>
        <w:spacing w:before="120" w:after="120"/>
        <w:rPr>
          <w:rFonts w:asciiTheme="minorHAnsi" w:hAnsiTheme="minorHAnsi" w:cstheme="minorBidi"/>
          <w:b w:val="0"/>
          <w:i w:val="0"/>
          <w:sz w:val="21"/>
          <w:szCs w:val="22"/>
        </w:rPr>
      </w:pPr>
      <w:r>
        <w:rPr>
          <w:kern w:val="0"/>
        </w:rPr>
        <w:t>- Automotive: sensor and state map sharing</w:t>
      </w:r>
    </w:p>
    <w:p w:rsidR="002B317A" w:rsidRDefault="00DC0D6E">
      <w:pPr>
        <w:pStyle w:val="10"/>
        <w:tabs>
          <w:tab w:val="right" w:leader="dot" w:pos="9650"/>
        </w:tabs>
        <w:spacing w:before="120" w:after="120"/>
        <w:rPr>
          <w:rFonts w:asciiTheme="minorHAnsi" w:hAnsiTheme="minorHAnsi" w:cstheme="minorBidi"/>
          <w:b w:val="0"/>
          <w:i w:val="0"/>
          <w:sz w:val="21"/>
          <w:szCs w:val="22"/>
        </w:rPr>
      </w:pPr>
      <w:r>
        <w:rPr>
          <w:kern w:val="0"/>
        </w:rPr>
        <w:t>- Autonomous Driving</w:t>
      </w:r>
    </w:p>
    <w:p w:rsidR="002B317A" w:rsidRDefault="00DC0D6E">
      <w:pPr>
        <w:pStyle w:val="10"/>
        <w:tabs>
          <w:tab w:val="right" w:leader="dot" w:pos="9650"/>
        </w:tabs>
        <w:spacing w:before="120" w:after="120"/>
        <w:rPr>
          <w:rFonts w:asciiTheme="minorHAnsi" w:hAnsiTheme="minorHAnsi" w:cstheme="minorBidi"/>
          <w:b w:val="0"/>
          <w:i w:val="0"/>
          <w:sz w:val="21"/>
          <w:szCs w:val="22"/>
        </w:rPr>
      </w:pPr>
      <w:r>
        <w:rPr>
          <w:kern w:val="0"/>
        </w:rPr>
        <w:t>- Assisted Driving Applications</w:t>
      </w:r>
    </w:p>
    <w:p w:rsidR="002B317A" w:rsidRDefault="00DC0D6E">
      <w:pPr>
        <w:pStyle w:val="10"/>
        <w:tabs>
          <w:tab w:val="right" w:leader="dot" w:pos="9650"/>
        </w:tabs>
        <w:spacing w:before="120" w:after="120"/>
        <w:rPr>
          <w:rFonts w:asciiTheme="minorHAnsi" w:hAnsiTheme="minorHAnsi" w:cstheme="minorBidi"/>
          <w:b w:val="0"/>
          <w:i w:val="0"/>
          <w:sz w:val="21"/>
          <w:szCs w:val="22"/>
        </w:rPr>
      </w:pPr>
      <w:r>
        <w:rPr>
          <w:kern w:val="0"/>
        </w:rPr>
        <w:t>- Remote driving and Tele-Operating Aspects</w:t>
      </w:r>
    </w:p>
    <w:p w:rsidR="002B317A" w:rsidRDefault="00DC0D6E">
      <w:pPr>
        <w:pStyle w:val="10"/>
        <w:tabs>
          <w:tab w:val="right" w:leader="dot" w:pos="9650"/>
        </w:tabs>
        <w:spacing w:before="120" w:after="120"/>
        <w:rPr>
          <w:rFonts w:asciiTheme="minorHAnsi" w:hAnsiTheme="minorHAnsi" w:cstheme="minorBidi"/>
          <w:b w:val="0"/>
          <w:i w:val="0"/>
          <w:sz w:val="21"/>
          <w:szCs w:val="22"/>
        </w:rPr>
      </w:pPr>
      <w:r>
        <w:rPr>
          <w:kern w:val="0"/>
        </w:rPr>
        <w:t>- Traffic Flow Management</w:t>
      </w:r>
    </w:p>
    <w:p w:rsidR="002B317A" w:rsidRDefault="00DC0D6E">
      <w:pPr>
        <w:pStyle w:val="10"/>
        <w:tabs>
          <w:tab w:val="right" w:leader="dot" w:pos="9650"/>
        </w:tabs>
        <w:spacing w:before="120" w:after="120"/>
        <w:rPr>
          <w:rFonts w:asciiTheme="minorHAnsi" w:hAnsiTheme="minorHAnsi" w:cstheme="minorBidi"/>
          <w:b w:val="0"/>
          <w:i w:val="0"/>
          <w:sz w:val="21"/>
          <w:szCs w:val="22"/>
        </w:rPr>
      </w:pPr>
      <w:r>
        <w:rPr>
          <w:kern w:val="0"/>
        </w:rPr>
        <w:t>- Vehicle Operations Management</w:t>
      </w:r>
    </w:p>
    <w:p w:rsidR="002B317A" w:rsidRDefault="00DC0D6E">
      <w:pPr>
        <w:pStyle w:val="10"/>
        <w:tabs>
          <w:tab w:val="right" w:leader="dot" w:pos="9650"/>
        </w:tabs>
        <w:spacing w:before="120" w:after="120"/>
        <w:rPr>
          <w:rFonts w:asciiTheme="minorHAnsi" w:hAnsiTheme="minorHAnsi" w:cstheme="minorBidi"/>
          <w:b w:val="0"/>
          <w:i w:val="0"/>
          <w:sz w:val="21"/>
          <w:szCs w:val="22"/>
        </w:rPr>
      </w:pPr>
      <w:r>
        <w:rPr>
          <w:kern w:val="0"/>
        </w:rPr>
        <w:t>- Platooning</w:t>
      </w:r>
    </w:p>
    <w:p w:rsidR="002B317A" w:rsidRDefault="00DC0D6E">
      <w:pPr>
        <w:pStyle w:val="10"/>
        <w:tabs>
          <w:tab w:val="right" w:leader="dot" w:pos="9650"/>
        </w:tabs>
        <w:spacing w:before="120" w:after="120"/>
        <w:rPr>
          <w:rFonts w:asciiTheme="minorHAnsi" w:hAnsiTheme="minorHAnsi" w:cstheme="minorBidi"/>
          <w:b w:val="0"/>
          <w:i w:val="0"/>
          <w:sz w:val="21"/>
          <w:szCs w:val="22"/>
        </w:rPr>
      </w:pPr>
      <w:r>
        <w:rPr>
          <w:kern w:val="0"/>
        </w:rPr>
        <w:t>- Entertainment</w:t>
      </w:r>
    </w:p>
    <w:p w:rsidR="002B317A" w:rsidRDefault="00DC0D6E">
      <w:pPr>
        <w:pStyle w:val="10"/>
        <w:tabs>
          <w:tab w:val="left" w:pos="1282"/>
          <w:tab w:val="right" w:leader="dot" w:pos="9650"/>
        </w:tabs>
        <w:spacing w:before="120" w:after="120"/>
        <w:rPr>
          <w:rFonts w:asciiTheme="minorHAnsi" w:hAnsiTheme="minorHAnsi" w:cstheme="minorBidi"/>
          <w:b w:val="0"/>
          <w:i w:val="0"/>
          <w:sz w:val="21"/>
          <w:szCs w:val="22"/>
        </w:rPr>
      </w:pPr>
      <w:r>
        <w:rPr>
          <w:rFonts w:eastAsia="宋体"/>
        </w:rPr>
        <w:t>Prop</w:t>
      </w:r>
      <w:r>
        <w:rPr>
          <w:rFonts w:eastAsia="宋体"/>
        </w:rPr>
        <w:t>osal 2:</w:t>
      </w:r>
      <w:r>
        <w:rPr>
          <w:rFonts w:asciiTheme="minorHAnsi" w:hAnsiTheme="minorHAnsi" w:cstheme="minorBidi"/>
          <w:b w:val="0"/>
          <w:i w:val="0"/>
          <w:sz w:val="21"/>
          <w:szCs w:val="22"/>
        </w:rPr>
        <w:tab/>
      </w:r>
      <w:r>
        <w:t>Capture the following public safety use cases together with descriptions in the TR and further investigate the concrete requirements for the key components.</w:t>
      </w:r>
    </w:p>
    <w:p w:rsidR="002B317A" w:rsidRDefault="00DC0D6E">
      <w:pPr>
        <w:pStyle w:val="10"/>
        <w:tabs>
          <w:tab w:val="right" w:leader="dot" w:pos="9650"/>
        </w:tabs>
        <w:spacing w:before="120" w:after="120"/>
        <w:rPr>
          <w:rFonts w:asciiTheme="minorHAnsi" w:hAnsiTheme="minorHAnsi" w:cstheme="minorBidi"/>
          <w:b w:val="0"/>
          <w:i w:val="0"/>
          <w:sz w:val="21"/>
          <w:szCs w:val="22"/>
        </w:rPr>
      </w:pPr>
      <w:r>
        <w:rPr>
          <w:kern w:val="0"/>
        </w:rPr>
        <w:t>- Emergency Calls</w:t>
      </w:r>
    </w:p>
    <w:p w:rsidR="002B317A" w:rsidRDefault="00DC0D6E">
      <w:pPr>
        <w:pStyle w:val="10"/>
        <w:tabs>
          <w:tab w:val="right" w:leader="dot" w:pos="9650"/>
        </w:tabs>
        <w:spacing w:before="120" w:after="120"/>
        <w:rPr>
          <w:rFonts w:asciiTheme="minorHAnsi" w:hAnsiTheme="minorHAnsi" w:cstheme="minorBidi"/>
          <w:b w:val="0"/>
          <w:i w:val="0"/>
          <w:sz w:val="21"/>
          <w:szCs w:val="22"/>
        </w:rPr>
      </w:pPr>
      <w:r>
        <w:rPr>
          <w:kern w:val="0"/>
        </w:rPr>
        <w:t>- Man-down during 1st Responder Operation</w:t>
      </w:r>
    </w:p>
    <w:p w:rsidR="002B317A" w:rsidRDefault="00DC0D6E">
      <w:pPr>
        <w:pStyle w:val="10"/>
        <w:tabs>
          <w:tab w:val="right" w:leader="dot" w:pos="9650"/>
        </w:tabs>
        <w:spacing w:before="120" w:after="120"/>
        <w:rPr>
          <w:rFonts w:asciiTheme="minorHAnsi" w:hAnsiTheme="minorHAnsi" w:cstheme="minorBidi"/>
          <w:b w:val="0"/>
          <w:i w:val="0"/>
          <w:sz w:val="21"/>
          <w:szCs w:val="22"/>
        </w:rPr>
      </w:pPr>
      <w:r>
        <w:rPr>
          <w:kern w:val="0"/>
        </w:rPr>
        <w:t>- Alerting Emergence Service Pr</w:t>
      </w:r>
      <w:r>
        <w:rPr>
          <w:kern w:val="0"/>
        </w:rPr>
        <w:t>oviders</w:t>
      </w:r>
    </w:p>
    <w:p w:rsidR="002B317A" w:rsidRDefault="00DC0D6E">
      <w:pPr>
        <w:pStyle w:val="10"/>
        <w:tabs>
          <w:tab w:val="right" w:leader="dot" w:pos="9650"/>
        </w:tabs>
        <w:spacing w:before="120" w:after="120"/>
        <w:rPr>
          <w:rFonts w:asciiTheme="minorHAnsi" w:hAnsiTheme="minorHAnsi" w:cstheme="minorBidi"/>
          <w:b w:val="0"/>
          <w:i w:val="0"/>
          <w:sz w:val="21"/>
          <w:szCs w:val="22"/>
        </w:rPr>
      </w:pPr>
      <w:r>
        <w:rPr>
          <w:kern w:val="0"/>
        </w:rPr>
        <w:t>- Unmanned Aerial Vehicle (UAV)</w:t>
      </w:r>
    </w:p>
    <w:p w:rsidR="002B317A" w:rsidRDefault="00DC0D6E">
      <w:pPr>
        <w:pStyle w:val="10"/>
        <w:tabs>
          <w:tab w:val="left" w:pos="1282"/>
          <w:tab w:val="right" w:leader="dot" w:pos="9650"/>
        </w:tabs>
        <w:spacing w:before="120" w:after="120"/>
        <w:rPr>
          <w:rFonts w:asciiTheme="minorHAnsi" w:hAnsiTheme="minorHAnsi" w:cstheme="minorBidi"/>
          <w:b w:val="0"/>
          <w:i w:val="0"/>
          <w:sz w:val="21"/>
          <w:szCs w:val="22"/>
        </w:rPr>
      </w:pPr>
      <w:r>
        <w:rPr>
          <w:rFonts w:eastAsia="宋体"/>
        </w:rPr>
        <w:t>Proposal 3:</w:t>
      </w:r>
      <w:r>
        <w:rPr>
          <w:rFonts w:asciiTheme="minorHAnsi" w:hAnsiTheme="minorHAnsi" w:cstheme="minorBidi"/>
          <w:b w:val="0"/>
          <w:i w:val="0"/>
          <w:sz w:val="21"/>
          <w:szCs w:val="22"/>
        </w:rPr>
        <w:tab/>
      </w:r>
      <w:r>
        <w:t>Capture the accuracy requirements in Table 1 for V2X use cases in the TR.</w:t>
      </w:r>
    </w:p>
    <w:p w:rsidR="002B317A" w:rsidRDefault="00DC0D6E">
      <w:pPr>
        <w:pStyle w:val="10"/>
        <w:tabs>
          <w:tab w:val="left" w:pos="1282"/>
          <w:tab w:val="right" w:leader="dot" w:pos="9650"/>
        </w:tabs>
        <w:spacing w:before="120" w:after="120"/>
        <w:rPr>
          <w:rFonts w:asciiTheme="minorHAnsi" w:hAnsiTheme="minorHAnsi" w:cstheme="minorBidi"/>
          <w:b w:val="0"/>
          <w:i w:val="0"/>
          <w:sz w:val="21"/>
          <w:szCs w:val="22"/>
        </w:rPr>
      </w:pPr>
      <w:r>
        <w:rPr>
          <w:rFonts w:eastAsia="宋体"/>
        </w:rPr>
        <w:t>Proposal 4:</w:t>
      </w:r>
      <w:r>
        <w:rPr>
          <w:rFonts w:asciiTheme="minorHAnsi" w:hAnsiTheme="minorHAnsi" w:cstheme="minorBidi"/>
          <w:b w:val="0"/>
          <w:i w:val="0"/>
          <w:sz w:val="21"/>
          <w:szCs w:val="22"/>
        </w:rPr>
        <w:tab/>
      </w:r>
      <w:r>
        <w:rPr>
          <w:shd w:val="clear" w:color="auto" w:fill="FFFFFF"/>
        </w:rPr>
        <w:t>To design/evaluate the potential solutions,</w:t>
      </w:r>
      <w:r>
        <w:t xml:space="preserve"> consider the following 3 categories of positioning accuracy requirements f</w:t>
      </w:r>
      <w:r>
        <w:t>or V2X use cases:</w:t>
      </w:r>
    </w:p>
    <w:p w:rsidR="002B317A" w:rsidRDefault="00DC0D6E">
      <w:pPr>
        <w:pStyle w:val="10"/>
        <w:tabs>
          <w:tab w:val="right" w:leader="dot" w:pos="9650"/>
        </w:tabs>
        <w:spacing w:before="120" w:after="120"/>
        <w:rPr>
          <w:rFonts w:asciiTheme="minorHAnsi" w:hAnsiTheme="minorHAnsi" w:cstheme="minorBidi"/>
          <w:b w:val="0"/>
          <w:i w:val="0"/>
          <w:sz w:val="21"/>
          <w:szCs w:val="22"/>
        </w:rPr>
      </w:pPr>
      <w:r>
        <w:t>- decimal-meter level i.e. up to 10m</w:t>
      </w:r>
    </w:p>
    <w:p w:rsidR="002B317A" w:rsidRDefault="00DC0D6E">
      <w:pPr>
        <w:pStyle w:val="10"/>
        <w:tabs>
          <w:tab w:val="right" w:leader="dot" w:pos="9650"/>
        </w:tabs>
        <w:spacing w:before="120" w:after="120"/>
        <w:rPr>
          <w:rFonts w:asciiTheme="minorHAnsi" w:hAnsiTheme="minorHAnsi" w:cstheme="minorBidi"/>
          <w:b w:val="0"/>
          <w:i w:val="0"/>
          <w:sz w:val="21"/>
          <w:szCs w:val="22"/>
        </w:rPr>
      </w:pPr>
      <w:r>
        <w:t>- meter level i.e. up to 1.5m</w:t>
      </w:r>
    </w:p>
    <w:p w:rsidR="002B317A" w:rsidRDefault="00DC0D6E">
      <w:pPr>
        <w:pStyle w:val="10"/>
        <w:tabs>
          <w:tab w:val="right" w:leader="dot" w:pos="9650"/>
        </w:tabs>
        <w:spacing w:before="120" w:after="120"/>
        <w:rPr>
          <w:rFonts w:asciiTheme="minorHAnsi" w:hAnsiTheme="minorHAnsi" w:cstheme="minorBidi"/>
          <w:b w:val="0"/>
          <w:i w:val="0"/>
          <w:sz w:val="21"/>
          <w:szCs w:val="22"/>
        </w:rPr>
      </w:pPr>
      <w:r>
        <w:lastRenderedPageBreak/>
        <w:t>- sub-meter level i.e. up to 0.1m</w:t>
      </w:r>
    </w:p>
    <w:p w:rsidR="002B317A" w:rsidRDefault="00DC0D6E">
      <w:pPr>
        <w:pStyle w:val="10"/>
        <w:tabs>
          <w:tab w:val="left" w:pos="1282"/>
          <w:tab w:val="right" w:leader="dot" w:pos="9650"/>
        </w:tabs>
        <w:spacing w:before="120" w:after="120"/>
        <w:rPr>
          <w:rFonts w:asciiTheme="minorHAnsi" w:hAnsiTheme="minorHAnsi" w:cstheme="minorBidi"/>
          <w:b w:val="0"/>
          <w:i w:val="0"/>
          <w:sz w:val="21"/>
          <w:szCs w:val="22"/>
        </w:rPr>
      </w:pPr>
      <w:r>
        <w:rPr>
          <w:rFonts w:eastAsia="宋体"/>
        </w:rPr>
        <w:t>Proposal 5:</w:t>
      </w:r>
      <w:r>
        <w:rPr>
          <w:rFonts w:asciiTheme="minorHAnsi" w:hAnsiTheme="minorHAnsi" w:cstheme="minorBidi"/>
          <w:b w:val="0"/>
          <w:i w:val="0"/>
          <w:sz w:val="21"/>
          <w:szCs w:val="22"/>
        </w:rPr>
        <w:tab/>
      </w:r>
      <w:r>
        <w:t>Capture the accuracy requirements in Table 2 for public safety use cases in the TR</w:t>
      </w:r>
    </w:p>
    <w:p w:rsidR="002B317A" w:rsidRDefault="00DC0D6E">
      <w:pPr>
        <w:pStyle w:val="10"/>
        <w:tabs>
          <w:tab w:val="left" w:pos="1282"/>
          <w:tab w:val="right" w:leader="dot" w:pos="9650"/>
        </w:tabs>
        <w:spacing w:before="120" w:after="120"/>
        <w:rPr>
          <w:rFonts w:asciiTheme="minorHAnsi" w:hAnsiTheme="minorHAnsi" w:cstheme="minorBidi"/>
          <w:b w:val="0"/>
          <w:i w:val="0"/>
          <w:sz w:val="21"/>
          <w:szCs w:val="22"/>
        </w:rPr>
      </w:pPr>
      <w:r>
        <w:rPr>
          <w:rFonts w:eastAsia="宋体"/>
        </w:rPr>
        <w:t>Proposal 6:</w:t>
      </w:r>
      <w:r>
        <w:rPr>
          <w:rFonts w:asciiTheme="minorHAnsi" w:hAnsiTheme="minorHAnsi" w:cstheme="minorBidi"/>
          <w:b w:val="0"/>
          <w:i w:val="0"/>
          <w:sz w:val="21"/>
          <w:szCs w:val="22"/>
        </w:rPr>
        <w:tab/>
      </w:r>
      <w:r>
        <w:rPr>
          <w:shd w:val="clear" w:color="auto" w:fill="FFFFFF"/>
        </w:rPr>
        <w:t>To design/evaluate the potenti</w:t>
      </w:r>
      <w:r>
        <w:rPr>
          <w:shd w:val="clear" w:color="auto" w:fill="FFFFFF"/>
        </w:rPr>
        <w:t>al solutions,</w:t>
      </w:r>
      <w:r>
        <w:t xml:space="preserve"> consider the following 3 categories of positioning accuracy requirement for public safety use cases</w:t>
      </w:r>
    </w:p>
    <w:p w:rsidR="002B317A" w:rsidRDefault="00DC0D6E">
      <w:pPr>
        <w:pStyle w:val="10"/>
        <w:tabs>
          <w:tab w:val="right" w:leader="dot" w:pos="9650"/>
        </w:tabs>
        <w:spacing w:before="120" w:after="120"/>
        <w:rPr>
          <w:rFonts w:asciiTheme="minorHAnsi" w:hAnsiTheme="minorHAnsi" w:cstheme="minorBidi"/>
          <w:b w:val="0"/>
          <w:i w:val="0"/>
          <w:sz w:val="21"/>
          <w:szCs w:val="22"/>
        </w:rPr>
      </w:pPr>
      <w:r>
        <w:t>- decimal-meter level i.e. up to 10m</w:t>
      </w:r>
    </w:p>
    <w:p w:rsidR="002B317A" w:rsidRDefault="00DC0D6E">
      <w:pPr>
        <w:pStyle w:val="10"/>
        <w:tabs>
          <w:tab w:val="right" w:leader="dot" w:pos="9650"/>
        </w:tabs>
        <w:spacing w:before="120" w:after="120"/>
        <w:rPr>
          <w:rFonts w:asciiTheme="minorHAnsi" w:hAnsiTheme="minorHAnsi" w:cstheme="minorBidi"/>
          <w:b w:val="0"/>
          <w:i w:val="0"/>
          <w:sz w:val="21"/>
          <w:szCs w:val="22"/>
        </w:rPr>
      </w:pPr>
      <w:r>
        <w:t>- meter level i.e. up to 1.5m</w:t>
      </w:r>
    </w:p>
    <w:p w:rsidR="002B317A" w:rsidRDefault="00DC0D6E">
      <w:pPr>
        <w:pStyle w:val="10"/>
        <w:tabs>
          <w:tab w:val="right" w:leader="dot" w:pos="9650"/>
        </w:tabs>
        <w:spacing w:before="120" w:after="120"/>
        <w:rPr>
          <w:rFonts w:asciiTheme="minorHAnsi" w:hAnsiTheme="minorHAnsi" w:cstheme="minorBidi"/>
          <w:b w:val="0"/>
          <w:i w:val="0"/>
          <w:sz w:val="21"/>
          <w:szCs w:val="22"/>
        </w:rPr>
      </w:pPr>
      <w:r>
        <w:t>- sub-meter level i.e. up to 0.1m</w:t>
      </w:r>
    </w:p>
    <w:p w:rsidR="002B317A" w:rsidRDefault="00DC0D6E">
      <w:pPr>
        <w:pStyle w:val="10"/>
        <w:tabs>
          <w:tab w:val="left" w:pos="1282"/>
          <w:tab w:val="right" w:leader="dot" w:pos="9650"/>
        </w:tabs>
        <w:spacing w:before="120" w:after="120"/>
        <w:rPr>
          <w:rFonts w:asciiTheme="minorHAnsi" w:hAnsiTheme="minorHAnsi" w:cstheme="minorBidi"/>
          <w:b w:val="0"/>
          <w:i w:val="0"/>
          <w:sz w:val="21"/>
          <w:szCs w:val="22"/>
        </w:rPr>
      </w:pPr>
      <w:r>
        <w:rPr>
          <w:rFonts w:eastAsia="宋体"/>
        </w:rPr>
        <w:t>Proposal 7:</w:t>
      </w:r>
      <w:r>
        <w:rPr>
          <w:rFonts w:asciiTheme="minorHAnsi" w:hAnsiTheme="minorHAnsi" w:cstheme="minorBidi"/>
          <w:b w:val="0"/>
          <w:i w:val="0"/>
          <w:sz w:val="21"/>
          <w:szCs w:val="22"/>
        </w:rPr>
        <w:tab/>
      </w:r>
      <w:r>
        <w:t>Capture the latency requireme</w:t>
      </w:r>
      <w:r>
        <w:t>nts in Table 3 for each V2X use case in the TR</w:t>
      </w:r>
    </w:p>
    <w:p w:rsidR="002B317A" w:rsidRDefault="00DC0D6E">
      <w:pPr>
        <w:pStyle w:val="10"/>
        <w:tabs>
          <w:tab w:val="left" w:pos="1282"/>
          <w:tab w:val="right" w:leader="dot" w:pos="9650"/>
        </w:tabs>
        <w:spacing w:before="120" w:after="120"/>
        <w:rPr>
          <w:rFonts w:asciiTheme="minorHAnsi" w:hAnsiTheme="minorHAnsi" w:cstheme="minorBidi"/>
          <w:b w:val="0"/>
          <w:i w:val="0"/>
          <w:sz w:val="21"/>
          <w:szCs w:val="22"/>
        </w:rPr>
      </w:pPr>
      <w:r>
        <w:rPr>
          <w:rFonts w:eastAsia="宋体"/>
        </w:rPr>
        <w:t>Proposal 8:</w:t>
      </w:r>
      <w:r>
        <w:rPr>
          <w:rFonts w:asciiTheme="minorHAnsi" w:hAnsiTheme="minorHAnsi" w:cstheme="minorBidi"/>
          <w:b w:val="0"/>
          <w:i w:val="0"/>
          <w:sz w:val="21"/>
          <w:szCs w:val="22"/>
        </w:rPr>
        <w:tab/>
      </w:r>
      <w:r>
        <w:rPr>
          <w:shd w:val="clear" w:color="auto" w:fill="FFFFFF"/>
        </w:rPr>
        <w:t xml:space="preserve">To design/evaluate the potential solutions, consider the </w:t>
      </w:r>
      <w:r>
        <w:t>following 3 categories of latency requirements.</w:t>
      </w:r>
    </w:p>
    <w:p w:rsidR="002B317A" w:rsidRDefault="00DC0D6E">
      <w:pPr>
        <w:pStyle w:val="10"/>
        <w:tabs>
          <w:tab w:val="right" w:leader="dot" w:pos="9650"/>
        </w:tabs>
        <w:spacing w:before="120" w:after="120"/>
        <w:rPr>
          <w:rFonts w:asciiTheme="minorHAnsi" w:hAnsiTheme="minorHAnsi" w:cstheme="minorBidi"/>
          <w:b w:val="0"/>
          <w:i w:val="0"/>
          <w:sz w:val="21"/>
          <w:szCs w:val="22"/>
        </w:rPr>
      </w:pPr>
      <w:r>
        <w:t>- milli-second level: 5ms</w:t>
      </w:r>
    </w:p>
    <w:p w:rsidR="002B317A" w:rsidRDefault="00DC0D6E">
      <w:pPr>
        <w:pStyle w:val="10"/>
        <w:tabs>
          <w:tab w:val="right" w:leader="dot" w:pos="9650"/>
        </w:tabs>
        <w:spacing w:before="120" w:after="120"/>
        <w:rPr>
          <w:rFonts w:asciiTheme="minorHAnsi" w:hAnsiTheme="minorHAnsi" w:cstheme="minorBidi"/>
          <w:b w:val="0"/>
          <w:i w:val="0"/>
          <w:sz w:val="21"/>
          <w:szCs w:val="22"/>
        </w:rPr>
      </w:pPr>
      <w:r>
        <w:t>- decimal milli-second level: up to 30ms</w:t>
      </w:r>
    </w:p>
    <w:p w:rsidR="002B317A" w:rsidRDefault="00DC0D6E">
      <w:pPr>
        <w:pStyle w:val="10"/>
        <w:tabs>
          <w:tab w:val="right" w:leader="dot" w:pos="9650"/>
        </w:tabs>
        <w:spacing w:before="120" w:after="120"/>
        <w:rPr>
          <w:rFonts w:asciiTheme="minorHAnsi" w:hAnsiTheme="minorHAnsi" w:cstheme="minorBidi"/>
          <w:b w:val="0"/>
          <w:i w:val="0"/>
          <w:sz w:val="21"/>
          <w:szCs w:val="22"/>
        </w:rPr>
      </w:pPr>
      <w:r>
        <w:t>- second level: 5s</w:t>
      </w:r>
    </w:p>
    <w:p w:rsidR="002B317A" w:rsidRDefault="00DC0D6E">
      <w:pPr>
        <w:pStyle w:val="10"/>
        <w:tabs>
          <w:tab w:val="left" w:pos="1282"/>
          <w:tab w:val="right" w:leader="dot" w:pos="9650"/>
        </w:tabs>
        <w:spacing w:before="120" w:after="120"/>
        <w:rPr>
          <w:rFonts w:asciiTheme="minorHAnsi" w:hAnsiTheme="minorHAnsi" w:cstheme="minorBidi"/>
          <w:b w:val="0"/>
          <w:i w:val="0"/>
          <w:sz w:val="21"/>
          <w:szCs w:val="22"/>
        </w:rPr>
      </w:pPr>
      <w:r>
        <w:rPr>
          <w:rFonts w:eastAsia="宋体"/>
        </w:rPr>
        <w:t>Proposal 9:</w:t>
      </w:r>
      <w:r>
        <w:rPr>
          <w:rFonts w:asciiTheme="minorHAnsi" w:hAnsiTheme="minorHAnsi" w:cstheme="minorBidi"/>
          <w:b w:val="0"/>
          <w:i w:val="0"/>
          <w:sz w:val="21"/>
          <w:szCs w:val="22"/>
        </w:rPr>
        <w:tab/>
      </w:r>
      <w:r>
        <w:t>Capture the latency requirements in Table 4 for each public safety use case in the TR</w:t>
      </w:r>
    </w:p>
    <w:p w:rsidR="002B317A" w:rsidRDefault="00DC0D6E">
      <w:pPr>
        <w:pStyle w:val="10"/>
        <w:tabs>
          <w:tab w:val="left" w:pos="1282"/>
          <w:tab w:val="right" w:leader="dot" w:pos="9650"/>
        </w:tabs>
        <w:spacing w:before="120" w:after="120"/>
        <w:rPr>
          <w:rFonts w:asciiTheme="minorHAnsi" w:hAnsiTheme="minorHAnsi" w:cstheme="minorBidi"/>
          <w:b w:val="0"/>
          <w:i w:val="0"/>
          <w:sz w:val="21"/>
          <w:szCs w:val="22"/>
        </w:rPr>
      </w:pPr>
      <w:r>
        <w:rPr>
          <w:rFonts w:eastAsia="宋体"/>
        </w:rPr>
        <w:t>Proposal 10:</w:t>
      </w:r>
      <w:r>
        <w:rPr>
          <w:rFonts w:asciiTheme="minorHAnsi" w:hAnsiTheme="minorHAnsi" w:cstheme="minorBidi"/>
          <w:b w:val="0"/>
          <w:i w:val="0"/>
          <w:sz w:val="21"/>
          <w:szCs w:val="22"/>
        </w:rPr>
        <w:tab/>
      </w:r>
      <w:r>
        <w:rPr>
          <w:shd w:val="clear" w:color="auto" w:fill="FFFFFF"/>
        </w:rPr>
        <w:t xml:space="preserve">To design/evaluate the potential solutions, consider </w:t>
      </w:r>
      <w:r>
        <w:t>the following 3 categories of latency requirements.</w:t>
      </w:r>
    </w:p>
    <w:p w:rsidR="002B317A" w:rsidRDefault="00DC0D6E">
      <w:pPr>
        <w:pStyle w:val="10"/>
        <w:tabs>
          <w:tab w:val="right" w:leader="dot" w:pos="9650"/>
        </w:tabs>
        <w:spacing w:before="120" w:after="120"/>
        <w:rPr>
          <w:rFonts w:asciiTheme="minorHAnsi" w:hAnsiTheme="minorHAnsi" w:cstheme="minorBidi"/>
          <w:b w:val="0"/>
          <w:i w:val="0"/>
          <w:sz w:val="21"/>
          <w:szCs w:val="22"/>
        </w:rPr>
      </w:pPr>
      <w:r>
        <w:t>-decimal-second level: 30s seconds</w:t>
      </w:r>
    </w:p>
    <w:p w:rsidR="002B317A" w:rsidRDefault="00DC0D6E">
      <w:pPr>
        <w:pStyle w:val="10"/>
        <w:tabs>
          <w:tab w:val="right" w:leader="dot" w:pos="9650"/>
        </w:tabs>
        <w:spacing w:before="120" w:after="120"/>
        <w:rPr>
          <w:rFonts w:asciiTheme="minorHAnsi" w:hAnsiTheme="minorHAnsi" w:cstheme="minorBidi"/>
          <w:b w:val="0"/>
          <w:i w:val="0"/>
          <w:sz w:val="21"/>
          <w:szCs w:val="22"/>
        </w:rPr>
      </w:pPr>
      <w:r>
        <w:t>- dec</w:t>
      </w:r>
      <w:r>
        <w:t>imal milli-second level: up to 30ms</w:t>
      </w:r>
    </w:p>
    <w:p w:rsidR="002B317A" w:rsidRDefault="00DC0D6E">
      <w:pPr>
        <w:pStyle w:val="10"/>
        <w:tabs>
          <w:tab w:val="right" w:leader="dot" w:pos="9650"/>
        </w:tabs>
        <w:spacing w:before="120" w:after="120"/>
        <w:rPr>
          <w:rFonts w:asciiTheme="minorHAnsi" w:hAnsiTheme="minorHAnsi" w:cstheme="minorBidi"/>
          <w:b w:val="0"/>
          <w:i w:val="0"/>
          <w:sz w:val="21"/>
          <w:szCs w:val="22"/>
        </w:rPr>
      </w:pPr>
      <w:r>
        <w:t>- second level 5s</w:t>
      </w:r>
    </w:p>
    <w:p w:rsidR="002B317A" w:rsidRDefault="00DC0D6E">
      <w:pPr>
        <w:pStyle w:val="10"/>
        <w:tabs>
          <w:tab w:val="left" w:pos="1282"/>
          <w:tab w:val="right" w:leader="dot" w:pos="9650"/>
        </w:tabs>
        <w:spacing w:before="120" w:after="120"/>
        <w:rPr>
          <w:rFonts w:asciiTheme="minorHAnsi" w:hAnsiTheme="minorHAnsi" w:cstheme="minorBidi"/>
          <w:b w:val="0"/>
          <w:i w:val="0"/>
          <w:sz w:val="21"/>
          <w:szCs w:val="22"/>
        </w:rPr>
      </w:pPr>
      <w:r>
        <w:rPr>
          <w:rFonts w:eastAsia="宋体"/>
        </w:rPr>
        <w:t>Proposal 11:</w:t>
      </w:r>
      <w:r>
        <w:rPr>
          <w:rFonts w:asciiTheme="minorHAnsi" w:hAnsiTheme="minorHAnsi" w:cstheme="minorBidi"/>
          <w:b w:val="0"/>
          <w:i w:val="0"/>
          <w:sz w:val="21"/>
          <w:szCs w:val="22"/>
        </w:rPr>
        <w:tab/>
      </w:r>
      <w:r>
        <w:t>Out of coverage scenario is considered for sidelink positioning, including both indoor and outdoor V2X/public safety UEs.</w:t>
      </w:r>
    </w:p>
    <w:p w:rsidR="002B317A" w:rsidRDefault="00DC0D6E">
      <w:pPr>
        <w:pStyle w:val="10"/>
        <w:tabs>
          <w:tab w:val="left" w:pos="1282"/>
          <w:tab w:val="right" w:leader="dot" w:pos="9650"/>
        </w:tabs>
        <w:spacing w:before="120" w:after="120"/>
        <w:rPr>
          <w:rFonts w:asciiTheme="minorHAnsi" w:hAnsiTheme="minorHAnsi" w:cstheme="minorBidi"/>
          <w:b w:val="0"/>
          <w:i w:val="0"/>
          <w:sz w:val="21"/>
          <w:szCs w:val="22"/>
        </w:rPr>
      </w:pPr>
      <w:r>
        <w:rPr>
          <w:rFonts w:eastAsia="宋体"/>
        </w:rPr>
        <w:t>Proposal 12:</w:t>
      </w:r>
      <w:r>
        <w:rPr>
          <w:rFonts w:asciiTheme="minorHAnsi" w:hAnsiTheme="minorHAnsi" w:cstheme="minorBidi"/>
          <w:b w:val="0"/>
          <w:i w:val="0"/>
          <w:sz w:val="21"/>
          <w:szCs w:val="22"/>
        </w:rPr>
        <w:tab/>
      </w:r>
      <w:r>
        <w:t xml:space="preserve">For in coverage V2X/public safety UE, the positioning </w:t>
      </w:r>
      <w:r>
        <w:t>techniques specified in Rel-16 and Rel-17 or developed under the out-of-coverage scenario could be reused.</w:t>
      </w:r>
    </w:p>
    <w:p w:rsidR="002B317A" w:rsidRDefault="00DC0D6E">
      <w:pPr>
        <w:pStyle w:val="10"/>
        <w:tabs>
          <w:tab w:val="left" w:pos="1282"/>
          <w:tab w:val="right" w:leader="dot" w:pos="9650"/>
        </w:tabs>
        <w:spacing w:before="120" w:after="120"/>
        <w:rPr>
          <w:rFonts w:asciiTheme="minorHAnsi" w:hAnsiTheme="minorHAnsi" w:cstheme="minorBidi"/>
          <w:b w:val="0"/>
          <w:i w:val="0"/>
          <w:sz w:val="21"/>
          <w:szCs w:val="22"/>
        </w:rPr>
      </w:pPr>
      <w:r>
        <w:rPr>
          <w:rFonts w:eastAsia="宋体"/>
        </w:rPr>
        <w:t>Proposal 13:</w:t>
      </w:r>
      <w:r>
        <w:rPr>
          <w:rFonts w:asciiTheme="minorHAnsi" w:hAnsiTheme="minorHAnsi" w:cstheme="minorBidi"/>
          <w:b w:val="0"/>
          <w:i w:val="0"/>
          <w:sz w:val="21"/>
          <w:szCs w:val="22"/>
        </w:rPr>
        <w:tab/>
      </w:r>
      <w:r>
        <w:t>Sidelink positioning should consider both ITS and licensed band.</w:t>
      </w:r>
    </w:p>
    <w:p w:rsidR="002B317A" w:rsidRDefault="00DC0D6E">
      <w:pPr>
        <w:pStyle w:val="10"/>
        <w:tabs>
          <w:tab w:val="left" w:pos="1282"/>
          <w:tab w:val="right" w:leader="dot" w:pos="9650"/>
        </w:tabs>
        <w:spacing w:before="120" w:after="120"/>
        <w:rPr>
          <w:rFonts w:asciiTheme="minorHAnsi" w:hAnsiTheme="minorHAnsi" w:cstheme="minorBidi"/>
          <w:b w:val="0"/>
          <w:i w:val="0"/>
          <w:sz w:val="21"/>
          <w:szCs w:val="22"/>
        </w:rPr>
      </w:pPr>
      <w:r>
        <w:rPr>
          <w:rFonts w:eastAsia="宋体"/>
        </w:rPr>
        <w:t>Proposal 14:</w:t>
      </w:r>
      <w:r>
        <w:rPr>
          <w:rFonts w:asciiTheme="minorHAnsi" w:hAnsiTheme="minorHAnsi" w:cstheme="minorBidi"/>
          <w:b w:val="0"/>
          <w:i w:val="0"/>
          <w:sz w:val="21"/>
          <w:szCs w:val="22"/>
        </w:rPr>
        <w:tab/>
      </w:r>
      <w:r>
        <w:t xml:space="preserve">Sidelink positioning may study both FR1 and FR2. However, </w:t>
      </w:r>
      <w:r>
        <w:t>no specific optimization (e.g., the beam related techniques) is considered for FR2.</w:t>
      </w:r>
    </w:p>
    <w:p w:rsidR="002B317A" w:rsidRDefault="002B317A">
      <w:pPr>
        <w:widowControl w:val="0"/>
        <w:snapToGrid w:val="0"/>
        <w:spacing w:before="120" w:after="120"/>
        <w:ind w:left="420"/>
        <w:rPr>
          <w:sz w:val="20"/>
          <w:szCs w:val="22"/>
        </w:rPr>
      </w:pPr>
    </w:p>
    <w:p w:rsidR="002B317A" w:rsidRDefault="00DC0D6E">
      <w:pPr>
        <w:pStyle w:val="1"/>
        <w:spacing w:beforeLines="0" w:afterLines="0" w:line="240" w:lineRule="auto"/>
        <w:ind w:left="0"/>
        <w:jc w:val="left"/>
      </w:pPr>
      <w:r>
        <w:rPr>
          <w:rFonts w:hint="eastAsia"/>
        </w:rPr>
        <w:t>Reference</w:t>
      </w:r>
    </w:p>
    <w:p w:rsidR="002B317A" w:rsidRDefault="00DC0D6E">
      <w:pPr>
        <w:numPr>
          <w:ilvl w:val="0"/>
          <w:numId w:val="9"/>
        </w:numPr>
        <w:spacing w:beforeLines="0" w:afterLines="0" w:line="240" w:lineRule="auto"/>
        <w:jc w:val="left"/>
      </w:pPr>
      <w:r>
        <w:t>RP-</w:t>
      </w:r>
      <w:r>
        <w:rPr>
          <w:rFonts w:hint="eastAsia"/>
        </w:rPr>
        <w:t>201384</w:t>
      </w:r>
      <w:r>
        <w:t xml:space="preserve">, New SID: Study on scenarios and requirements of in-coverage, partial coverage, and out-of-coverage positioning use cases, LG Electronics, FirstNet, </w:t>
      </w:r>
      <w:r>
        <w:rPr>
          <w:rFonts w:hint="eastAsia"/>
        </w:rPr>
        <w:t>Ju</w:t>
      </w:r>
      <w:r>
        <w:rPr>
          <w:rFonts w:hint="eastAsia"/>
        </w:rPr>
        <w:t>ly</w:t>
      </w:r>
      <w:r>
        <w:t xml:space="preserve"> 20</w:t>
      </w:r>
      <w:r>
        <w:rPr>
          <w:rFonts w:hint="eastAsia"/>
        </w:rPr>
        <w:t>20</w:t>
      </w:r>
      <w:r>
        <w:t xml:space="preserve">. </w:t>
      </w:r>
    </w:p>
    <w:p w:rsidR="002B317A" w:rsidRDefault="00DC0D6E">
      <w:pPr>
        <w:numPr>
          <w:ilvl w:val="0"/>
          <w:numId w:val="9"/>
        </w:numPr>
        <w:spacing w:beforeLines="0" w:afterLines="0" w:line="240" w:lineRule="auto"/>
        <w:jc w:val="left"/>
      </w:pPr>
      <w:r>
        <w:t>TS 22.186: "Enhancement of 3GPP support for V2X scenarios," Stage 1 (Release 16), V16.2.0, June 2019.</w:t>
      </w:r>
    </w:p>
    <w:p w:rsidR="002B317A" w:rsidRDefault="00DC0D6E">
      <w:pPr>
        <w:numPr>
          <w:ilvl w:val="0"/>
          <w:numId w:val="9"/>
        </w:numPr>
        <w:spacing w:beforeLines="0" w:afterLines="0" w:line="240" w:lineRule="auto"/>
        <w:jc w:val="left"/>
      </w:pPr>
      <w:r>
        <w:t>TS 22.261: “Service requirements for the 5G System,” Stage 1 (Release 17), V17.2.0, March 2020.</w:t>
      </w:r>
    </w:p>
    <w:p w:rsidR="002B317A" w:rsidRDefault="00DC0D6E">
      <w:pPr>
        <w:numPr>
          <w:ilvl w:val="0"/>
          <w:numId w:val="9"/>
        </w:numPr>
        <w:spacing w:beforeLines="0" w:afterLines="0" w:line="240" w:lineRule="auto"/>
        <w:jc w:val="left"/>
      </w:pPr>
      <w:r>
        <w:t>TR 22.872, “Study on positioning use cases”, V16</w:t>
      </w:r>
      <w:r>
        <w:t>.1.0, August, 2018.</w:t>
      </w:r>
    </w:p>
    <w:p w:rsidR="002B317A" w:rsidRDefault="00DC0D6E">
      <w:pPr>
        <w:numPr>
          <w:ilvl w:val="0"/>
          <w:numId w:val="9"/>
        </w:numPr>
        <w:spacing w:beforeLines="0" w:afterLines="0" w:line="240" w:lineRule="auto"/>
        <w:jc w:val="left"/>
      </w:pPr>
      <w:r>
        <w:t>TR 22.804, “Study on Communication for Automation in Vertical Domains”, V16.2.0, December, 2018.</w:t>
      </w:r>
    </w:p>
    <w:p w:rsidR="002B317A" w:rsidRDefault="00DC0D6E">
      <w:pPr>
        <w:numPr>
          <w:ilvl w:val="0"/>
          <w:numId w:val="9"/>
        </w:numPr>
        <w:spacing w:beforeLines="0" w:afterLines="0" w:line="240" w:lineRule="auto"/>
        <w:jc w:val="left"/>
      </w:pPr>
      <w:r>
        <w:rPr>
          <w:rFonts w:hint="eastAsia"/>
        </w:rPr>
        <w:t xml:space="preserve">TR 38.857, </w:t>
      </w:r>
      <w:r>
        <w:t>Study on NR positioning enhancements</w:t>
      </w:r>
      <w:r>
        <w:rPr>
          <w:rFonts w:hint="eastAsia"/>
        </w:rPr>
        <w:t xml:space="preserve">, March, 2021 </w:t>
      </w:r>
    </w:p>
    <w:p w:rsidR="002B317A" w:rsidRDefault="00DC0D6E">
      <w:pPr>
        <w:numPr>
          <w:ilvl w:val="0"/>
          <w:numId w:val="9"/>
        </w:numPr>
        <w:spacing w:beforeLines="0" w:afterLines="0" w:line="240" w:lineRule="auto"/>
        <w:jc w:val="left"/>
      </w:pPr>
      <w:r>
        <w:rPr>
          <w:rFonts w:hint="eastAsia"/>
        </w:rPr>
        <w:t>TR 22.886, Study on enhancement of 3GPP support for 5G V2X Services, Dec, 201</w:t>
      </w:r>
      <w:r>
        <w:rPr>
          <w:rFonts w:hint="eastAsia"/>
        </w:rPr>
        <w:t>8</w:t>
      </w:r>
    </w:p>
    <w:p w:rsidR="002B317A" w:rsidRDefault="00DC0D6E">
      <w:pPr>
        <w:numPr>
          <w:ilvl w:val="0"/>
          <w:numId w:val="9"/>
        </w:numPr>
        <w:spacing w:beforeLines="0" w:afterLines="0" w:line="240" w:lineRule="auto"/>
        <w:jc w:val="left"/>
        <w:rPr>
          <w:rFonts w:eastAsia="Batang"/>
          <w:bCs/>
        </w:rPr>
      </w:pPr>
      <w:r>
        <w:rPr>
          <w:rFonts w:eastAsia="Batang"/>
          <w:bCs/>
        </w:rPr>
        <w:t>5GAA_T-200111</w:t>
      </w:r>
      <w:r>
        <w:rPr>
          <w:rFonts w:hint="eastAsia"/>
          <w:bCs/>
        </w:rPr>
        <w:t xml:space="preserve">, </w:t>
      </w:r>
      <w:r>
        <w:rPr>
          <w:rFonts w:eastAsia="Batang"/>
          <w:bCs/>
        </w:rPr>
        <w:t>C-V2X_Use_Cases_and_Service_Level_Requirements_Vol_I-V3</w:t>
      </w:r>
      <w:r>
        <w:rPr>
          <w:rFonts w:hint="eastAsia"/>
          <w:bCs/>
        </w:rPr>
        <w:t>, 5GAA, Dec, 2020</w:t>
      </w:r>
    </w:p>
    <w:p w:rsidR="002B317A" w:rsidRDefault="00DC0D6E">
      <w:pPr>
        <w:numPr>
          <w:ilvl w:val="0"/>
          <w:numId w:val="9"/>
        </w:numPr>
        <w:spacing w:beforeLines="0" w:afterLines="0" w:line="240" w:lineRule="auto"/>
        <w:jc w:val="left"/>
        <w:rPr>
          <w:rFonts w:eastAsia="Batang"/>
          <w:bCs/>
        </w:rPr>
      </w:pPr>
      <w:r>
        <w:rPr>
          <w:rFonts w:eastAsia="Batang"/>
          <w:bCs/>
        </w:rPr>
        <w:t>5GAA_T-200116</w:t>
      </w:r>
      <w:r>
        <w:rPr>
          <w:rFonts w:hint="eastAsia"/>
          <w:bCs/>
        </w:rPr>
        <w:t xml:space="preserve">, </w:t>
      </w:r>
      <w:r>
        <w:rPr>
          <w:rFonts w:eastAsia="Batang"/>
          <w:bCs/>
        </w:rPr>
        <w:t>C-V2X_Use_Cases_and_Service_Level_Requirements_Vol_II_V2.1</w:t>
      </w:r>
      <w:r>
        <w:rPr>
          <w:rFonts w:hint="eastAsia"/>
          <w:bCs/>
        </w:rPr>
        <w:t>, 5GAA, February, 2021</w:t>
      </w:r>
    </w:p>
    <w:p w:rsidR="002B317A" w:rsidRDefault="00DC0D6E">
      <w:pPr>
        <w:numPr>
          <w:ilvl w:val="0"/>
          <w:numId w:val="9"/>
        </w:numPr>
        <w:spacing w:beforeLines="0" w:afterLines="0" w:line="240" w:lineRule="auto"/>
        <w:jc w:val="left"/>
        <w:rPr>
          <w:rFonts w:eastAsia="Batang"/>
          <w:bCs/>
        </w:rPr>
      </w:pPr>
      <w:r>
        <w:rPr>
          <w:rFonts w:eastAsia="Batang"/>
          <w:bCs/>
        </w:rPr>
        <w:t>5GAA_A-200118</w:t>
      </w:r>
      <w:r>
        <w:rPr>
          <w:rFonts w:hint="eastAsia"/>
          <w:bCs/>
        </w:rPr>
        <w:t xml:space="preserve">, System Architecture and Solution Development: High Accuracy Positioning for C-V2X, </w:t>
      </w:r>
      <w:r>
        <w:rPr>
          <w:bCs/>
        </w:rPr>
        <w:t>February</w:t>
      </w:r>
      <w:r>
        <w:rPr>
          <w:rFonts w:hint="eastAsia"/>
          <w:bCs/>
        </w:rPr>
        <w:t>, 2021</w:t>
      </w:r>
    </w:p>
    <w:p w:rsidR="002B317A" w:rsidRDefault="00DC0D6E">
      <w:pPr>
        <w:numPr>
          <w:ilvl w:val="0"/>
          <w:numId w:val="9"/>
        </w:numPr>
        <w:spacing w:beforeLines="0" w:afterLines="0" w:line="240" w:lineRule="auto"/>
        <w:jc w:val="left"/>
      </w:pPr>
      <w:r>
        <w:lastRenderedPageBreak/>
        <w:t xml:space="preserve">RP-192412, </w:t>
      </w:r>
      <w:r>
        <w:rPr>
          <w:rFonts w:eastAsia="MS Mincho"/>
        </w:rPr>
        <w:t>Email summary on NR positioning</w:t>
      </w:r>
      <w:r>
        <w:t xml:space="preserve">, Qualcomm, December 2019. </w:t>
      </w:r>
    </w:p>
    <w:p w:rsidR="002B317A" w:rsidRDefault="00DC0D6E">
      <w:pPr>
        <w:numPr>
          <w:ilvl w:val="0"/>
          <w:numId w:val="9"/>
        </w:numPr>
        <w:spacing w:beforeLines="0" w:afterLines="0" w:line="240" w:lineRule="auto"/>
        <w:jc w:val="left"/>
      </w:pPr>
      <w:r>
        <w:rPr>
          <w:rFonts w:hint="eastAsia"/>
        </w:rPr>
        <w:t xml:space="preserve">TR 38.855, 3GPP TSG RAN Study on NR positioning support. </w:t>
      </w:r>
    </w:p>
    <w:sectPr w:rsidR="002B317A">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0D6E" w:rsidRDefault="00DC0D6E">
      <w:pPr>
        <w:spacing w:before="120" w:after="120" w:line="240" w:lineRule="auto"/>
      </w:pPr>
      <w:r>
        <w:separator/>
      </w:r>
    </w:p>
  </w:endnote>
  <w:endnote w:type="continuationSeparator" w:id="0">
    <w:p w:rsidR="00DC0D6E" w:rsidRDefault="00DC0D6E">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17A" w:rsidRDefault="002B317A">
    <w:pPr>
      <w:pStyle w:val="a7"/>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5056"/>
    </w:sdtPr>
    <w:sdtEndPr/>
    <w:sdtContent>
      <w:p w:rsidR="002B317A" w:rsidRDefault="00DC0D6E">
        <w:pPr>
          <w:pStyle w:val="a7"/>
          <w:spacing w:before="120" w:after="120"/>
          <w:jc w:val="center"/>
        </w:pPr>
        <w:r>
          <w:fldChar w:fldCharType="begin"/>
        </w:r>
        <w:r>
          <w:instrText xml:space="preserve"> PAGE   \* MERGEFORMAT </w:instrText>
        </w:r>
        <w:r>
          <w:fldChar w:fldCharType="separate"/>
        </w:r>
        <w:r w:rsidR="00F60E48">
          <w:rPr>
            <w:noProof/>
          </w:rPr>
          <w:t>3</w:t>
        </w:r>
        <w:r>
          <w:fldChar w:fldCharType="end"/>
        </w:r>
      </w:p>
    </w:sdtContent>
  </w:sdt>
  <w:p w:rsidR="002B317A" w:rsidRDefault="002B317A">
    <w:pPr>
      <w:pStyle w:val="a7"/>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17A" w:rsidRDefault="002B317A">
    <w:pPr>
      <w:pStyle w:val="a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0D6E" w:rsidRDefault="00DC0D6E">
      <w:pPr>
        <w:spacing w:before="120" w:after="120" w:line="240" w:lineRule="auto"/>
      </w:pPr>
      <w:r>
        <w:separator/>
      </w:r>
    </w:p>
  </w:footnote>
  <w:footnote w:type="continuationSeparator" w:id="0">
    <w:p w:rsidR="00DC0D6E" w:rsidRDefault="00DC0D6E">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17A" w:rsidRDefault="002B317A">
    <w:pPr>
      <w:pStyle w:val="a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17A" w:rsidRDefault="002B317A">
    <w:pPr>
      <w:pStyle w:val="a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17A" w:rsidRDefault="002B317A">
    <w:pPr>
      <w:pStyle w:val="a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0C26D1C"/>
    <w:multiLevelType w:val="singleLevel"/>
    <w:tmpl w:val="90C26D1C"/>
    <w:lvl w:ilvl="0">
      <w:start w:val="1"/>
      <w:numFmt w:val="decimal"/>
      <w:suff w:val="space"/>
      <w:lvlText w:val="[%1]"/>
      <w:lvlJc w:val="left"/>
    </w:lvl>
  </w:abstractNum>
  <w:abstractNum w:abstractNumId="1">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2">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nsid w:val="2A426DCE"/>
    <w:multiLevelType w:val="multilevel"/>
    <w:tmpl w:val="2A426DC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54FF0165"/>
    <w:multiLevelType w:val="multilevel"/>
    <w:tmpl w:val="54FF016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abstractNumId w:val="3"/>
  </w:num>
  <w:num w:numId="2">
    <w:abstractNumId w:val="8"/>
  </w:num>
  <w:num w:numId="3">
    <w:abstractNumId w:val="5"/>
  </w:num>
  <w:num w:numId="4">
    <w:abstractNumId w:val="6"/>
  </w:num>
  <w:num w:numId="5">
    <w:abstractNumId w:val="2"/>
  </w:num>
  <w:num w:numId="6">
    <w:abstractNumId w:val="1"/>
  </w:num>
  <w:num w:numId="7">
    <w:abstractNumId w:val="4"/>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60A1"/>
    <w:rsid w:val="000145B0"/>
    <w:rsid w:val="00021417"/>
    <w:rsid w:val="00023F70"/>
    <w:rsid w:val="00024917"/>
    <w:rsid w:val="0002708F"/>
    <w:rsid w:val="00055E90"/>
    <w:rsid w:val="0006398D"/>
    <w:rsid w:val="0008331E"/>
    <w:rsid w:val="000A4133"/>
    <w:rsid w:val="000A4385"/>
    <w:rsid w:val="000A5F2D"/>
    <w:rsid w:val="000B306C"/>
    <w:rsid w:val="000B72CE"/>
    <w:rsid w:val="000C6FD0"/>
    <w:rsid w:val="000D2BFF"/>
    <w:rsid w:val="000D57E0"/>
    <w:rsid w:val="000E17BC"/>
    <w:rsid w:val="000E2366"/>
    <w:rsid w:val="000F331A"/>
    <w:rsid w:val="000F64F0"/>
    <w:rsid w:val="000F734B"/>
    <w:rsid w:val="00103A61"/>
    <w:rsid w:val="00104103"/>
    <w:rsid w:val="00124481"/>
    <w:rsid w:val="00126AB9"/>
    <w:rsid w:val="00136DE0"/>
    <w:rsid w:val="0014297B"/>
    <w:rsid w:val="00153D6E"/>
    <w:rsid w:val="00154928"/>
    <w:rsid w:val="001668F7"/>
    <w:rsid w:val="00172A27"/>
    <w:rsid w:val="00181331"/>
    <w:rsid w:val="001A02CC"/>
    <w:rsid w:val="001A0763"/>
    <w:rsid w:val="001B4491"/>
    <w:rsid w:val="001B4A61"/>
    <w:rsid w:val="001C7EE8"/>
    <w:rsid w:val="001E3484"/>
    <w:rsid w:val="001E43E0"/>
    <w:rsid w:val="001E4B08"/>
    <w:rsid w:val="001E4FF2"/>
    <w:rsid w:val="001E6706"/>
    <w:rsid w:val="001F442D"/>
    <w:rsid w:val="001F53DF"/>
    <w:rsid w:val="00205DE5"/>
    <w:rsid w:val="00210590"/>
    <w:rsid w:val="0021619D"/>
    <w:rsid w:val="002169F5"/>
    <w:rsid w:val="00224306"/>
    <w:rsid w:val="00233D01"/>
    <w:rsid w:val="00251D82"/>
    <w:rsid w:val="00256654"/>
    <w:rsid w:val="00263BFE"/>
    <w:rsid w:val="002721B8"/>
    <w:rsid w:val="00284819"/>
    <w:rsid w:val="00291C5F"/>
    <w:rsid w:val="002A5285"/>
    <w:rsid w:val="002B317A"/>
    <w:rsid w:val="002B7F9A"/>
    <w:rsid w:val="002D17CE"/>
    <w:rsid w:val="002D2488"/>
    <w:rsid w:val="002D535F"/>
    <w:rsid w:val="002E5075"/>
    <w:rsid w:val="002F60C6"/>
    <w:rsid w:val="00307D72"/>
    <w:rsid w:val="00314629"/>
    <w:rsid w:val="00365C81"/>
    <w:rsid w:val="00371A27"/>
    <w:rsid w:val="0038701B"/>
    <w:rsid w:val="003875B1"/>
    <w:rsid w:val="003A449D"/>
    <w:rsid w:val="003A69A9"/>
    <w:rsid w:val="003B45A9"/>
    <w:rsid w:val="003D6404"/>
    <w:rsid w:val="00403A84"/>
    <w:rsid w:val="004127DE"/>
    <w:rsid w:val="004136C5"/>
    <w:rsid w:val="00415A01"/>
    <w:rsid w:val="0043126B"/>
    <w:rsid w:val="00432CFA"/>
    <w:rsid w:val="00447360"/>
    <w:rsid w:val="004473B1"/>
    <w:rsid w:val="00450ED2"/>
    <w:rsid w:val="00456CF0"/>
    <w:rsid w:val="00464D3A"/>
    <w:rsid w:val="0046786B"/>
    <w:rsid w:val="00471253"/>
    <w:rsid w:val="00474D46"/>
    <w:rsid w:val="00475442"/>
    <w:rsid w:val="00486D5B"/>
    <w:rsid w:val="00491DB1"/>
    <w:rsid w:val="00491F56"/>
    <w:rsid w:val="004953DD"/>
    <w:rsid w:val="004A0A7D"/>
    <w:rsid w:val="004A219E"/>
    <w:rsid w:val="004B7C15"/>
    <w:rsid w:val="004C68C4"/>
    <w:rsid w:val="004C7188"/>
    <w:rsid w:val="004C7366"/>
    <w:rsid w:val="004D00C7"/>
    <w:rsid w:val="004D7D6B"/>
    <w:rsid w:val="004E2C18"/>
    <w:rsid w:val="004E7D56"/>
    <w:rsid w:val="004F40F6"/>
    <w:rsid w:val="004F5309"/>
    <w:rsid w:val="005060AB"/>
    <w:rsid w:val="005117D3"/>
    <w:rsid w:val="005171AF"/>
    <w:rsid w:val="005317AF"/>
    <w:rsid w:val="00540778"/>
    <w:rsid w:val="0055200D"/>
    <w:rsid w:val="005558F3"/>
    <w:rsid w:val="005600DF"/>
    <w:rsid w:val="00564DDE"/>
    <w:rsid w:val="00571C54"/>
    <w:rsid w:val="00571EA0"/>
    <w:rsid w:val="0057307C"/>
    <w:rsid w:val="00581F2D"/>
    <w:rsid w:val="0059380D"/>
    <w:rsid w:val="005A62C0"/>
    <w:rsid w:val="005A634E"/>
    <w:rsid w:val="005B04FD"/>
    <w:rsid w:val="005B1BD7"/>
    <w:rsid w:val="005B5EA3"/>
    <w:rsid w:val="005C460A"/>
    <w:rsid w:val="005C7FA5"/>
    <w:rsid w:val="005D070D"/>
    <w:rsid w:val="005E40FB"/>
    <w:rsid w:val="0060166B"/>
    <w:rsid w:val="00610E84"/>
    <w:rsid w:val="00623BAF"/>
    <w:rsid w:val="00624225"/>
    <w:rsid w:val="00627358"/>
    <w:rsid w:val="00645440"/>
    <w:rsid w:val="006519B5"/>
    <w:rsid w:val="00652629"/>
    <w:rsid w:val="00653D1A"/>
    <w:rsid w:val="006814BC"/>
    <w:rsid w:val="00682C34"/>
    <w:rsid w:val="00692759"/>
    <w:rsid w:val="00693693"/>
    <w:rsid w:val="006C4128"/>
    <w:rsid w:val="006C4FC1"/>
    <w:rsid w:val="006D0BE3"/>
    <w:rsid w:val="006E07F5"/>
    <w:rsid w:val="006E2948"/>
    <w:rsid w:val="006F1E71"/>
    <w:rsid w:val="00713289"/>
    <w:rsid w:val="007274EB"/>
    <w:rsid w:val="00735D0D"/>
    <w:rsid w:val="00746E22"/>
    <w:rsid w:val="00756220"/>
    <w:rsid w:val="00764336"/>
    <w:rsid w:val="00776540"/>
    <w:rsid w:val="00785CCD"/>
    <w:rsid w:val="007A111A"/>
    <w:rsid w:val="007B4AEC"/>
    <w:rsid w:val="007B78BA"/>
    <w:rsid w:val="007B7C40"/>
    <w:rsid w:val="007C212D"/>
    <w:rsid w:val="007C2AEA"/>
    <w:rsid w:val="007C35BD"/>
    <w:rsid w:val="007C56BF"/>
    <w:rsid w:val="007E083E"/>
    <w:rsid w:val="007F0C82"/>
    <w:rsid w:val="007F397A"/>
    <w:rsid w:val="007F6ACE"/>
    <w:rsid w:val="00804AC9"/>
    <w:rsid w:val="008308A0"/>
    <w:rsid w:val="00832E40"/>
    <w:rsid w:val="00841F02"/>
    <w:rsid w:val="00847D16"/>
    <w:rsid w:val="008616A3"/>
    <w:rsid w:val="00866C06"/>
    <w:rsid w:val="0088501F"/>
    <w:rsid w:val="00887B64"/>
    <w:rsid w:val="00887C4C"/>
    <w:rsid w:val="00892BB4"/>
    <w:rsid w:val="008C42E9"/>
    <w:rsid w:val="008C71FA"/>
    <w:rsid w:val="008D0FE9"/>
    <w:rsid w:val="008E23F2"/>
    <w:rsid w:val="0090159D"/>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E2DC5"/>
    <w:rsid w:val="009F300C"/>
    <w:rsid w:val="009F72E0"/>
    <w:rsid w:val="00A1419A"/>
    <w:rsid w:val="00A2192E"/>
    <w:rsid w:val="00A307A0"/>
    <w:rsid w:val="00A36F0A"/>
    <w:rsid w:val="00A45420"/>
    <w:rsid w:val="00A55ACD"/>
    <w:rsid w:val="00A56951"/>
    <w:rsid w:val="00A56B38"/>
    <w:rsid w:val="00A71700"/>
    <w:rsid w:val="00A73727"/>
    <w:rsid w:val="00A827D7"/>
    <w:rsid w:val="00A8652B"/>
    <w:rsid w:val="00A96342"/>
    <w:rsid w:val="00A9687A"/>
    <w:rsid w:val="00AB1D66"/>
    <w:rsid w:val="00AB7E4D"/>
    <w:rsid w:val="00AC3E7C"/>
    <w:rsid w:val="00AC4B90"/>
    <w:rsid w:val="00AD02C9"/>
    <w:rsid w:val="00AE71B6"/>
    <w:rsid w:val="00B012CB"/>
    <w:rsid w:val="00B0288C"/>
    <w:rsid w:val="00B2645C"/>
    <w:rsid w:val="00B3240D"/>
    <w:rsid w:val="00B36DB0"/>
    <w:rsid w:val="00B5514D"/>
    <w:rsid w:val="00B551F6"/>
    <w:rsid w:val="00B56064"/>
    <w:rsid w:val="00B5652E"/>
    <w:rsid w:val="00B6797B"/>
    <w:rsid w:val="00B92BB4"/>
    <w:rsid w:val="00BC2AB7"/>
    <w:rsid w:val="00BF62E8"/>
    <w:rsid w:val="00C107DB"/>
    <w:rsid w:val="00C137EA"/>
    <w:rsid w:val="00C16823"/>
    <w:rsid w:val="00C25162"/>
    <w:rsid w:val="00C27661"/>
    <w:rsid w:val="00C322B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516E"/>
    <w:rsid w:val="00CC51D5"/>
    <w:rsid w:val="00CC6EF3"/>
    <w:rsid w:val="00CD3F9F"/>
    <w:rsid w:val="00CE50F2"/>
    <w:rsid w:val="00CE5EAF"/>
    <w:rsid w:val="00D0372D"/>
    <w:rsid w:val="00D05CCB"/>
    <w:rsid w:val="00D0717D"/>
    <w:rsid w:val="00D12096"/>
    <w:rsid w:val="00D15E57"/>
    <w:rsid w:val="00D2097F"/>
    <w:rsid w:val="00D21EF8"/>
    <w:rsid w:val="00D234CB"/>
    <w:rsid w:val="00D35BC4"/>
    <w:rsid w:val="00D67AC0"/>
    <w:rsid w:val="00D67B5A"/>
    <w:rsid w:val="00D70142"/>
    <w:rsid w:val="00D7345C"/>
    <w:rsid w:val="00DA28CF"/>
    <w:rsid w:val="00DA51C2"/>
    <w:rsid w:val="00DB5D94"/>
    <w:rsid w:val="00DC0D6E"/>
    <w:rsid w:val="00E006DF"/>
    <w:rsid w:val="00E01390"/>
    <w:rsid w:val="00E05D5E"/>
    <w:rsid w:val="00E11CBF"/>
    <w:rsid w:val="00E16B1D"/>
    <w:rsid w:val="00E34DFB"/>
    <w:rsid w:val="00E362EA"/>
    <w:rsid w:val="00E408E0"/>
    <w:rsid w:val="00E427D9"/>
    <w:rsid w:val="00E46CAB"/>
    <w:rsid w:val="00E53AB3"/>
    <w:rsid w:val="00E56021"/>
    <w:rsid w:val="00E62914"/>
    <w:rsid w:val="00E65216"/>
    <w:rsid w:val="00E917BF"/>
    <w:rsid w:val="00E94196"/>
    <w:rsid w:val="00EA239D"/>
    <w:rsid w:val="00EC2F99"/>
    <w:rsid w:val="00EC56AB"/>
    <w:rsid w:val="00EC62DB"/>
    <w:rsid w:val="00EC7337"/>
    <w:rsid w:val="00F10452"/>
    <w:rsid w:val="00F11DBE"/>
    <w:rsid w:val="00F128B1"/>
    <w:rsid w:val="00F149DF"/>
    <w:rsid w:val="00F15C6E"/>
    <w:rsid w:val="00F21B9C"/>
    <w:rsid w:val="00F21C0C"/>
    <w:rsid w:val="00F23D40"/>
    <w:rsid w:val="00F35371"/>
    <w:rsid w:val="00F506E5"/>
    <w:rsid w:val="00F52DE2"/>
    <w:rsid w:val="00F535F8"/>
    <w:rsid w:val="00F60E48"/>
    <w:rsid w:val="00F655C0"/>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5FC4"/>
    <w:rsid w:val="00FF10BD"/>
    <w:rsid w:val="01764F01"/>
    <w:rsid w:val="01854FE9"/>
    <w:rsid w:val="018E207B"/>
    <w:rsid w:val="0190283E"/>
    <w:rsid w:val="019D155B"/>
    <w:rsid w:val="01A428BB"/>
    <w:rsid w:val="01AE307F"/>
    <w:rsid w:val="01C00B7B"/>
    <w:rsid w:val="01D46B8D"/>
    <w:rsid w:val="01FB366B"/>
    <w:rsid w:val="01FD3930"/>
    <w:rsid w:val="023B0A39"/>
    <w:rsid w:val="023C78A7"/>
    <w:rsid w:val="024D6B6A"/>
    <w:rsid w:val="027371D9"/>
    <w:rsid w:val="028F6D4C"/>
    <w:rsid w:val="029B04E7"/>
    <w:rsid w:val="03073BDC"/>
    <w:rsid w:val="030C40C1"/>
    <w:rsid w:val="0356746F"/>
    <w:rsid w:val="03746F87"/>
    <w:rsid w:val="03814F5B"/>
    <w:rsid w:val="03B339B1"/>
    <w:rsid w:val="03C05350"/>
    <w:rsid w:val="03C1287B"/>
    <w:rsid w:val="04030035"/>
    <w:rsid w:val="04251A4C"/>
    <w:rsid w:val="04305EA0"/>
    <w:rsid w:val="04684A28"/>
    <w:rsid w:val="04782230"/>
    <w:rsid w:val="04894975"/>
    <w:rsid w:val="04FF7D5A"/>
    <w:rsid w:val="053E65E7"/>
    <w:rsid w:val="0555228E"/>
    <w:rsid w:val="057D1D66"/>
    <w:rsid w:val="059D265F"/>
    <w:rsid w:val="05B92EC1"/>
    <w:rsid w:val="05E078B3"/>
    <w:rsid w:val="0601277E"/>
    <w:rsid w:val="060C5AED"/>
    <w:rsid w:val="06172561"/>
    <w:rsid w:val="061E5E22"/>
    <w:rsid w:val="068E06BC"/>
    <w:rsid w:val="06E7678C"/>
    <w:rsid w:val="06F801C0"/>
    <w:rsid w:val="071C13A8"/>
    <w:rsid w:val="073D143C"/>
    <w:rsid w:val="074855FD"/>
    <w:rsid w:val="07627CA0"/>
    <w:rsid w:val="076319C4"/>
    <w:rsid w:val="078D336C"/>
    <w:rsid w:val="07971B3F"/>
    <w:rsid w:val="07983294"/>
    <w:rsid w:val="07B9290D"/>
    <w:rsid w:val="07BE52B9"/>
    <w:rsid w:val="07ED524D"/>
    <w:rsid w:val="080C7FA0"/>
    <w:rsid w:val="08A44DA6"/>
    <w:rsid w:val="08AA245A"/>
    <w:rsid w:val="08E916DF"/>
    <w:rsid w:val="09355076"/>
    <w:rsid w:val="098143BC"/>
    <w:rsid w:val="09F67CD5"/>
    <w:rsid w:val="0A0835C8"/>
    <w:rsid w:val="0A145721"/>
    <w:rsid w:val="0A646846"/>
    <w:rsid w:val="0A9E3D3D"/>
    <w:rsid w:val="0AA077E0"/>
    <w:rsid w:val="0AC0212C"/>
    <w:rsid w:val="0AF13898"/>
    <w:rsid w:val="0AFB3228"/>
    <w:rsid w:val="0B3E7DD7"/>
    <w:rsid w:val="0B561995"/>
    <w:rsid w:val="0B5C2C2A"/>
    <w:rsid w:val="0B847B39"/>
    <w:rsid w:val="0B9E71DF"/>
    <w:rsid w:val="0BCC4B6A"/>
    <w:rsid w:val="0C3427D0"/>
    <w:rsid w:val="0C43327D"/>
    <w:rsid w:val="0C4426AF"/>
    <w:rsid w:val="0C5C6396"/>
    <w:rsid w:val="0C650A20"/>
    <w:rsid w:val="0CB94808"/>
    <w:rsid w:val="0CC37BC2"/>
    <w:rsid w:val="0CD87ABE"/>
    <w:rsid w:val="0CE26C42"/>
    <w:rsid w:val="0CFB523A"/>
    <w:rsid w:val="0D6E2620"/>
    <w:rsid w:val="0D883C88"/>
    <w:rsid w:val="0D966BF7"/>
    <w:rsid w:val="0DF202E1"/>
    <w:rsid w:val="0E0961C5"/>
    <w:rsid w:val="0E2F216B"/>
    <w:rsid w:val="0E81568A"/>
    <w:rsid w:val="0E963344"/>
    <w:rsid w:val="0EEC6F1D"/>
    <w:rsid w:val="0F103291"/>
    <w:rsid w:val="0F1D498B"/>
    <w:rsid w:val="0F764270"/>
    <w:rsid w:val="0F98796C"/>
    <w:rsid w:val="0FBE2A42"/>
    <w:rsid w:val="0FC17CCE"/>
    <w:rsid w:val="0FC424B9"/>
    <w:rsid w:val="0FD70565"/>
    <w:rsid w:val="10007AD6"/>
    <w:rsid w:val="107D41AE"/>
    <w:rsid w:val="10E746EA"/>
    <w:rsid w:val="10E83FE0"/>
    <w:rsid w:val="10F52718"/>
    <w:rsid w:val="117C2D9D"/>
    <w:rsid w:val="11821DC9"/>
    <w:rsid w:val="11921373"/>
    <w:rsid w:val="119D7849"/>
    <w:rsid w:val="11C67B8F"/>
    <w:rsid w:val="11FC38D5"/>
    <w:rsid w:val="1210682D"/>
    <w:rsid w:val="123A05DB"/>
    <w:rsid w:val="127E5AA6"/>
    <w:rsid w:val="129811DB"/>
    <w:rsid w:val="12AB7A32"/>
    <w:rsid w:val="12D22971"/>
    <w:rsid w:val="12D85654"/>
    <w:rsid w:val="130E3629"/>
    <w:rsid w:val="13332F77"/>
    <w:rsid w:val="13346EE4"/>
    <w:rsid w:val="1366638D"/>
    <w:rsid w:val="137266E0"/>
    <w:rsid w:val="13C20262"/>
    <w:rsid w:val="13D024B3"/>
    <w:rsid w:val="13D86A45"/>
    <w:rsid w:val="13DD445E"/>
    <w:rsid w:val="13FD073F"/>
    <w:rsid w:val="1405674E"/>
    <w:rsid w:val="14087FC1"/>
    <w:rsid w:val="14095006"/>
    <w:rsid w:val="141E583B"/>
    <w:rsid w:val="149559C4"/>
    <w:rsid w:val="14DA3DA1"/>
    <w:rsid w:val="14EA1C4D"/>
    <w:rsid w:val="154D342A"/>
    <w:rsid w:val="1575191B"/>
    <w:rsid w:val="159F73BB"/>
    <w:rsid w:val="15E30A80"/>
    <w:rsid w:val="1608480E"/>
    <w:rsid w:val="161C1C58"/>
    <w:rsid w:val="16461A95"/>
    <w:rsid w:val="16594F06"/>
    <w:rsid w:val="16766A92"/>
    <w:rsid w:val="167A52A9"/>
    <w:rsid w:val="16866882"/>
    <w:rsid w:val="16AC4DDB"/>
    <w:rsid w:val="16AE2FE3"/>
    <w:rsid w:val="16B4400E"/>
    <w:rsid w:val="16C739DF"/>
    <w:rsid w:val="16FD2447"/>
    <w:rsid w:val="1722504D"/>
    <w:rsid w:val="1738730F"/>
    <w:rsid w:val="17481B81"/>
    <w:rsid w:val="175007ED"/>
    <w:rsid w:val="176B45C6"/>
    <w:rsid w:val="176C447F"/>
    <w:rsid w:val="1793626E"/>
    <w:rsid w:val="17A875F5"/>
    <w:rsid w:val="17E66DD8"/>
    <w:rsid w:val="17E84839"/>
    <w:rsid w:val="18005F41"/>
    <w:rsid w:val="18025414"/>
    <w:rsid w:val="183E1D37"/>
    <w:rsid w:val="18812331"/>
    <w:rsid w:val="18816F1C"/>
    <w:rsid w:val="18B50543"/>
    <w:rsid w:val="19001FFC"/>
    <w:rsid w:val="190E2B4A"/>
    <w:rsid w:val="19256D7A"/>
    <w:rsid w:val="19B46E10"/>
    <w:rsid w:val="1A054259"/>
    <w:rsid w:val="1A8301C0"/>
    <w:rsid w:val="1A872248"/>
    <w:rsid w:val="1AA74D3D"/>
    <w:rsid w:val="1AB34DB4"/>
    <w:rsid w:val="1AB613FD"/>
    <w:rsid w:val="1AD26086"/>
    <w:rsid w:val="1AE013F8"/>
    <w:rsid w:val="1AE8570C"/>
    <w:rsid w:val="1B2160BB"/>
    <w:rsid w:val="1B3637AD"/>
    <w:rsid w:val="1B454C94"/>
    <w:rsid w:val="1B7F6005"/>
    <w:rsid w:val="1B9C269A"/>
    <w:rsid w:val="1BC01115"/>
    <w:rsid w:val="1BCA6284"/>
    <w:rsid w:val="1C053414"/>
    <w:rsid w:val="1C132CB9"/>
    <w:rsid w:val="1C273D33"/>
    <w:rsid w:val="1C7F54CE"/>
    <w:rsid w:val="1C973EEF"/>
    <w:rsid w:val="1CAF5DB2"/>
    <w:rsid w:val="1CCC26CA"/>
    <w:rsid w:val="1CD44D3D"/>
    <w:rsid w:val="1CE615C9"/>
    <w:rsid w:val="1D037029"/>
    <w:rsid w:val="1D3305FF"/>
    <w:rsid w:val="1D7072CE"/>
    <w:rsid w:val="1DAB1006"/>
    <w:rsid w:val="1E2F243E"/>
    <w:rsid w:val="1E595CAF"/>
    <w:rsid w:val="1E884F62"/>
    <w:rsid w:val="1E9D6342"/>
    <w:rsid w:val="1EE25FDD"/>
    <w:rsid w:val="1F4F2219"/>
    <w:rsid w:val="1FA6556D"/>
    <w:rsid w:val="1FAF2571"/>
    <w:rsid w:val="20446081"/>
    <w:rsid w:val="204E6676"/>
    <w:rsid w:val="205A5AA0"/>
    <w:rsid w:val="20773A28"/>
    <w:rsid w:val="208574F4"/>
    <w:rsid w:val="20C849C7"/>
    <w:rsid w:val="20EC3F2E"/>
    <w:rsid w:val="210548E9"/>
    <w:rsid w:val="21124D15"/>
    <w:rsid w:val="213E7119"/>
    <w:rsid w:val="2195668B"/>
    <w:rsid w:val="21CD6BCD"/>
    <w:rsid w:val="21CE6067"/>
    <w:rsid w:val="2226635F"/>
    <w:rsid w:val="223D7545"/>
    <w:rsid w:val="22411D14"/>
    <w:rsid w:val="228A4698"/>
    <w:rsid w:val="22C74EE2"/>
    <w:rsid w:val="22CB6237"/>
    <w:rsid w:val="22CD14B5"/>
    <w:rsid w:val="22E04FF4"/>
    <w:rsid w:val="22E1121B"/>
    <w:rsid w:val="234449F5"/>
    <w:rsid w:val="23536618"/>
    <w:rsid w:val="23816932"/>
    <w:rsid w:val="23D17D7B"/>
    <w:rsid w:val="23D36D91"/>
    <w:rsid w:val="23F70BA5"/>
    <w:rsid w:val="23F93D0D"/>
    <w:rsid w:val="2405417E"/>
    <w:rsid w:val="245872F9"/>
    <w:rsid w:val="2463385E"/>
    <w:rsid w:val="24C83F94"/>
    <w:rsid w:val="24F60CDA"/>
    <w:rsid w:val="250D450C"/>
    <w:rsid w:val="25134332"/>
    <w:rsid w:val="25141A5B"/>
    <w:rsid w:val="25975923"/>
    <w:rsid w:val="259A3D0A"/>
    <w:rsid w:val="25A95F3E"/>
    <w:rsid w:val="25BF6041"/>
    <w:rsid w:val="25C35718"/>
    <w:rsid w:val="25CF0252"/>
    <w:rsid w:val="25D0248E"/>
    <w:rsid w:val="25FB5636"/>
    <w:rsid w:val="25FE58A9"/>
    <w:rsid w:val="26070462"/>
    <w:rsid w:val="260D2C45"/>
    <w:rsid w:val="26395C92"/>
    <w:rsid w:val="26C472EC"/>
    <w:rsid w:val="272F31A0"/>
    <w:rsid w:val="27342901"/>
    <w:rsid w:val="27470B72"/>
    <w:rsid w:val="27525E32"/>
    <w:rsid w:val="279B1E53"/>
    <w:rsid w:val="27AB7429"/>
    <w:rsid w:val="27DD45ED"/>
    <w:rsid w:val="281F4F67"/>
    <w:rsid w:val="28485D62"/>
    <w:rsid w:val="28937D89"/>
    <w:rsid w:val="28C96C14"/>
    <w:rsid w:val="28E74216"/>
    <w:rsid w:val="28E87EE4"/>
    <w:rsid w:val="294E766A"/>
    <w:rsid w:val="2978319A"/>
    <w:rsid w:val="29A3014B"/>
    <w:rsid w:val="29B01C34"/>
    <w:rsid w:val="29BA0D88"/>
    <w:rsid w:val="29DE15A2"/>
    <w:rsid w:val="29EF424E"/>
    <w:rsid w:val="29FA7F26"/>
    <w:rsid w:val="2A35650F"/>
    <w:rsid w:val="2AAC5A06"/>
    <w:rsid w:val="2ABB3D6F"/>
    <w:rsid w:val="2AC70B30"/>
    <w:rsid w:val="2AD74744"/>
    <w:rsid w:val="2AE57C95"/>
    <w:rsid w:val="2AF35C8B"/>
    <w:rsid w:val="2B132265"/>
    <w:rsid w:val="2B313FC1"/>
    <w:rsid w:val="2B514803"/>
    <w:rsid w:val="2B6B1684"/>
    <w:rsid w:val="2B7B70BF"/>
    <w:rsid w:val="2B8B422C"/>
    <w:rsid w:val="2BA07D38"/>
    <w:rsid w:val="2BC40957"/>
    <w:rsid w:val="2BFC0A4A"/>
    <w:rsid w:val="2C094904"/>
    <w:rsid w:val="2CB600FC"/>
    <w:rsid w:val="2D2D2DE2"/>
    <w:rsid w:val="2D340E86"/>
    <w:rsid w:val="2D62469E"/>
    <w:rsid w:val="2D6B40A9"/>
    <w:rsid w:val="2D987372"/>
    <w:rsid w:val="2DCE5F69"/>
    <w:rsid w:val="2DDD4F0A"/>
    <w:rsid w:val="2E34792A"/>
    <w:rsid w:val="2E437E73"/>
    <w:rsid w:val="2E5034DC"/>
    <w:rsid w:val="2E572AB9"/>
    <w:rsid w:val="2E7258DC"/>
    <w:rsid w:val="2E79458E"/>
    <w:rsid w:val="2E797A78"/>
    <w:rsid w:val="2EAE350B"/>
    <w:rsid w:val="2EEA6E65"/>
    <w:rsid w:val="2F00052B"/>
    <w:rsid w:val="2F0367CD"/>
    <w:rsid w:val="2F1251F2"/>
    <w:rsid w:val="2F4F6FBB"/>
    <w:rsid w:val="2F664E2B"/>
    <w:rsid w:val="2F7F5C0B"/>
    <w:rsid w:val="2FA6492D"/>
    <w:rsid w:val="301A71CE"/>
    <w:rsid w:val="30962F3E"/>
    <w:rsid w:val="30AA2585"/>
    <w:rsid w:val="30C16A19"/>
    <w:rsid w:val="30D32236"/>
    <w:rsid w:val="30FF2795"/>
    <w:rsid w:val="316E7CA0"/>
    <w:rsid w:val="317206BF"/>
    <w:rsid w:val="317932EA"/>
    <w:rsid w:val="31B718F2"/>
    <w:rsid w:val="31EF7EE8"/>
    <w:rsid w:val="320B7CCB"/>
    <w:rsid w:val="32105DE8"/>
    <w:rsid w:val="32537B57"/>
    <w:rsid w:val="325F618E"/>
    <w:rsid w:val="32757E99"/>
    <w:rsid w:val="328F5534"/>
    <w:rsid w:val="329A6ACE"/>
    <w:rsid w:val="32DF351E"/>
    <w:rsid w:val="330C22FC"/>
    <w:rsid w:val="3364318B"/>
    <w:rsid w:val="33737F51"/>
    <w:rsid w:val="337D34FB"/>
    <w:rsid w:val="33BF4199"/>
    <w:rsid w:val="343A1527"/>
    <w:rsid w:val="34447898"/>
    <w:rsid w:val="344E62FA"/>
    <w:rsid w:val="347D500F"/>
    <w:rsid w:val="34872D27"/>
    <w:rsid w:val="34DA26A8"/>
    <w:rsid w:val="350B42D5"/>
    <w:rsid w:val="351A603C"/>
    <w:rsid w:val="3539550B"/>
    <w:rsid w:val="3573649F"/>
    <w:rsid w:val="358F6BDF"/>
    <w:rsid w:val="35FF6F3C"/>
    <w:rsid w:val="36121506"/>
    <w:rsid w:val="361F3323"/>
    <w:rsid w:val="36402EFA"/>
    <w:rsid w:val="368230C6"/>
    <w:rsid w:val="368F7E4F"/>
    <w:rsid w:val="369F633B"/>
    <w:rsid w:val="36B24AE8"/>
    <w:rsid w:val="36BD0DC4"/>
    <w:rsid w:val="36D51D00"/>
    <w:rsid w:val="36D66B5E"/>
    <w:rsid w:val="36E93760"/>
    <w:rsid w:val="36FB4305"/>
    <w:rsid w:val="3708597F"/>
    <w:rsid w:val="370F7060"/>
    <w:rsid w:val="37173233"/>
    <w:rsid w:val="37382526"/>
    <w:rsid w:val="37602E60"/>
    <w:rsid w:val="378229A7"/>
    <w:rsid w:val="3784394E"/>
    <w:rsid w:val="37C94031"/>
    <w:rsid w:val="37D44549"/>
    <w:rsid w:val="37D77B09"/>
    <w:rsid w:val="38342E90"/>
    <w:rsid w:val="384B7332"/>
    <w:rsid w:val="38706DCB"/>
    <w:rsid w:val="38BD31EE"/>
    <w:rsid w:val="38E40A5B"/>
    <w:rsid w:val="39285D57"/>
    <w:rsid w:val="394B6470"/>
    <w:rsid w:val="39C2316A"/>
    <w:rsid w:val="39F36281"/>
    <w:rsid w:val="3A226969"/>
    <w:rsid w:val="3A4E1C5D"/>
    <w:rsid w:val="3A727435"/>
    <w:rsid w:val="3A94055A"/>
    <w:rsid w:val="3ACB5746"/>
    <w:rsid w:val="3AE417E3"/>
    <w:rsid w:val="3B113F51"/>
    <w:rsid w:val="3B307112"/>
    <w:rsid w:val="3B8E2153"/>
    <w:rsid w:val="3BB20883"/>
    <w:rsid w:val="3BCB270F"/>
    <w:rsid w:val="3BD96AA6"/>
    <w:rsid w:val="3C0429BF"/>
    <w:rsid w:val="3C1A201A"/>
    <w:rsid w:val="3C371D4B"/>
    <w:rsid w:val="3C3B4B9D"/>
    <w:rsid w:val="3C471C36"/>
    <w:rsid w:val="3C982C18"/>
    <w:rsid w:val="3CA734F8"/>
    <w:rsid w:val="3CE23F49"/>
    <w:rsid w:val="3CEC39B8"/>
    <w:rsid w:val="3CF86D06"/>
    <w:rsid w:val="3D477118"/>
    <w:rsid w:val="3D7C727A"/>
    <w:rsid w:val="3D81786B"/>
    <w:rsid w:val="3D830417"/>
    <w:rsid w:val="3D877AC5"/>
    <w:rsid w:val="3D94235D"/>
    <w:rsid w:val="3DF95812"/>
    <w:rsid w:val="3E1D4B24"/>
    <w:rsid w:val="3E3A04FA"/>
    <w:rsid w:val="3E441C7D"/>
    <w:rsid w:val="3E490256"/>
    <w:rsid w:val="3E6C43C8"/>
    <w:rsid w:val="3EC85E34"/>
    <w:rsid w:val="3EF36DF0"/>
    <w:rsid w:val="3F053EF6"/>
    <w:rsid w:val="3F093188"/>
    <w:rsid w:val="3F173F6B"/>
    <w:rsid w:val="3F253B0C"/>
    <w:rsid w:val="3F416B99"/>
    <w:rsid w:val="3F4F5AD7"/>
    <w:rsid w:val="3F8C0A49"/>
    <w:rsid w:val="3F9660C3"/>
    <w:rsid w:val="3FA827ED"/>
    <w:rsid w:val="3FC956FF"/>
    <w:rsid w:val="3FE04625"/>
    <w:rsid w:val="3FE86CE8"/>
    <w:rsid w:val="3FFB0F66"/>
    <w:rsid w:val="40146E6B"/>
    <w:rsid w:val="403052F1"/>
    <w:rsid w:val="404E779F"/>
    <w:rsid w:val="4059090D"/>
    <w:rsid w:val="408376F8"/>
    <w:rsid w:val="40A325E0"/>
    <w:rsid w:val="40EC7D18"/>
    <w:rsid w:val="40ED11A0"/>
    <w:rsid w:val="40FD1BF0"/>
    <w:rsid w:val="410A75B6"/>
    <w:rsid w:val="410B452A"/>
    <w:rsid w:val="41513BC9"/>
    <w:rsid w:val="41D75714"/>
    <w:rsid w:val="41DD3BC3"/>
    <w:rsid w:val="41EE2F03"/>
    <w:rsid w:val="41F466FD"/>
    <w:rsid w:val="420D197F"/>
    <w:rsid w:val="424B5824"/>
    <w:rsid w:val="427E0B36"/>
    <w:rsid w:val="42C30254"/>
    <w:rsid w:val="42C42A08"/>
    <w:rsid w:val="42D064B1"/>
    <w:rsid w:val="42DE48A3"/>
    <w:rsid w:val="42F87EC9"/>
    <w:rsid w:val="42FA45BF"/>
    <w:rsid w:val="430E7E66"/>
    <w:rsid w:val="4332317A"/>
    <w:rsid w:val="435B1259"/>
    <w:rsid w:val="43874CD4"/>
    <w:rsid w:val="43CF0206"/>
    <w:rsid w:val="43D85D6D"/>
    <w:rsid w:val="43FE44BA"/>
    <w:rsid w:val="440D5045"/>
    <w:rsid w:val="44300615"/>
    <w:rsid w:val="443740AF"/>
    <w:rsid w:val="44480935"/>
    <w:rsid w:val="444851FA"/>
    <w:rsid w:val="44957F46"/>
    <w:rsid w:val="44DC46EB"/>
    <w:rsid w:val="44F03F8F"/>
    <w:rsid w:val="44F14ECF"/>
    <w:rsid w:val="45275172"/>
    <w:rsid w:val="45332511"/>
    <w:rsid w:val="45412C46"/>
    <w:rsid w:val="45514AD5"/>
    <w:rsid w:val="455908C0"/>
    <w:rsid w:val="45A82F38"/>
    <w:rsid w:val="45B047D1"/>
    <w:rsid w:val="45BE6191"/>
    <w:rsid w:val="460C5979"/>
    <w:rsid w:val="46143B66"/>
    <w:rsid w:val="463246EC"/>
    <w:rsid w:val="463A3547"/>
    <w:rsid w:val="46617DB2"/>
    <w:rsid w:val="46894B18"/>
    <w:rsid w:val="469448C6"/>
    <w:rsid w:val="46B80AF8"/>
    <w:rsid w:val="46D71533"/>
    <w:rsid w:val="473069AF"/>
    <w:rsid w:val="474E50BE"/>
    <w:rsid w:val="479128A9"/>
    <w:rsid w:val="47975EDC"/>
    <w:rsid w:val="47C01792"/>
    <w:rsid w:val="4808150F"/>
    <w:rsid w:val="480F51A8"/>
    <w:rsid w:val="484759CD"/>
    <w:rsid w:val="48713351"/>
    <w:rsid w:val="48802846"/>
    <w:rsid w:val="48B116EA"/>
    <w:rsid w:val="48D429DD"/>
    <w:rsid w:val="48E50D90"/>
    <w:rsid w:val="48FA15CC"/>
    <w:rsid w:val="491B63DF"/>
    <w:rsid w:val="498A16CD"/>
    <w:rsid w:val="49A750B5"/>
    <w:rsid w:val="49BE07DA"/>
    <w:rsid w:val="49C84AA0"/>
    <w:rsid w:val="4A255046"/>
    <w:rsid w:val="4A2E1525"/>
    <w:rsid w:val="4A5A756D"/>
    <w:rsid w:val="4A785772"/>
    <w:rsid w:val="4AA341CC"/>
    <w:rsid w:val="4AC13295"/>
    <w:rsid w:val="4AC31003"/>
    <w:rsid w:val="4AE072CB"/>
    <w:rsid w:val="4AE93159"/>
    <w:rsid w:val="4B174032"/>
    <w:rsid w:val="4B250CF8"/>
    <w:rsid w:val="4B7C4100"/>
    <w:rsid w:val="4B830F9B"/>
    <w:rsid w:val="4B9D4011"/>
    <w:rsid w:val="4BD0339A"/>
    <w:rsid w:val="4BF32495"/>
    <w:rsid w:val="4C2B4DDD"/>
    <w:rsid w:val="4C603F16"/>
    <w:rsid w:val="4C923A72"/>
    <w:rsid w:val="4CF52D94"/>
    <w:rsid w:val="4D462159"/>
    <w:rsid w:val="4D8B0123"/>
    <w:rsid w:val="4DAF14C5"/>
    <w:rsid w:val="4DC605B6"/>
    <w:rsid w:val="4DEC0985"/>
    <w:rsid w:val="4E0538A3"/>
    <w:rsid w:val="4E27683A"/>
    <w:rsid w:val="4E4C50A3"/>
    <w:rsid w:val="4E576363"/>
    <w:rsid w:val="4EDB58B2"/>
    <w:rsid w:val="4EE925CE"/>
    <w:rsid w:val="4EEF2E30"/>
    <w:rsid w:val="4F285975"/>
    <w:rsid w:val="4F4E1077"/>
    <w:rsid w:val="4F844A99"/>
    <w:rsid w:val="4FB208E7"/>
    <w:rsid w:val="4FE70BB4"/>
    <w:rsid w:val="4FE73C01"/>
    <w:rsid w:val="500815B6"/>
    <w:rsid w:val="500B39BC"/>
    <w:rsid w:val="5022123F"/>
    <w:rsid w:val="503F32CF"/>
    <w:rsid w:val="507E1B25"/>
    <w:rsid w:val="508E3B94"/>
    <w:rsid w:val="5090223F"/>
    <w:rsid w:val="50BB6306"/>
    <w:rsid w:val="50FC4E36"/>
    <w:rsid w:val="5105169B"/>
    <w:rsid w:val="51062881"/>
    <w:rsid w:val="510956BD"/>
    <w:rsid w:val="51230220"/>
    <w:rsid w:val="51471753"/>
    <w:rsid w:val="514E4912"/>
    <w:rsid w:val="51867298"/>
    <w:rsid w:val="518D21E1"/>
    <w:rsid w:val="51953936"/>
    <w:rsid w:val="51D129CA"/>
    <w:rsid w:val="51E5046A"/>
    <w:rsid w:val="52B3363A"/>
    <w:rsid w:val="52DE691D"/>
    <w:rsid w:val="52E04D27"/>
    <w:rsid w:val="52ED0C96"/>
    <w:rsid w:val="530C0E6B"/>
    <w:rsid w:val="53A20FFA"/>
    <w:rsid w:val="53A94C48"/>
    <w:rsid w:val="53D6247A"/>
    <w:rsid w:val="53DB3477"/>
    <w:rsid w:val="53E77CBF"/>
    <w:rsid w:val="542C29CD"/>
    <w:rsid w:val="54B56DF4"/>
    <w:rsid w:val="54B93943"/>
    <w:rsid w:val="54BF52B5"/>
    <w:rsid w:val="54DD41DB"/>
    <w:rsid w:val="54ED3D78"/>
    <w:rsid w:val="554748F2"/>
    <w:rsid w:val="554D414C"/>
    <w:rsid w:val="55757FB9"/>
    <w:rsid w:val="55884237"/>
    <w:rsid w:val="55A25EB7"/>
    <w:rsid w:val="55B63FD5"/>
    <w:rsid w:val="55C35A76"/>
    <w:rsid w:val="55D40743"/>
    <w:rsid w:val="55DD6F2A"/>
    <w:rsid w:val="56106284"/>
    <w:rsid w:val="5632642A"/>
    <w:rsid w:val="56375B61"/>
    <w:rsid w:val="56630C00"/>
    <w:rsid w:val="567739D2"/>
    <w:rsid w:val="568B1DB1"/>
    <w:rsid w:val="56A55214"/>
    <w:rsid w:val="56D25618"/>
    <w:rsid w:val="5705646B"/>
    <w:rsid w:val="57060649"/>
    <w:rsid w:val="5732705F"/>
    <w:rsid w:val="57351D6F"/>
    <w:rsid w:val="576476C1"/>
    <w:rsid w:val="577B3337"/>
    <w:rsid w:val="57AB6ADD"/>
    <w:rsid w:val="57BE5838"/>
    <w:rsid w:val="57FC07D9"/>
    <w:rsid w:val="58500F22"/>
    <w:rsid w:val="58587379"/>
    <w:rsid w:val="58AD27D9"/>
    <w:rsid w:val="58B9636C"/>
    <w:rsid w:val="58C37133"/>
    <w:rsid w:val="58C93046"/>
    <w:rsid w:val="58E6349C"/>
    <w:rsid w:val="593559FD"/>
    <w:rsid w:val="594079B2"/>
    <w:rsid w:val="5987482A"/>
    <w:rsid w:val="59B21BF9"/>
    <w:rsid w:val="59BB4EA3"/>
    <w:rsid w:val="5A3C0F08"/>
    <w:rsid w:val="5A5663A3"/>
    <w:rsid w:val="5A953D41"/>
    <w:rsid w:val="5ACC4940"/>
    <w:rsid w:val="5AD86A6D"/>
    <w:rsid w:val="5AEC14F6"/>
    <w:rsid w:val="5AF124A4"/>
    <w:rsid w:val="5B785E83"/>
    <w:rsid w:val="5B7C1CD1"/>
    <w:rsid w:val="5B9251EF"/>
    <w:rsid w:val="5C097C4E"/>
    <w:rsid w:val="5C235386"/>
    <w:rsid w:val="5C3B6CFC"/>
    <w:rsid w:val="5C6B1600"/>
    <w:rsid w:val="5C7D70D1"/>
    <w:rsid w:val="5CA6294E"/>
    <w:rsid w:val="5CDB3358"/>
    <w:rsid w:val="5D034EE9"/>
    <w:rsid w:val="5D0366E8"/>
    <w:rsid w:val="5D0A06B6"/>
    <w:rsid w:val="5D1307E8"/>
    <w:rsid w:val="5D5B7098"/>
    <w:rsid w:val="5D6E1B86"/>
    <w:rsid w:val="5D8A2CFF"/>
    <w:rsid w:val="5DD14397"/>
    <w:rsid w:val="5DD71C7A"/>
    <w:rsid w:val="5DFD51DB"/>
    <w:rsid w:val="5E237029"/>
    <w:rsid w:val="5E5203B8"/>
    <w:rsid w:val="5E71373F"/>
    <w:rsid w:val="5E830708"/>
    <w:rsid w:val="5E831398"/>
    <w:rsid w:val="5EBA4472"/>
    <w:rsid w:val="5ECA3D37"/>
    <w:rsid w:val="5EED7893"/>
    <w:rsid w:val="5F875C0C"/>
    <w:rsid w:val="5F8F0B9E"/>
    <w:rsid w:val="5F8F267A"/>
    <w:rsid w:val="5FFE57B7"/>
    <w:rsid w:val="60085AA3"/>
    <w:rsid w:val="600E362B"/>
    <w:rsid w:val="606A52D4"/>
    <w:rsid w:val="607C3753"/>
    <w:rsid w:val="608D1D4E"/>
    <w:rsid w:val="6092569C"/>
    <w:rsid w:val="60C30855"/>
    <w:rsid w:val="60D4742F"/>
    <w:rsid w:val="60D95276"/>
    <w:rsid w:val="60E06DEB"/>
    <w:rsid w:val="61421EFD"/>
    <w:rsid w:val="615C5041"/>
    <w:rsid w:val="621542CB"/>
    <w:rsid w:val="624263A2"/>
    <w:rsid w:val="625272C3"/>
    <w:rsid w:val="62715337"/>
    <w:rsid w:val="6290769B"/>
    <w:rsid w:val="62C376AC"/>
    <w:rsid w:val="62D2197B"/>
    <w:rsid w:val="62F6011A"/>
    <w:rsid w:val="6359778B"/>
    <w:rsid w:val="635B63E3"/>
    <w:rsid w:val="638C3395"/>
    <w:rsid w:val="63CA2E8B"/>
    <w:rsid w:val="63F47D2A"/>
    <w:rsid w:val="64264A79"/>
    <w:rsid w:val="64311867"/>
    <w:rsid w:val="6445632E"/>
    <w:rsid w:val="649B1AC2"/>
    <w:rsid w:val="64A7467B"/>
    <w:rsid w:val="64C86505"/>
    <w:rsid w:val="6506609B"/>
    <w:rsid w:val="65083216"/>
    <w:rsid w:val="65460728"/>
    <w:rsid w:val="65870C45"/>
    <w:rsid w:val="65B8262E"/>
    <w:rsid w:val="65DC7985"/>
    <w:rsid w:val="65F14641"/>
    <w:rsid w:val="65F5655C"/>
    <w:rsid w:val="6609487E"/>
    <w:rsid w:val="66265846"/>
    <w:rsid w:val="664805B8"/>
    <w:rsid w:val="66655F85"/>
    <w:rsid w:val="667C7AEC"/>
    <w:rsid w:val="66984358"/>
    <w:rsid w:val="66A200F8"/>
    <w:rsid w:val="66A30EC2"/>
    <w:rsid w:val="66AA4BA8"/>
    <w:rsid w:val="670C6D27"/>
    <w:rsid w:val="67302DC3"/>
    <w:rsid w:val="67570422"/>
    <w:rsid w:val="677A266A"/>
    <w:rsid w:val="677C1A81"/>
    <w:rsid w:val="67B163D1"/>
    <w:rsid w:val="67F45538"/>
    <w:rsid w:val="680239EB"/>
    <w:rsid w:val="680722DA"/>
    <w:rsid w:val="682211D1"/>
    <w:rsid w:val="686318DD"/>
    <w:rsid w:val="687F607E"/>
    <w:rsid w:val="68A34C5C"/>
    <w:rsid w:val="691C3525"/>
    <w:rsid w:val="69280874"/>
    <w:rsid w:val="695D6B21"/>
    <w:rsid w:val="69611EE7"/>
    <w:rsid w:val="696F4D5D"/>
    <w:rsid w:val="69850877"/>
    <w:rsid w:val="6A3E2393"/>
    <w:rsid w:val="6A711183"/>
    <w:rsid w:val="6A7B4B9C"/>
    <w:rsid w:val="6ACB082B"/>
    <w:rsid w:val="6AD3247E"/>
    <w:rsid w:val="6B2B0EFD"/>
    <w:rsid w:val="6B2C13E4"/>
    <w:rsid w:val="6B884219"/>
    <w:rsid w:val="6C45610F"/>
    <w:rsid w:val="6C603744"/>
    <w:rsid w:val="6C637CCF"/>
    <w:rsid w:val="6C89456C"/>
    <w:rsid w:val="6CA20D5B"/>
    <w:rsid w:val="6D056EA6"/>
    <w:rsid w:val="6D3C6626"/>
    <w:rsid w:val="6D9E0566"/>
    <w:rsid w:val="6E4B0158"/>
    <w:rsid w:val="6E4D611F"/>
    <w:rsid w:val="6E685B0A"/>
    <w:rsid w:val="6E73404A"/>
    <w:rsid w:val="6EB829B1"/>
    <w:rsid w:val="6ED86D3E"/>
    <w:rsid w:val="6EEC3F7C"/>
    <w:rsid w:val="6F0D382C"/>
    <w:rsid w:val="6F30363A"/>
    <w:rsid w:val="6F6F14E1"/>
    <w:rsid w:val="6FA629D4"/>
    <w:rsid w:val="6FBF4710"/>
    <w:rsid w:val="6FDB518F"/>
    <w:rsid w:val="6FE529ED"/>
    <w:rsid w:val="70172090"/>
    <w:rsid w:val="701D43BA"/>
    <w:rsid w:val="703C186A"/>
    <w:rsid w:val="70570007"/>
    <w:rsid w:val="70822BAD"/>
    <w:rsid w:val="708746BC"/>
    <w:rsid w:val="709E3D85"/>
    <w:rsid w:val="70BB2EF0"/>
    <w:rsid w:val="71015D6B"/>
    <w:rsid w:val="71151975"/>
    <w:rsid w:val="71573E01"/>
    <w:rsid w:val="71702748"/>
    <w:rsid w:val="71867894"/>
    <w:rsid w:val="719F7A78"/>
    <w:rsid w:val="720B2A1D"/>
    <w:rsid w:val="727C422C"/>
    <w:rsid w:val="72A20C20"/>
    <w:rsid w:val="72C13ED7"/>
    <w:rsid w:val="72CF1AC7"/>
    <w:rsid w:val="72FD426E"/>
    <w:rsid w:val="734F4185"/>
    <w:rsid w:val="7363274A"/>
    <w:rsid w:val="738A6895"/>
    <w:rsid w:val="73BE7067"/>
    <w:rsid w:val="73E52294"/>
    <w:rsid w:val="73FF2D64"/>
    <w:rsid w:val="74273820"/>
    <w:rsid w:val="7427471C"/>
    <w:rsid w:val="74355B0B"/>
    <w:rsid w:val="744B354F"/>
    <w:rsid w:val="748D52FA"/>
    <w:rsid w:val="74993216"/>
    <w:rsid w:val="75084E8F"/>
    <w:rsid w:val="75202656"/>
    <w:rsid w:val="75752B04"/>
    <w:rsid w:val="75955DA9"/>
    <w:rsid w:val="75B15C41"/>
    <w:rsid w:val="75F20996"/>
    <w:rsid w:val="76123E1D"/>
    <w:rsid w:val="76425118"/>
    <w:rsid w:val="764838B9"/>
    <w:rsid w:val="7692667A"/>
    <w:rsid w:val="76982273"/>
    <w:rsid w:val="769A7352"/>
    <w:rsid w:val="76A177B8"/>
    <w:rsid w:val="76B8001A"/>
    <w:rsid w:val="76CF29D3"/>
    <w:rsid w:val="76EC51FD"/>
    <w:rsid w:val="76F410B8"/>
    <w:rsid w:val="77451578"/>
    <w:rsid w:val="77870D91"/>
    <w:rsid w:val="779A096B"/>
    <w:rsid w:val="779B52FF"/>
    <w:rsid w:val="77A00E75"/>
    <w:rsid w:val="77B841F3"/>
    <w:rsid w:val="78497C2E"/>
    <w:rsid w:val="786A4053"/>
    <w:rsid w:val="78782A0D"/>
    <w:rsid w:val="787B5060"/>
    <w:rsid w:val="788720E7"/>
    <w:rsid w:val="78C76A01"/>
    <w:rsid w:val="78EC6DF0"/>
    <w:rsid w:val="79395A92"/>
    <w:rsid w:val="79973382"/>
    <w:rsid w:val="79D33056"/>
    <w:rsid w:val="79EC0256"/>
    <w:rsid w:val="79F60153"/>
    <w:rsid w:val="7A4C2D60"/>
    <w:rsid w:val="7A851D5D"/>
    <w:rsid w:val="7AB53126"/>
    <w:rsid w:val="7AB76FE8"/>
    <w:rsid w:val="7AEA174E"/>
    <w:rsid w:val="7B274176"/>
    <w:rsid w:val="7B401C79"/>
    <w:rsid w:val="7B4678D7"/>
    <w:rsid w:val="7B4B2A93"/>
    <w:rsid w:val="7BAA485C"/>
    <w:rsid w:val="7BD3716B"/>
    <w:rsid w:val="7C26369C"/>
    <w:rsid w:val="7C2A465C"/>
    <w:rsid w:val="7C77043F"/>
    <w:rsid w:val="7C9E5A24"/>
    <w:rsid w:val="7CB4006B"/>
    <w:rsid w:val="7CB93ABB"/>
    <w:rsid w:val="7CED34FF"/>
    <w:rsid w:val="7CF26588"/>
    <w:rsid w:val="7CF565D7"/>
    <w:rsid w:val="7D0F5720"/>
    <w:rsid w:val="7D2E198F"/>
    <w:rsid w:val="7D3D73AF"/>
    <w:rsid w:val="7D62117D"/>
    <w:rsid w:val="7D834A16"/>
    <w:rsid w:val="7DA514D2"/>
    <w:rsid w:val="7E3E0FEC"/>
    <w:rsid w:val="7E3E1EF2"/>
    <w:rsid w:val="7E622778"/>
    <w:rsid w:val="7E85174A"/>
    <w:rsid w:val="7EAF1FAA"/>
    <w:rsid w:val="7ECA4601"/>
    <w:rsid w:val="7EE55F89"/>
    <w:rsid w:val="7EEB5719"/>
    <w:rsid w:val="7EF525E1"/>
    <w:rsid w:val="7EF74FC9"/>
    <w:rsid w:val="7F0F7992"/>
    <w:rsid w:val="7F271AA3"/>
    <w:rsid w:val="7F6B2248"/>
    <w:rsid w:val="7F872588"/>
    <w:rsid w:val="7F8725BA"/>
    <w:rsid w:val="7F8C6A8F"/>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C32CDA7-D40F-4CA4-8EB8-F86D54B32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pPr>
      <w:numPr>
        <w:ilvl w:val="2"/>
      </w:numPr>
      <w:spacing w:before="120"/>
      <w:ind w:left="0"/>
      <w:outlineLvl w:val="2"/>
    </w:pPr>
    <w:rPr>
      <w:sz w:val="24"/>
    </w:rPr>
  </w:style>
  <w:style w:type="paragraph" w:styleId="4">
    <w:name w:val="heading 4"/>
    <w:basedOn w:val="3"/>
    <w:next w:val="a"/>
    <w:link w:val="4Char"/>
    <w:qFormat/>
    <w:pPr>
      <w:ind w:left="1418" w:hanging="1418"/>
      <w:outlineLvl w:val="3"/>
    </w:pPr>
  </w:style>
  <w:style w:type="paragraph" w:styleId="5">
    <w:name w:val="heading 5"/>
    <w:basedOn w:val="4"/>
    <w:next w:val="a"/>
    <w:qFormat/>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Char"/>
    <w:uiPriority w:val="99"/>
    <w:semiHidden/>
    <w:unhideWhenUsed/>
    <w:qFormat/>
    <w:rPr>
      <w:rFonts w:ascii="宋体"/>
      <w:sz w:val="18"/>
      <w:szCs w:val="18"/>
    </w:rPr>
  </w:style>
  <w:style w:type="paragraph" w:styleId="a5">
    <w:name w:val="annotation text"/>
    <w:basedOn w:val="a"/>
    <w:link w:val="Char0"/>
    <w:unhideWhenUsed/>
    <w:qFormat/>
    <w:pPr>
      <w:spacing w:before="120" w:after="120"/>
      <w:jc w:val="left"/>
    </w:pPr>
  </w:style>
  <w:style w:type="paragraph" w:styleId="30">
    <w:name w:val="toc 3"/>
    <w:basedOn w:val="a"/>
    <w:next w:val="a"/>
    <w:uiPriority w:val="39"/>
    <w:unhideWhenUsed/>
    <w:qFormat/>
    <w:pPr>
      <w:adjustRightInd w:val="0"/>
      <w:ind w:leftChars="400" w:left="1282" w:hangingChars="200" w:hanging="442"/>
    </w:pPr>
    <w:rPr>
      <w:b/>
      <w:i/>
      <w:sz w:val="20"/>
    </w:rPr>
  </w:style>
  <w:style w:type="paragraph" w:styleId="a6">
    <w:name w:val="Balloon Text"/>
    <w:basedOn w:val="a"/>
    <w:link w:val="Char1"/>
    <w:uiPriority w:val="99"/>
    <w:semiHidden/>
    <w:unhideWhenUsed/>
    <w:qFormat/>
    <w:pPr>
      <w:spacing w:line="240" w:lineRule="auto"/>
    </w:pPr>
    <w:rPr>
      <w:sz w:val="18"/>
      <w:szCs w:val="18"/>
    </w:rPr>
  </w:style>
  <w:style w:type="paragraph" w:styleId="a7">
    <w:name w:val="footer"/>
    <w:basedOn w:val="a"/>
    <w:link w:val="Char2"/>
    <w:unhideWhenUsed/>
    <w:qFormat/>
    <w:pPr>
      <w:tabs>
        <w:tab w:val="center" w:pos="4153"/>
        <w:tab w:val="right" w:pos="8306"/>
      </w:tabs>
      <w:snapToGrid w:val="0"/>
      <w:jc w:val="left"/>
    </w:pPr>
    <w:rPr>
      <w:sz w:val="18"/>
      <w:szCs w:val="18"/>
    </w:rPr>
  </w:style>
  <w:style w:type="paragraph" w:styleId="a8">
    <w:name w:val="header"/>
    <w:basedOn w:val="a"/>
    <w:link w:val="Char3"/>
    <w:semiHidden/>
    <w:qFormat/>
    <w:pPr>
      <w:tabs>
        <w:tab w:val="center" w:pos="4680"/>
        <w:tab w:val="right" w:pos="9360"/>
      </w:tabs>
      <w:spacing w:line="240" w:lineRule="auto"/>
    </w:pPr>
  </w:style>
  <w:style w:type="paragraph" w:styleId="10">
    <w:name w:val="toc 1"/>
    <w:basedOn w:val="a"/>
    <w:next w:val="a"/>
    <w:uiPriority w:val="39"/>
    <w:unhideWhenUsed/>
    <w:qFormat/>
    <w:rPr>
      <w:rFonts w:eastAsiaTheme="minorEastAsia"/>
      <w:b/>
      <w:i/>
      <w:sz w:val="20"/>
    </w:rPr>
  </w:style>
  <w:style w:type="paragraph" w:styleId="a9">
    <w:name w:val="List"/>
    <w:basedOn w:val="a"/>
    <w:qFormat/>
    <w:pPr>
      <w:ind w:left="568" w:hanging="284"/>
    </w:pPr>
  </w:style>
  <w:style w:type="paragraph" w:styleId="aa">
    <w:name w:val="table of figures"/>
    <w:basedOn w:val="a"/>
    <w:next w:val="a"/>
    <w:uiPriority w:val="99"/>
    <w:semiHidden/>
    <w:unhideWhenUsed/>
    <w:qFormat/>
    <w:pPr>
      <w:ind w:leftChars="200" w:left="200" w:hangingChars="200" w:hanging="200"/>
    </w:pPr>
  </w:style>
  <w:style w:type="paragraph" w:styleId="20">
    <w:name w:val="toc 2"/>
    <w:basedOn w:val="a"/>
    <w:next w:val="a"/>
    <w:uiPriority w:val="39"/>
    <w:unhideWhenUsed/>
    <w:qFormat/>
    <w:pPr>
      <w:ind w:leftChars="200" w:left="420"/>
    </w:pPr>
    <w:rPr>
      <w:b/>
      <w:i/>
      <w:sz w:val="20"/>
    </w:rPr>
  </w:style>
  <w:style w:type="paragraph" w:styleId="ab">
    <w:name w:val="Normal (Web)"/>
    <w:basedOn w:val="a"/>
    <w:uiPriority w:val="99"/>
    <w:semiHidden/>
    <w:unhideWhenUsed/>
    <w:qFormat/>
    <w:pPr>
      <w:spacing w:beforeAutospacing="1" w:afterAutospacing="1"/>
      <w:jc w:val="left"/>
    </w:pPr>
    <w:rPr>
      <w:kern w:val="0"/>
      <w:sz w:val="24"/>
    </w:rPr>
  </w:style>
  <w:style w:type="paragraph" w:styleId="ac">
    <w:name w:val="annotation subject"/>
    <w:basedOn w:val="a5"/>
    <w:next w:val="a5"/>
    <w:link w:val="Char4"/>
    <w:uiPriority w:val="99"/>
    <w:semiHidden/>
    <w:unhideWhenUsed/>
    <w:qFormat/>
    <w:rPr>
      <w:b/>
      <w:bCs/>
    </w:rPr>
  </w:style>
  <w:style w:type="table" w:styleId="ad">
    <w:name w:val="Table Grid"/>
    <w:basedOn w:val="a1"/>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Pr>
      <w:b/>
      <w:bCs/>
    </w:rPr>
  </w:style>
  <w:style w:type="character" w:styleId="af">
    <w:name w:val="Emphasis"/>
    <w:basedOn w:val="a0"/>
    <w:uiPriority w:val="20"/>
    <w:qFormat/>
    <w:rPr>
      <w:i/>
    </w:rPr>
  </w:style>
  <w:style w:type="character" w:styleId="af0">
    <w:name w:val="Hyperlink"/>
    <w:uiPriority w:val="99"/>
    <w:qFormat/>
    <w:rPr>
      <w:color w:val="0000FF"/>
      <w:u w:val="single"/>
    </w:rPr>
  </w:style>
  <w:style w:type="character" w:styleId="af1">
    <w:name w:val="annotation reference"/>
    <w:basedOn w:val="a0"/>
    <w:unhideWhenUsed/>
    <w:qFormat/>
    <w:rPr>
      <w:sz w:val="16"/>
      <w:szCs w:val="16"/>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2">
    <w:name w:val="List Paragraph"/>
    <w:basedOn w:val="a"/>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1">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Char3">
    <w:name w:val="页眉 Char"/>
    <w:basedOn w:val="a0"/>
    <w:link w:val="a8"/>
    <w:semiHidden/>
    <w:qFormat/>
    <w:rPr>
      <w:rFonts w:eastAsia="宋体"/>
      <w:kern w:val="2"/>
      <w:sz w:val="21"/>
    </w:rPr>
  </w:style>
  <w:style w:type="character" w:customStyle="1" w:styleId="Char2">
    <w:name w:val="页脚 Char"/>
    <w:basedOn w:val="a0"/>
    <w:link w:val="a7"/>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Char1">
    <w:name w:val="批注框文本 Char"/>
    <w:basedOn w:val="a0"/>
    <w:link w:val="a6"/>
    <w:uiPriority w:val="99"/>
    <w:semiHidden/>
    <w:qFormat/>
    <w:rPr>
      <w:kern w:val="2"/>
      <w:sz w:val="18"/>
      <w:szCs w:val="18"/>
    </w:rPr>
  </w:style>
  <w:style w:type="character" w:customStyle="1" w:styleId="Char">
    <w:name w:val="文档结构图 Char"/>
    <w:basedOn w:val="a0"/>
    <w:link w:val="a4"/>
    <w:uiPriority w:val="99"/>
    <w:semiHidden/>
    <w:qFormat/>
    <w:rPr>
      <w:rFonts w:ascii="宋体"/>
      <w:kern w:val="2"/>
      <w:sz w:val="18"/>
      <w:szCs w:val="18"/>
    </w:rPr>
  </w:style>
  <w:style w:type="character" w:customStyle="1" w:styleId="Char0">
    <w:name w:val="批注文字 Char"/>
    <w:basedOn w:val="a0"/>
    <w:link w:val="a5"/>
    <w:qFormat/>
    <w:rPr>
      <w:rFonts w:eastAsia="宋体"/>
      <w:kern w:val="2"/>
      <w:sz w:val="21"/>
    </w:rPr>
  </w:style>
  <w:style w:type="character" w:customStyle="1" w:styleId="Char4">
    <w:name w:val="批注主题 Char"/>
    <w:basedOn w:val="Char0"/>
    <w:link w:val="ac"/>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9"/>
    <w:link w:val="B1Char1"/>
    <w:qFormat/>
  </w:style>
  <w:style w:type="paragraph" w:customStyle="1" w:styleId="B3">
    <w:name w:val="B3"/>
    <w:basedOn w:val="a"/>
    <w:qFormat/>
    <w:pPr>
      <w:ind w:left="1135" w:hanging="284"/>
    </w:pPr>
  </w:style>
  <w:style w:type="character" w:styleId="af3">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Char">
    <w:name w:val="标题 4 Char"/>
    <w:basedOn w:val="a0"/>
    <w:link w:val="4"/>
    <w:qFormat/>
    <w:rPr>
      <w:rFonts w:ascii="Arial" w:eastAsia="MS Mincho" w:hAnsi="Arial"/>
      <w:kern w:val="2"/>
      <w:sz w:val="24"/>
    </w:rPr>
  </w:style>
  <w:style w:type="character" w:customStyle="1" w:styleId="3Char">
    <w:name w:val="标题 3 Char"/>
    <w:basedOn w:val="a0"/>
    <w:link w:val="3"/>
    <w:qFormat/>
    <w:rPr>
      <w:rFonts w:ascii="Arial" w:eastAsia="MS Mincho" w:hAnsi="Arial"/>
      <w:kern w:val="2"/>
      <w:sz w:val="24"/>
    </w:rPr>
  </w:style>
  <w:style w:type="character" w:customStyle="1" w:styleId="2Char">
    <w:name w:val="标题 2 Char"/>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4">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locked/>
    <w:rPr>
      <w:rFonts w:ascii="Arial" w:hAnsi="Arial"/>
      <w:kern w:val="2"/>
      <w:sz w:val="18"/>
    </w:rPr>
  </w:style>
  <w:style w:type="character" w:customStyle="1" w:styleId="TALCar">
    <w:name w:val="TAL Car"/>
    <w:link w:val="TAL"/>
    <w:qFormat/>
    <w:rPr>
      <w:rFonts w:ascii="Arial" w:hAnsi="Arial"/>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4CCF0B-75F0-4210-9EF6-E0265977C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4099</Words>
  <Characters>23369</Characters>
  <Application>Microsoft Office Word</Application>
  <DocSecurity>0</DocSecurity>
  <Lines>194</Lines>
  <Paragraphs>54</Paragraphs>
  <ScaleCrop>false</ScaleCrop>
  <Company>ZTE Corporation</Company>
  <LinksUpToDate>false</LinksUpToDate>
  <CharactersWithSpaces>27414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ZTE2</cp:lastModifiedBy>
  <cp:revision>4</cp:revision>
  <dcterms:created xsi:type="dcterms:W3CDTF">2021-03-15T06:54:00Z</dcterms:created>
  <dcterms:modified xsi:type="dcterms:W3CDTF">2021-03-15T13:20:00Z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