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E4085" w14:textId="58D47E68" w:rsidR="003542D3" w:rsidRPr="00E55D03" w:rsidRDefault="00B975F2" w:rsidP="003542D3">
      <w:pPr>
        <w:overflowPunct/>
        <w:autoSpaceDE/>
        <w:autoSpaceDN/>
        <w:adjustRightInd/>
        <w:spacing w:after="0"/>
        <w:textAlignment w:val="auto"/>
        <w:rPr>
          <w:rFonts w:eastAsia="Times New Roman"/>
          <w:sz w:val="24"/>
          <w:szCs w:val="24"/>
          <w:lang w:val="en-US" w:eastAsia="zh-CN"/>
        </w:rPr>
      </w:pPr>
      <w:r w:rsidRPr="006A4734">
        <w:rPr>
          <w:rFonts w:ascii="Arial" w:hAnsi="Arial" w:cs="Arial"/>
          <w:b/>
          <w:sz w:val="24"/>
          <w:szCs w:val="24"/>
          <w:lang w:val="de-DE"/>
        </w:rPr>
        <w:t>3GPP TSG</w:t>
      </w:r>
      <w:r w:rsidR="006A4734">
        <w:rPr>
          <w:rFonts w:ascii="Arial" w:hAnsi="Arial" w:cs="Arial"/>
          <w:b/>
          <w:sz w:val="24"/>
          <w:szCs w:val="24"/>
          <w:lang w:val="de-DE"/>
        </w:rPr>
        <w:t xml:space="preserve"> </w:t>
      </w:r>
      <w:r w:rsidRPr="006A4734">
        <w:rPr>
          <w:rFonts w:ascii="Arial" w:hAnsi="Arial" w:cs="Arial"/>
          <w:b/>
          <w:sz w:val="24"/>
          <w:szCs w:val="24"/>
          <w:lang w:val="de-DE"/>
        </w:rPr>
        <w:t xml:space="preserve">RAN </w:t>
      </w:r>
      <w:r w:rsidR="006A4734">
        <w:rPr>
          <w:rFonts w:ascii="Arial" w:hAnsi="Arial" w:cs="Arial"/>
          <w:b/>
          <w:sz w:val="24"/>
          <w:szCs w:val="24"/>
          <w:lang w:val="de-DE"/>
        </w:rPr>
        <w:t>Meeting</w:t>
      </w:r>
      <w:r w:rsidRPr="006A4734">
        <w:rPr>
          <w:rFonts w:ascii="Arial" w:hAnsi="Arial" w:cs="Arial"/>
          <w:b/>
          <w:sz w:val="24"/>
          <w:szCs w:val="24"/>
          <w:lang w:val="de-DE"/>
        </w:rPr>
        <w:t xml:space="preserve"> </w:t>
      </w:r>
      <w:r w:rsidR="000973B9" w:rsidRPr="006A4734">
        <w:rPr>
          <w:rFonts w:ascii="Arial" w:hAnsi="Arial" w:cs="Arial"/>
          <w:b/>
          <w:bCs/>
          <w:sz w:val="24"/>
          <w:szCs w:val="24"/>
          <w:lang w:val="de-DE"/>
        </w:rPr>
        <w:t>#</w:t>
      </w:r>
      <w:r w:rsidR="006A4734">
        <w:rPr>
          <w:rFonts w:ascii="Arial" w:hAnsi="Arial" w:cs="Arial"/>
          <w:b/>
          <w:bCs/>
          <w:sz w:val="24"/>
          <w:szCs w:val="24"/>
          <w:lang w:val="de-DE"/>
        </w:rPr>
        <w:t>9</w:t>
      </w:r>
      <w:r w:rsidR="00052F09">
        <w:rPr>
          <w:rFonts w:ascii="Arial" w:hAnsi="Arial" w:cs="Arial"/>
          <w:b/>
          <w:bCs/>
          <w:sz w:val="24"/>
          <w:szCs w:val="24"/>
          <w:lang w:val="de-DE"/>
        </w:rPr>
        <w:t>1</w:t>
      </w:r>
      <w:r w:rsidR="006A4734">
        <w:rPr>
          <w:rFonts w:ascii="Arial" w:hAnsi="Arial" w:cs="Arial"/>
          <w:b/>
          <w:bCs/>
          <w:sz w:val="24"/>
          <w:szCs w:val="24"/>
          <w:lang w:val="de-DE"/>
        </w:rPr>
        <w:t>-e</w:t>
      </w:r>
      <w:r w:rsidRPr="006A4734">
        <w:rPr>
          <w:rFonts w:ascii="Arial" w:hAnsi="Arial" w:cs="Arial"/>
          <w:b/>
          <w:sz w:val="24"/>
          <w:szCs w:val="24"/>
          <w:lang w:val="de-DE"/>
        </w:rPr>
        <w:tab/>
      </w:r>
      <w:r w:rsidR="005A3B69" w:rsidRPr="00C058EA">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E55D03">
        <w:rPr>
          <w:rFonts w:ascii="Arial" w:hAnsi="Arial" w:cs="Arial"/>
          <w:b/>
          <w:sz w:val="24"/>
          <w:lang w:val="de-DE"/>
        </w:rPr>
        <w:t xml:space="preserve">            </w:t>
      </w:r>
      <w:r w:rsidR="006E371C" w:rsidRPr="006E371C">
        <w:rPr>
          <w:rFonts w:ascii="Arial" w:eastAsia="MS Mincho" w:hAnsi="Arial" w:cs="Arial"/>
          <w:b/>
          <w:bCs/>
          <w:sz w:val="24"/>
          <w:szCs w:val="24"/>
          <w:lang w:eastAsia="ja-JP"/>
        </w:rPr>
        <w:t>RP-210500</w:t>
      </w:r>
    </w:p>
    <w:p w14:paraId="4565C261" w14:textId="1DEC504C"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5F6874" w:rsidRPr="005F6874">
        <w:rPr>
          <w:rFonts w:ascii="Arial" w:eastAsia="MS Mincho" w:hAnsi="Arial" w:cs="Arial"/>
          <w:b/>
          <w:bCs/>
          <w:sz w:val="24"/>
          <w:szCs w:val="24"/>
          <w:lang w:eastAsia="ja-JP"/>
        </w:rPr>
        <w:t>March 16</w:t>
      </w:r>
      <w:r w:rsidR="005F6874" w:rsidRPr="005F6874">
        <w:rPr>
          <w:rFonts w:ascii="Arial" w:eastAsia="MS Mincho" w:hAnsi="Arial" w:cs="Arial"/>
          <w:b/>
          <w:bCs/>
          <w:sz w:val="24"/>
          <w:szCs w:val="24"/>
          <w:vertAlign w:val="superscript"/>
          <w:lang w:eastAsia="ja-JP"/>
        </w:rPr>
        <w:t>th</w:t>
      </w:r>
      <w:r w:rsidR="005F6874" w:rsidRPr="005F6874">
        <w:rPr>
          <w:rFonts w:ascii="Arial" w:eastAsia="MS Mincho" w:hAnsi="Arial" w:cs="Arial"/>
          <w:b/>
          <w:bCs/>
          <w:sz w:val="24"/>
          <w:szCs w:val="24"/>
          <w:lang w:eastAsia="ja-JP"/>
        </w:rPr>
        <w:t xml:space="preserve"> </w:t>
      </w:r>
      <w:r w:rsidR="005F6874">
        <w:rPr>
          <w:rFonts w:ascii="Arial" w:eastAsia="MS Mincho" w:hAnsi="Arial" w:cs="Arial"/>
          <w:b/>
          <w:bCs/>
          <w:sz w:val="24"/>
          <w:szCs w:val="24"/>
          <w:lang w:eastAsia="ja-JP"/>
        </w:rPr>
        <w:t>–</w:t>
      </w:r>
      <w:r w:rsidR="005F6874" w:rsidRPr="005F6874">
        <w:rPr>
          <w:rFonts w:ascii="Arial" w:eastAsia="MS Mincho" w:hAnsi="Arial" w:cs="Arial"/>
          <w:b/>
          <w:bCs/>
          <w:sz w:val="24"/>
          <w:szCs w:val="24"/>
          <w:lang w:eastAsia="ja-JP"/>
        </w:rPr>
        <w:t xml:space="preserve"> 26</w:t>
      </w:r>
      <w:r w:rsidR="005F6874" w:rsidRPr="005F6874">
        <w:rPr>
          <w:rFonts w:ascii="Arial" w:eastAsia="MS Mincho" w:hAnsi="Arial" w:cs="Arial"/>
          <w:b/>
          <w:bCs/>
          <w:sz w:val="24"/>
          <w:szCs w:val="24"/>
          <w:vertAlign w:val="superscript"/>
          <w:lang w:eastAsia="ja-JP"/>
        </w:rPr>
        <w:t>th</w:t>
      </w:r>
      <w:r w:rsidR="005F6874" w:rsidRPr="005F6874">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6843F858" w:rsidR="00B975F2" w:rsidRPr="004A26A5" w:rsidRDefault="00B975F2" w:rsidP="004A26A5">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CE2220" w:rsidRPr="00CE2220">
        <w:rPr>
          <w:rFonts w:ascii="Arial" w:hAnsi="Arial" w:cs="Arial"/>
          <w:b/>
          <w:sz w:val="24"/>
          <w:lang w:val="en-US"/>
        </w:rPr>
        <w:t>On the open issues for support of Redcap NR devices</w:t>
      </w:r>
    </w:p>
    <w:p w14:paraId="7B288F5E" w14:textId="2900FA7A"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E2220">
        <w:rPr>
          <w:rFonts w:ascii="Arial" w:hAnsi="Arial" w:cs="Arial"/>
          <w:b/>
          <w:sz w:val="24"/>
          <w:lang w:val="en-US"/>
        </w:rPr>
        <w:t>9.7.</w:t>
      </w:r>
      <w:r w:rsidR="005F6874">
        <w:rPr>
          <w:rFonts w:ascii="Arial" w:hAnsi="Arial" w:cs="Arial"/>
          <w:b/>
          <w:sz w:val="24"/>
          <w:lang w:val="en-US"/>
        </w:rPr>
        <w:t>27</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2879416C" w14:textId="51FF7C49" w:rsidR="00A341DD" w:rsidRDefault="00A341DD" w:rsidP="00252F23">
      <w:pPr>
        <w:jc w:val="both"/>
        <w:rPr>
          <w:rFonts w:ascii="Arial" w:hAnsi="Arial" w:cs="Arial"/>
          <w:lang w:val="en-US" w:eastAsia="zh-CN"/>
        </w:rPr>
      </w:pPr>
      <w:r>
        <w:rPr>
          <w:rFonts w:ascii="Arial" w:hAnsi="Arial" w:cs="Arial"/>
          <w:lang w:val="en-US" w:eastAsia="zh-CN"/>
        </w:rPr>
        <w:t>In RAN #90 meeting, the work item ‘</w:t>
      </w:r>
      <w:r w:rsidR="008E206C" w:rsidRPr="008E206C">
        <w:rPr>
          <w:rFonts w:ascii="Arial" w:hAnsi="Arial" w:cs="Arial"/>
          <w:lang w:val="en-US" w:eastAsia="zh-CN"/>
        </w:rPr>
        <w:t>on support of reduced capability NR devices</w:t>
      </w:r>
      <w:r>
        <w:rPr>
          <w:rFonts w:ascii="Arial" w:hAnsi="Arial" w:cs="Arial"/>
          <w:lang w:val="en-US" w:eastAsia="zh-CN"/>
        </w:rPr>
        <w:t>’</w:t>
      </w:r>
      <w:r w:rsidR="008E206C">
        <w:rPr>
          <w:rFonts w:ascii="Arial" w:hAnsi="Arial" w:cs="Arial"/>
          <w:lang w:val="en-US" w:eastAsia="zh-CN"/>
        </w:rPr>
        <w:t xml:space="preserve"> was approved in [1] with the following objectives to specify UE complexity reduction features:   </w:t>
      </w:r>
    </w:p>
    <w:tbl>
      <w:tblPr>
        <w:tblStyle w:val="TableGrid"/>
        <w:tblW w:w="0" w:type="auto"/>
        <w:tblLook w:val="04A0" w:firstRow="1" w:lastRow="0" w:firstColumn="1" w:lastColumn="0" w:noHBand="0" w:noVBand="1"/>
      </w:tblPr>
      <w:tblGrid>
        <w:gridCol w:w="9962"/>
      </w:tblGrid>
      <w:tr w:rsidR="008E206C" w:rsidRPr="00A507CF" w14:paraId="7E6EBD60" w14:textId="77777777" w:rsidTr="00A34A82">
        <w:tc>
          <w:tcPr>
            <w:tcW w:w="9962" w:type="dxa"/>
          </w:tcPr>
          <w:p w14:paraId="13776591" w14:textId="77777777" w:rsidR="007C0951" w:rsidRPr="007C0951" w:rsidRDefault="007C0951" w:rsidP="007C0951">
            <w:pPr>
              <w:ind w:right="-99"/>
              <w:jc w:val="both"/>
              <w:rPr>
                <w:rFonts w:ascii="Arial" w:hAnsi="Arial" w:cs="Arial"/>
                <w:lang w:val="en-US" w:eastAsia="ja-JP"/>
              </w:rPr>
            </w:pPr>
            <w:r w:rsidRPr="007C0951">
              <w:rPr>
                <w:rFonts w:ascii="Arial" w:hAnsi="Arial" w:cs="Arial"/>
                <w:lang w:val="en-US" w:eastAsia="ja-JP"/>
              </w:rPr>
              <w:t>This WI has the following objectives: Additional objectives may be added in RAN#91e based on the finalization of the RAN2 part of the RedCap SI.</w:t>
            </w:r>
          </w:p>
          <w:p w14:paraId="66802DE9" w14:textId="77777777" w:rsidR="007C0951" w:rsidRPr="007C0951" w:rsidRDefault="007C0951" w:rsidP="007C0951">
            <w:pPr>
              <w:pStyle w:val="B1"/>
              <w:numPr>
                <w:ilvl w:val="0"/>
                <w:numId w:val="23"/>
              </w:numPr>
              <w:jc w:val="both"/>
              <w:rPr>
                <w:rFonts w:ascii="Arial" w:eastAsia="SimSun" w:hAnsi="Arial" w:cs="Arial"/>
                <w:lang w:val="en-US" w:eastAsia="ja-JP"/>
              </w:rPr>
            </w:pPr>
            <w:r w:rsidRPr="007C0951">
              <w:rPr>
                <w:rFonts w:ascii="Arial" w:eastAsia="SimSun" w:hAnsi="Arial" w:cs="Arial"/>
                <w:lang w:val="en-US" w:eastAsia="ja-JP"/>
              </w:rPr>
              <w:t>Specify support for the following UE complexity reduction features [RAN1, RAN4]:</w:t>
            </w:r>
          </w:p>
          <w:p w14:paraId="5E6E335C" w14:textId="77777777" w:rsidR="007C0951" w:rsidRPr="007C0951" w:rsidRDefault="007C0951" w:rsidP="007C0951">
            <w:pPr>
              <w:pStyle w:val="BodyText"/>
              <w:numPr>
                <w:ilvl w:val="1"/>
                <w:numId w:val="23"/>
              </w:numPr>
              <w:overflowPunct w:val="0"/>
              <w:rPr>
                <w:rFonts w:cs="Arial"/>
                <w:b/>
                <w:bCs/>
                <w:sz w:val="20"/>
                <w:szCs w:val="20"/>
              </w:rPr>
            </w:pPr>
            <w:r w:rsidRPr="007C0951">
              <w:rPr>
                <w:rFonts w:cs="Arial"/>
                <w:bCs/>
                <w:sz w:val="20"/>
                <w:szCs w:val="20"/>
              </w:rPr>
              <w:t>Reduced maximum UE bandwidth:</w:t>
            </w:r>
          </w:p>
          <w:p w14:paraId="44B549F5" w14:textId="77777777" w:rsidR="007C0951" w:rsidRPr="007C0951" w:rsidRDefault="007C0951" w:rsidP="007C0951">
            <w:pPr>
              <w:pStyle w:val="BodyText"/>
              <w:numPr>
                <w:ilvl w:val="2"/>
                <w:numId w:val="23"/>
              </w:numPr>
              <w:overflowPunct w:val="0"/>
              <w:rPr>
                <w:rFonts w:cs="Arial"/>
                <w:b/>
                <w:bCs/>
                <w:sz w:val="20"/>
                <w:szCs w:val="20"/>
              </w:rPr>
            </w:pPr>
            <w:r w:rsidRPr="007C0951">
              <w:rPr>
                <w:rFonts w:cs="Arial"/>
                <w:bCs/>
                <w:sz w:val="20"/>
                <w:szCs w:val="20"/>
              </w:rPr>
              <w:t>Maximum bandwidth of an FR1 RedCap UE during and after initial access of 20 MHz</w:t>
            </w:r>
            <w:r w:rsidRPr="007C0951">
              <w:rPr>
                <w:rFonts w:cs="Arial"/>
                <w:sz w:val="20"/>
                <w:szCs w:val="20"/>
              </w:rPr>
              <w:t xml:space="preserve"> </w:t>
            </w:r>
            <w:r w:rsidRPr="007C0951">
              <w:rPr>
                <w:rFonts w:cs="Arial"/>
                <w:bCs/>
                <w:sz w:val="20"/>
                <w:szCs w:val="20"/>
              </w:rPr>
              <w:t>is supported. The possibility of, and any associated conditions for, optional support of a wider bandwidth up to 40MHz after initial access for this case will be further discussed at RAN#91e.</w:t>
            </w:r>
          </w:p>
          <w:p w14:paraId="79E3074E" w14:textId="77777777" w:rsidR="007C0951" w:rsidRPr="007C0951" w:rsidRDefault="007C0951" w:rsidP="007C0951">
            <w:pPr>
              <w:pStyle w:val="BodyText"/>
              <w:numPr>
                <w:ilvl w:val="2"/>
                <w:numId w:val="23"/>
              </w:numPr>
              <w:overflowPunct w:val="0"/>
              <w:rPr>
                <w:rFonts w:cs="Arial"/>
                <w:b/>
                <w:bCs/>
                <w:sz w:val="20"/>
                <w:szCs w:val="20"/>
              </w:rPr>
            </w:pPr>
            <w:r w:rsidRPr="007C0951">
              <w:rPr>
                <w:rFonts w:cs="Arial"/>
                <w:bCs/>
                <w:sz w:val="20"/>
                <w:szCs w:val="20"/>
              </w:rPr>
              <w:t>Maximum bandwidth of an FR2 RedCap UE during and after initial access is 100 MHz</w:t>
            </w:r>
          </w:p>
          <w:p w14:paraId="159C2A3C" w14:textId="77777777" w:rsidR="007C0951" w:rsidRPr="007C0951" w:rsidRDefault="007C0951" w:rsidP="007C0951">
            <w:pPr>
              <w:pStyle w:val="BodyText"/>
              <w:numPr>
                <w:ilvl w:val="1"/>
                <w:numId w:val="23"/>
              </w:numPr>
              <w:overflowPunct w:val="0"/>
              <w:rPr>
                <w:rFonts w:cs="Arial"/>
                <w:b/>
                <w:sz w:val="20"/>
                <w:szCs w:val="20"/>
              </w:rPr>
            </w:pPr>
            <w:r w:rsidRPr="007C0951">
              <w:rPr>
                <w:rFonts w:cs="Arial"/>
                <w:sz w:val="20"/>
                <w:szCs w:val="20"/>
              </w:rPr>
              <w:t>Reduced minimum number of Rx branches:</w:t>
            </w:r>
          </w:p>
          <w:p w14:paraId="230CECAE" w14:textId="77777777" w:rsidR="007C0951" w:rsidRPr="007C0951" w:rsidRDefault="007C0951" w:rsidP="007C0951">
            <w:pPr>
              <w:pStyle w:val="BodyText"/>
              <w:numPr>
                <w:ilvl w:val="2"/>
                <w:numId w:val="23"/>
              </w:numPr>
              <w:overflowPunct w:val="0"/>
              <w:rPr>
                <w:rFonts w:cs="Arial"/>
                <w:b/>
                <w:sz w:val="20"/>
                <w:szCs w:val="20"/>
              </w:rPr>
            </w:pPr>
            <w:r w:rsidRPr="007C0951">
              <w:rPr>
                <w:rFonts w:cs="Arial"/>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1E0A17B" w14:textId="77777777" w:rsidR="007C0951" w:rsidRPr="007C0951" w:rsidRDefault="007C0951" w:rsidP="007C0951">
            <w:pPr>
              <w:pStyle w:val="BodyText"/>
              <w:numPr>
                <w:ilvl w:val="2"/>
                <w:numId w:val="23"/>
              </w:numPr>
              <w:overflowPunct w:val="0"/>
              <w:rPr>
                <w:rFonts w:cs="Arial"/>
                <w:b/>
                <w:sz w:val="20"/>
                <w:szCs w:val="20"/>
              </w:rPr>
            </w:pPr>
            <w:bookmarkStart w:id="2" w:name="_Hlk58502022"/>
            <w:r w:rsidRPr="007C0951">
              <w:rPr>
                <w:rFonts w:cs="Arial"/>
                <w:sz w:val="20"/>
                <w:szCs w:val="20"/>
              </w:rPr>
              <w:t xml:space="preserve">For frequency bands where a legacy NR UE (other than 2-Rx vehicular UE) is required to be equipped with a minimum of 4 Rx </w:t>
            </w:r>
            <w:bookmarkEnd w:id="2"/>
            <w:r w:rsidRPr="007C0951">
              <w:rPr>
                <w:rFonts w:cs="Arial"/>
                <w:sz w:val="20"/>
                <w:szCs w:val="20"/>
              </w:rPr>
              <w:t xml:space="preserve">antenna ports, the minimum number of Rx </w:t>
            </w:r>
            <w:bookmarkStart w:id="3" w:name="_Hlk58574559"/>
            <w:r w:rsidRPr="007C0951">
              <w:rPr>
                <w:rFonts w:cs="Arial"/>
                <w:sz w:val="20"/>
                <w:szCs w:val="20"/>
              </w:rPr>
              <w:t xml:space="preserve">branches </w:t>
            </w:r>
            <w:bookmarkEnd w:id="3"/>
            <w:r w:rsidRPr="007C0951">
              <w:rPr>
                <w:rFonts w:cs="Arial"/>
                <w:sz w:val="20"/>
                <w:szCs w:val="20"/>
              </w:rPr>
              <w:t>supported by specification for a RedCap UE will be decided at RAN#91e; hence no specific work for these frequency bands will be done before RAN#91e.</w:t>
            </w:r>
          </w:p>
          <w:p w14:paraId="619FD674" w14:textId="77777777" w:rsidR="007C0951" w:rsidRPr="007C0951" w:rsidRDefault="007C0951" w:rsidP="007C0951">
            <w:pPr>
              <w:pStyle w:val="BodyText"/>
              <w:numPr>
                <w:ilvl w:val="1"/>
                <w:numId w:val="23"/>
              </w:numPr>
              <w:overflowPunct w:val="0"/>
              <w:rPr>
                <w:rFonts w:cs="Arial"/>
                <w:b/>
                <w:bCs/>
                <w:sz w:val="20"/>
                <w:szCs w:val="20"/>
              </w:rPr>
            </w:pPr>
            <w:r w:rsidRPr="007C0951">
              <w:rPr>
                <w:rFonts w:cs="Arial"/>
                <w:bCs/>
                <w:sz w:val="20"/>
                <w:szCs w:val="20"/>
              </w:rPr>
              <w:t>Maximum number of DL MIMO layers:</w:t>
            </w:r>
          </w:p>
          <w:p w14:paraId="4BF31A20" w14:textId="77777777" w:rsidR="007C0951" w:rsidRPr="007C0951" w:rsidRDefault="007C0951" w:rsidP="007C0951">
            <w:pPr>
              <w:pStyle w:val="BodyText"/>
              <w:numPr>
                <w:ilvl w:val="2"/>
                <w:numId w:val="23"/>
              </w:numPr>
              <w:overflowPunct w:val="0"/>
              <w:rPr>
                <w:rFonts w:cs="Arial"/>
                <w:b/>
                <w:bCs/>
                <w:sz w:val="20"/>
                <w:szCs w:val="20"/>
              </w:rPr>
            </w:pPr>
            <w:r w:rsidRPr="007C0951">
              <w:rPr>
                <w:rFonts w:cs="Arial"/>
                <w:bCs/>
                <w:sz w:val="20"/>
                <w:szCs w:val="20"/>
              </w:rPr>
              <w:t xml:space="preserve">For a RedCap UE with 1 Rx </w:t>
            </w:r>
            <w:r w:rsidRPr="007C0951">
              <w:rPr>
                <w:rFonts w:cs="Arial"/>
                <w:sz w:val="20"/>
                <w:szCs w:val="20"/>
              </w:rPr>
              <w:t>branch</w:t>
            </w:r>
            <w:r w:rsidRPr="007C0951">
              <w:rPr>
                <w:rFonts w:cs="Arial"/>
                <w:bCs/>
                <w:sz w:val="20"/>
                <w:szCs w:val="20"/>
              </w:rPr>
              <w:t>, 1 DL MIMO layer is supported.</w:t>
            </w:r>
          </w:p>
          <w:p w14:paraId="483E0C60" w14:textId="77777777" w:rsidR="007C0951" w:rsidRPr="007C0951" w:rsidRDefault="007C0951" w:rsidP="007C0951">
            <w:pPr>
              <w:pStyle w:val="BodyText"/>
              <w:numPr>
                <w:ilvl w:val="2"/>
                <w:numId w:val="23"/>
              </w:numPr>
              <w:overflowPunct w:val="0"/>
              <w:rPr>
                <w:rFonts w:cs="Arial"/>
                <w:b/>
                <w:bCs/>
                <w:sz w:val="20"/>
                <w:szCs w:val="20"/>
              </w:rPr>
            </w:pPr>
            <w:r w:rsidRPr="007C0951">
              <w:rPr>
                <w:rFonts w:cs="Arial"/>
                <w:bCs/>
                <w:sz w:val="20"/>
                <w:szCs w:val="20"/>
              </w:rPr>
              <w:t xml:space="preserve">For a RedCap UE with 2 Rx </w:t>
            </w:r>
            <w:r w:rsidRPr="007C0951">
              <w:rPr>
                <w:rFonts w:cs="Arial"/>
                <w:sz w:val="20"/>
                <w:szCs w:val="20"/>
              </w:rPr>
              <w:t>branches</w:t>
            </w:r>
            <w:r w:rsidRPr="007C0951">
              <w:rPr>
                <w:rFonts w:cs="Arial"/>
                <w:bCs/>
                <w:sz w:val="20"/>
                <w:szCs w:val="20"/>
              </w:rPr>
              <w:t>, 2 DL MIMO layers are supported.</w:t>
            </w:r>
          </w:p>
          <w:p w14:paraId="0F6D950C" w14:textId="77777777" w:rsidR="007C0951" w:rsidRPr="007C0951" w:rsidRDefault="007C0951" w:rsidP="007C0951">
            <w:pPr>
              <w:pStyle w:val="BodyText"/>
              <w:numPr>
                <w:ilvl w:val="1"/>
                <w:numId w:val="23"/>
              </w:numPr>
              <w:overflowPunct w:val="0"/>
              <w:rPr>
                <w:rFonts w:cs="Arial"/>
                <w:b/>
                <w:bCs/>
                <w:sz w:val="20"/>
                <w:szCs w:val="20"/>
              </w:rPr>
            </w:pPr>
            <w:r w:rsidRPr="007C0951">
              <w:rPr>
                <w:rFonts w:cs="Arial"/>
                <w:bCs/>
                <w:sz w:val="20"/>
                <w:szCs w:val="20"/>
              </w:rPr>
              <w:t>Relaxed maximum modulation order:</w:t>
            </w:r>
          </w:p>
          <w:p w14:paraId="79FB9C7C" w14:textId="77777777" w:rsidR="007C0951" w:rsidRPr="007C0951" w:rsidRDefault="007C0951" w:rsidP="007C0951">
            <w:pPr>
              <w:pStyle w:val="BodyText"/>
              <w:numPr>
                <w:ilvl w:val="2"/>
                <w:numId w:val="23"/>
              </w:numPr>
              <w:overflowPunct w:val="0"/>
              <w:rPr>
                <w:rFonts w:cs="Arial"/>
                <w:b/>
                <w:bCs/>
                <w:sz w:val="20"/>
                <w:szCs w:val="20"/>
              </w:rPr>
            </w:pPr>
            <w:r w:rsidRPr="007C0951">
              <w:rPr>
                <w:rFonts w:cs="Arial"/>
                <w:bCs/>
                <w:sz w:val="20"/>
                <w:szCs w:val="20"/>
              </w:rPr>
              <w:t>Support of 256QAM in DL is optional (instead of mandatory) for an FR1 RedCap UE.</w:t>
            </w:r>
          </w:p>
          <w:p w14:paraId="44AF4AEA" w14:textId="77777777" w:rsidR="007C0951" w:rsidRPr="007C0951" w:rsidRDefault="007C0951" w:rsidP="007C0951">
            <w:pPr>
              <w:pStyle w:val="BodyText"/>
              <w:numPr>
                <w:ilvl w:val="2"/>
                <w:numId w:val="23"/>
              </w:numPr>
              <w:overflowPunct w:val="0"/>
              <w:rPr>
                <w:rFonts w:cs="Arial"/>
                <w:bCs/>
                <w:sz w:val="20"/>
                <w:szCs w:val="20"/>
              </w:rPr>
            </w:pPr>
            <w:r w:rsidRPr="007C0951">
              <w:rPr>
                <w:rFonts w:cs="Arial"/>
                <w:bCs/>
                <w:sz w:val="20"/>
                <w:szCs w:val="20"/>
              </w:rPr>
              <w:t>No other relaxations of maximum modulation order are specified for a RedCap UE.</w:t>
            </w:r>
          </w:p>
          <w:p w14:paraId="13D9D53E" w14:textId="77777777" w:rsidR="007C0951" w:rsidRPr="007C0951" w:rsidRDefault="007C0951" w:rsidP="007C0951">
            <w:pPr>
              <w:pStyle w:val="BodyText"/>
              <w:numPr>
                <w:ilvl w:val="1"/>
                <w:numId w:val="23"/>
              </w:numPr>
              <w:overflowPunct w:val="0"/>
              <w:rPr>
                <w:rFonts w:cs="Arial"/>
                <w:bCs/>
                <w:sz w:val="20"/>
                <w:szCs w:val="20"/>
              </w:rPr>
            </w:pPr>
            <w:r w:rsidRPr="007C0951">
              <w:rPr>
                <w:rFonts w:cs="Arial"/>
                <w:bCs/>
                <w:sz w:val="20"/>
                <w:szCs w:val="20"/>
              </w:rPr>
              <w:t>Duplex operation:</w:t>
            </w:r>
          </w:p>
          <w:p w14:paraId="26D66405" w14:textId="77777777" w:rsidR="007C0951" w:rsidRPr="007C0951" w:rsidRDefault="007C0951" w:rsidP="007C0951">
            <w:pPr>
              <w:pStyle w:val="BodyText"/>
              <w:numPr>
                <w:ilvl w:val="2"/>
                <w:numId w:val="23"/>
              </w:numPr>
              <w:overflowPunct w:val="0"/>
              <w:rPr>
                <w:rFonts w:cs="Arial"/>
                <w:bCs/>
                <w:sz w:val="20"/>
                <w:szCs w:val="20"/>
              </w:rPr>
            </w:pPr>
            <w:r w:rsidRPr="007C0951">
              <w:rPr>
                <w:rFonts w:cs="Arial"/>
                <w:bCs/>
                <w:sz w:val="20"/>
                <w:szCs w:val="20"/>
              </w:rPr>
              <w:t>HD-FDD type A with the minimum specification impact (Note that FD-FDD and TDD are also supported.)</w:t>
            </w:r>
          </w:p>
          <w:p w14:paraId="09C7EC03" w14:textId="77777777" w:rsidR="007C0951" w:rsidRPr="007C0951" w:rsidRDefault="007C0951" w:rsidP="007C0951">
            <w:pPr>
              <w:pStyle w:val="B1"/>
              <w:numPr>
                <w:ilvl w:val="0"/>
                <w:numId w:val="23"/>
              </w:numPr>
              <w:jc w:val="both"/>
              <w:rPr>
                <w:rFonts w:ascii="Arial" w:eastAsia="SimSun" w:hAnsi="Arial" w:cs="Arial"/>
                <w:bCs/>
                <w:lang w:val="en-US" w:eastAsia="ja-JP"/>
              </w:rPr>
            </w:pPr>
            <w:r w:rsidRPr="007C0951">
              <w:rPr>
                <w:rFonts w:ascii="Arial" w:eastAsia="SimSun" w:hAnsi="Arial" w:cs="Arial"/>
                <w:bCs/>
                <w:lang w:val="en-US" w:eastAsia="ja-JP"/>
              </w:rPr>
              <w:t xml:space="preserve">Specify higher layer support of enhancements listed above [RAN2, RAN1]. </w:t>
            </w:r>
            <w:bookmarkStart w:id="4" w:name="_Hlk58502603"/>
            <w:r w:rsidRPr="007C0951">
              <w:rPr>
                <w:rFonts w:ascii="Arial" w:eastAsia="SimSun" w:hAnsi="Arial" w:cs="Arial"/>
                <w:bCs/>
                <w:lang w:val="en-US" w:eastAsia="ja-JP"/>
              </w:rPr>
              <w:t>Details are to be refined at RAN#91e taking the outcome of the RedCap SI into account, and work on this objective shall start after RAN#91e</w:t>
            </w:r>
            <w:bookmarkEnd w:id="4"/>
            <w:r w:rsidRPr="007C0951">
              <w:rPr>
                <w:rFonts w:ascii="Arial" w:eastAsia="SimSun" w:hAnsi="Arial" w:cs="Arial"/>
                <w:bCs/>
                <w:lang w:val="en-US" w:eastAsia="ja-JP"/>
              </w:rPr>
              <w:t>:</w:t>
            </w:r>
          </w:p>
          <w:p w14:paraId="55B5DA8C" w14:textId="342E02F7" w:rsidR="007C0951" w:rsidRPr="007C0951" w:rsidRDefault="007C0951" w:rsidP="007C0951">
            <w:pPr>
              <w:pStyle w:val="B1"/>
              <w:numPr>
                <w:ilvl w:val="1"/>
                <w:numId w:val="23"/>
              </w:numPr>
              <w:jc w:val="both"/>
              <w:rPr>
                <w:rFonts w:ascii="Arial" w:eastAsia="SimSun" w:hAnsi="Arial" w:cs="Arial"/>
                <w:bCs/>
                <w:lang w:val="en-US" w:eastAsia="ja-JP"/>
              </w:rPr>
            </w:pPr>
            <w:r w:rsidRPr="007C0951">
              <w:rPr>
                <w:rFonts w:ascii="Arial" w:eastAsia="SimSun" w:hAnsi="Arial" w:cs="Arial"/>
                <w:bCs/>
                <w:lang w:val="en-US" w:eastAsia="ja-JP"/>
              </w:rPr>
              <w:t xml:space="preserve">Specify definition of RedCap UE type(s) including set(s) of L1 capabilities for RedCap UE identification and for constraining the use of those RedCap L1 capabilities only for RedCap </w:t>
            </w:r>
            <w:proofErr w:type="gramStart"/>
            <w:r w:rsidRPr="007C0951">
              <w:rPr>
                <w:rFonts w:ascii="Arial" w:eastAsia="SimSun" w:hAnsi="Arial" w:cs="Arial"/>
                <w:bCs/>
                <w:lang w:val="en-US" w:eastAsia="ja-JP"/>
              </w:rPr>
              <w:lastRenderedPageBreak/>
              <w:t>UEs,</w:t>
            </w:r>
            <w:r>
              <w:rPr>
                <w:rFonts w:ascii="Arial" w:eastAsia="SimSun" w:hAnsi="Arial" w:cs="Arial"/>
                <w:bCs/>
                <w:lang w:val="en-US" w:eastAsia="ja-JP"/>
              </w:rPr>
              <w:t xml:space="preserve"> </w:t>
            </w:r>
            <w:r w:rsidRPr="007C0951">
              <w:rPr>
                <w:rFonts w:ascii="Arial" w:eastAsia="SimSun" w:hAnsi="Arial" w:cs="Arial"/>
                <w:bCs/>
                <w:lang w:val="en-US" w:eastAsia="ja-JP"/>
              </w:rPr>
              <w:t>and</w:t>
            </w:r>
            <w:proofErr w:type="gramEnd"/>
            <w:r w:rsidRPr="007C0951">
              <w:rPr>
                <w:rFonts w:ascii="Arial" w:eastAsia="SimSun" w:hAnsi="Arial" w:cs="Arial"/>
                <w:bCs/>
                <w:lang w:val="en-US" w:eastAsia="ja-JP"/>
              </w:rPr>
              <w:t xml:space="preserve"> preventing RedCap UEs from using capabilities not intended for RedCap UEs including at least carrier aggregation, dual connectivity and wider bandwidths.</w:t>
            </w:r>
          </w:p>
          <w:p w14:paraId="3C8E1430" w14:textId="77777777" w:rsidR="007C0951" w:rsidRPr="007C0951" w:rsidRDefault="007C0951" w:rsidP="007C0951">
            <w:pPr>
              <w:pStyle w:val="B1"/>
              <w:numPr>
                <w:ilvl w:val="1"/>
                <w:numId w:val="23"/>
              </w:numPr>
              <w:jc w:val="both"/>
              <w:rPr>
                <w:rFonts w:ascii="Arial" w:eastAsia="SimSun" w:hAnsi="Arial" w:cs="Arial"/>
                <w:bCs/>
                <w:lang w:val="en-US" w:eastAsia="ja-JP"/>
              </w:rPr>
            </w:pPr>
            <w:r w:rsidRPr="007C0951">
              <w:rPr>
                <w:rFonts w:ascii="Arial" w:eastAsia="SimSun" w:hAnsi="Arial" w:cs="Arial"/>
                <w:bCs/>
                <w:lang w:val="en-US" w:eastAsia="ja-JP"/>
              </w:rPr>
              <w:t>Specify functionality that will enable RedCap UEs to be explicitly identifiable to networks and allow operators to restrict their access if desired.</w:t>
            </w:r>
          </w:p>
          <w:p w14:paraId="31A93B6C" w14:textId="77777777" w:rsidR="007C0951" w:rsidRPr="007C0951" w:rsidRDefault="007C0951" w:rsidP="007C0951">
            <w:pPr>
              <w:pStyle w:val="B1"/>
              <w:numPr>
                <w:ilvl w:val="1"/>
                <w:numId w:val="23"/>
              </w:numPr>
              <w:jc w:val="both"/>
              <w:rPr>
                <w:rFonts w:ascii="Arial" w:eastAsia="SimSun" w:hAnsi="Arial" w:cs="Arial"/>
                <w:bCs/>
                <w:lang w:val="en-US" w:eastAsia="ja-JP"/>
              </w:rPr>
            </w:pPr>
            <w:r w:rsidRPr="007C0951">
              <w:rPr>
                <w:rFonts w:ascii="Arial" w:eastAsia="SimSun" w:hAnsi="Arial" w:cs="Arial"/>
                <w:bCs/>
                <w:lang w:val="en-US" w:eastAsia="ja-JP"/>
              </w:rPr>
              <w:t>Specify necessary updates of UE capabilities (38.306) and RRC parameters (38.331).</w:t>
            </w:r>
          </w:p>
          <w:p w14:paraId="44596ABC" w14:textId="77777777" w:rsidR="007C0951" w:rsidRPr="007C0951" w:rsidRDefault="007C0951" w:rsidP="007C0951">
            <w:pPr>
              <w:pStyle w:val="B1"/>
              <w:numPr>
                <w:ilvl w:val="0"/>
                <w:numId w:val="23"/>
              </w:numPr>
              <w:jc w:val="both"/>
              <w:rPr>
                <w:rFonts w:ascii="Arial" w:eastAsia="SimSun" w:hAnsi="Arial" w:cs="Arial"/>
                <w:bCs/>
                <w:lang w:val="en-US" w:eastAsia="ja-JP"/>
              </w:rPr>
            </w:pPr>
            <w:r w:rsidRPr="007C0951">
              <w:rPr>
                <w:rFonts w:ascii="Arial" w:eastAsia="SimSun" w:hAnsi="Arial" w:cs="Arial"/>
                <w:bCs/>
                <w:lang w:val="en-US" w:eastAsia="ja-JP"/>
              </w:rPr>
              <w:t xml:space="preserve">Specify RAN4 core requirements for the above. </w:t>
            </w:r>
          </w:p>
          <w:p w14:paraId="35609998" w14:textId="77777777" w:rsidR="007C0951" w:rsidRPr="007C0951" w:rsidRDefault="007C0951" w:rsidP="007C0951">
            <w:pPr>
              <w:pStyle w:val="B2"/>
              <w:ind w:left="0" w:firstLine="0"/>
              <w:jc w:val="both"/>
              <w:rPr>
                <w:rFonts w:ascii="Arial" w:eastAsia="SimSun" w:hAnsi="Arial" w:cs="Arial"/>
                <w:lang w:val="en-US" w:eastAsia="ja-JP"/>
              </w:rPr>
            </w:pPr>
            <w:r w:rsidRPr="007C0951">
              <w:rPr>
                <w:rFonts w:ascii="Arial" w:eastAsia="SimSun" w:hAnsi="Arial" w:cs="Arial"/>
                <w:lang w:val="en-US" w:eastAsia="ja-JP"/>
              </w:rPr>
              <w:t>Notes:</w:t>
            </w:r>
          </w:p>
          <w:p w14:paraId="55F13A41" w14:textId="77777777" w:rsidR="007C0951" w:rsidRPr="007C0951" w:rsidRDefault="007C0951" w:rsidP="007C0951">
            <w:pPr>
              <w:pStyle w:val="B1"/>
              <w:numPr>
                <w:ilvl w:val="0"/>
                <w:numId w:val="23"/>
              </w:numPr>
              <w:jc w:val="both"/>
              <w:rPr>
                <w:rFonts w:ascii="Arial" w:eastAsia="SimSun" w:hAnsi="Arial" w:cs="Arial"/>
                <w:lang w:val="en-US" w:eastAsia="ja-JP"/>
              </w:rPr>
            </w:pPr>
            <w:r w:rsidRPr="007C0951">
              <w:rPr>
                <w:rFonts w:ascii="Arial" w:eastAsia="SimSun" w:hAnsi="Arial" w:cs="Arial"/>
                <w:lang w:val="en-US" w:eastAsia="ja-JP"/>
              </w:rPr>
              <w:t>Rel-15 SSB bandwidth is reused and L1 changes minimized.</w:t>
            </w:r>
          </w:p>
          <w:p w14:paraId="2254A7E2" w14:textId="77777777" w:rsidR="007C0951" w:rsidRPr="007C0951" w:rsidRDefault="007C0951" w:rsidP="007C0951">
            <w:pPr>
              <w:pStyle w:val="B1"/>
              <w:numPr>
                <w:ilvl w:val="0"/>
                <w:numId w:val="23"/>
              </w:numPr>
              <w:jc w:val="both"/>
              <w:rPr>
                <w:rFonts w:ascii="Arial" w:eastAsia="SimSun" w:hAnsi="Arial" w:cs="Arial"/>
                <w:lang w:val="en-US" w:eastAsia="ja-JP"/>
              </w:rPr>
            </w:pPr>
            <w:r w:rsidRPr="007C0951">
              <w:rPr>
                <w:rFonts w:ascii="Arial" w:eastAsia="SimSun" w:hAnsi="Arial" w:cs="Arial"/>
                <w:lang w:val="en-US" w:eastAsia="ja-JP"/>
              </w:rPr>
              <w:t>The work defined as part of this WI is not to overlap with LPWA use cases.</w:t>
            </w:r>
          </w:p>
          <w:p w14:paraId="24B93B88" w14:textId="77777777" w:rsidR="007C0951" w:rsidRPr="007C0951" w:rsidRDefault="007C0951" w:rsidP="007C0951">
            <w:pPr>
              <w:pStyle w:val="B1"/>
              <w:numPr>
                <w:ilvl w:val="0"/>
                <w:numId w:val="23"/>
              </w:numPr>
              <w:jc w:val="both"/>
              <w:rPr>
                <w:rFonts w:ascii="Arial" w:eastAsia="SimSun" w:hAnsi="Arial" w:cs="Arial"/>
                <w:lang w:val="en-US" w:eastAsia="ja-JP"/>
              </w:rPr>
            </w:pPr>
            <w:r w:rsidRPr="007C0951">
              <w:rPr>
                <w:rFonts w:ascii="Arial" w:eastAsia="SimSun" w:hAnsi="Arial" w:cs="Arial"/>
                <w:lang w:val="en-US" w:eastAsia="ja-JP"/>
              </w:rPr>
              <w:t>Coexistence with non-RedCap UEs is to be ensured.</w:t>
            </w:r>
          </w:p>
          <w:p w14:paraId="712D8D3F" w14:textId="77777777" w:rsidR="007C0951" w:rsidRPr="007C0951" w:rsidRDefault="007C0951" w:rsidP="007C0951">
            <w:pPr>
              <w:pStyle w:val="B1"/>
              <w:numPr>
                <w:ilvl w:val="0"/>
                <w:numId w:val="23"/>
              </w:numPr>
              <w:jc w:val="both"/>
              <w:rPr>
                <w:rFonts w:ascii="Arial" w:eastAsia="SimSun" w:hAnsi="Arial" w:cs="Arial"/>
                <w:lang w:val="en-US" w:eastAsia="ja-JP"/>
              </w:rPr>
            </w:pPr>
            <w:r w:rsidRPr="007C0951">
              <w:rPr>
                <w:rFonts w:ascii="Arial" w:eastAsia="SimSun" w:hAnsi="Arial" w:cs="Arial"/>
                <w:lang w:val="en-US" w:eastAsia="ja-JP"/>
              </w:rPr>
              <w:t>This WI focuses on SA mode and single connectivity with operation in a single band at a time.</w:t>
            </w:r>
          </w:p>
          <w:p w14:paraId="7B90969B" w14:textId="77777777" w:rsidR="007C0951" w:rsidRPr="007C0951" w:rsidRDefault="007C0951" w:rsidP="007C0951">
            <w:pPr>
              <w:pStyle w:val="B1"/>
              <w:numPr>
                <w:ilvl w:val="0"/>
                <w:numId w:val="23"/>
              </w:numPr>
              <w:jc w:val="both"/>
              <w:rPr>
                <w:rFonts w:ascii="Arial" w:eastAsia="SimSun" w:hAnsi="Arial" w:cs="Arial"/>
                <w:lang w:val="en-US" w:eastAsia="ja-JP"/>
              </w:rPr>
            </w:pPr>
            <w:r w:rsidRPr="007C0951">
              <w:rPr>
                <w:rFonts w:ascii="Arial" w:hAnsi="Arial" w:cs="Arial"/>
              </w:rPr>
              <w:t>The work in other WGs than RAN1 starts after RAN#91e.</w:t>
            </w:r>
          </w:p>
          <w:p w14:paraId="7072C7FA" w14:textId="27A691E2" w:rsidR="008E206C" w:rsidRPr="007C0951" w:rsidRDefault="007C0951" w:rsidP="007C0951">
            <w:pPr>
              <w:pStyle w:val="B1"/>
              <w:numPr>
                <w:ilvl w:val="0"/>
                <w:numId w:val="23"/>
              </w:numPr>
              <w:jc w:val="both"/>
              <w:rPr>
                <w:rFonts w:eastAsia="SimSun"/>
                <w:lang w:val="en-US" w:eastAsia="ja-JP"/>
              </w:rPr>
            </w:pPr>
            <w:bookmarkStart w:id="5" w:name="_Hlk58575355"/>
            <w:r w:rsidRPr="007C0951">
              <w:rPr>
                <w:rFonts w:ascii="Arial" w:hAnsi="Arial" w:cs="Arial"/>
              </w:rPr>
              <w:t>The appropriate WI for handling of any potential coverage recovery aspects related to RedCap UEs devices will be considered at RAN#91e.</w:t>
            </w:r>
            <w:bookmarkEnd w:id="5"/>
          </w:p>
        </w:tc>
      </w:tr>
    </w:tbl>
    <w:p w14:paraId="5B0B8811" w14:textId="77777777" w:rsidR="00FA7FC4" w:rsidRDefault="00FA7FC4" w:rsidP="00D85563">
      <w:pPr>
        <w:rPr>
          <w:rFonts w:ascii="Arial" w:hAnsi="Arial" w:cs="Arial"/>
          <w:lang w:val="en-US" w:eastAsia="zh-CN"/>
        </w:rPr>
      </w:pPr>
    </w:p>
    <w:p w14:paraId="318BF375" w14:textId="16AC5A94" w:rsidR="00D85563" w:rsidRDefault="009622C2" w:rsidP="007C0951">
      <w:pPr>
        <w:jc w:val="both"/>
        <w:rPr>
          <w:rFonts w:ascii="Arial" w:hAnsi="Arial" w:cs="Arial"/>
          <w:lang w:val="en-US" w:eastAsia="zh-CN"/>
        </w:rPr>
      </w:pPr>
      <w:r>
        <w:rPr>
          <w:rFonts w:ascii="Arial" w:hAnsi="Arial" w:cs="Arial"/>
          <w:lang w:val="en-US" w:eastAsia="zh-CN"/>
        </w:rPr>
        <w:t xml:space="preserve">In this contribution, we provided our views on </w:t>
      </w:r>
      <w:r w:rsidR="00FA7FC4">
        <w:rPr>
          <w:rFonts w:ascii="Arial" w:hAnsi="Arial" w:cs="Arial"/>
          <w:lang w:val="en-US" w:eastAsia="zh-CN"/>
        </w:rPr>
        <w:t xml:space="preserve">the </w:t>
      </w:r>
      <w:r w:rsidR="007C0951">
        <w:rPr>
          <w:rFonts w:ascii="Arial" w:hAnsi="Arial" w:cs="Arial"/>
          <w:lang w:val="en-US" w:eastAsia="zh-CN"/>
        </w:rPr>
        <w:t>pending</w:t>
      </w:r>
      <w:r w:rsidR="00FA7FC4">
        <w:rPr>
          <w:rFonts w:ascii="Arial" w:hAnsi="Arial" w:cs="Arial"/>
          <w:lang w:val="en-US" w:eastAsia="zh-CN"/>
        </w:rPr>
        <w:t xml:space="preserve"> issues that are left to RAN plenary</w:t>
      </w:r>
      <w:r w:rsidR="007C0951">
        <w:rPr>
          <w:rFonts w:ascii="Arial" w:hAnsi="Arial" w:cs="Arial"/>
          <w:lang w:val="en-US" w:eastAsia="zh-CN"/>
        </w:rPr>
        <w:t xml:space="preserve"> #91 </w:t>
      </w:r>
      <w:r w:rsidR="00FA7FC4">
        <w:rPr>
          <w:rFonts w:ascii="Arial" w:hAnsi="Arial" w:cs="Arial"/>
          <w:lang w:val="en-US" w:eastAsia="zh-CN"/>
        </w:rPr>
        <w:t xml:space="preserve">for final decision. </w:t>
      </w:r>
    </w:p>
    <w:p w14:paraId="6D1BA96B" w14:textId="77777777" w:rsidR="00697609" w:rsidRPr="00404C4B" w:rsidRDefault="00697609" w:rsidP="007C0951">
      <w:pPr>
        <w:jc w:val="both"/>
        <w:rPr>
          <w:rFonts w:ascii="Arial" w:hAnsi="Arial" w:cs="Arial"/>
          <w:lang w:val="en-US" w:eastAsia="zh-CN"/>
        </w:rPr>
      </w:pPr>
    </w:p>
    <w:p w14:paraId="5450004A" w14:textId="4E93E14E" w:rsidR="00FA7FC4" w:rsidRPr="00FA7FC4" w:rsidRDefault="00B975F2" w:rsidP="007C0951">
      <w:pPr>
        <w:pStyle w:val="Heading1"/>
        <w:rPr>
          <w:rFonts w:cs="Arial"/>
          <w:lang w:val="en-US"/>
        </w:rPr>
      </w:pPr>
      <w:r w:rsidRPr="00404C4B">
        <w:rPr>
          <w:rFonts w:cs="Arial"/>
          <w:lang w:val="en-US"/>
        </w:rPr>
        <w:t>2. Discussion</w:t>
      </w:r>
    </w:p>
    <w:p w14:paraId="3488FF6E" w14:textId="286BB138" w:rsidR="00CB0389" w:rsidRPr="00904608" w:rsidRDefault="00FA7FC4" w:rsidP="00904608">
      <w:pPr>
        <w:pStyle w:val="Heading2"/>
        <w:rPr>
          <w:rFonts w:ascii="Arial" w:eastAsia="SimSun" w:hAnsi="Arial" w:cs="Times New Roman"/>
          <w:color w:val="auto"/>
          <w:sz w:val="32"/>
          <w:szCs w:val="20"/>
          <w:lang w:eastAsia="ja-JP"/>
        </w:rPr>
      </w:pPr>
      <w:r w:rsidRPr="00904608">
        <w:rPr>
          <w:rFonts w:ascii="Arial" w:eastAsia="SimSun" w:hAnsi="Arial" w:cs="Times New Roman"/>
          <w:color w:val="auto"/>
          <w:sz w:val="32"/>
          <w:szCs w:val="20"/>
          <w:lang w:eastAsia="ja-JP"/>
        </w:rPr>
        <w:t>2.1</w:t>
      </w:r>
      <w:r w:rsidRPr="00904608">
        <w:rPr>
          <w:rFonts w:ascii="Arial" w:eastAsia="SimSun" w:hAnsi="Arial" w:cs="Times New Roman"/>
          <w:color w:val="auto"/>
          <w:sz w:val="32"/>
          <w:szCs w:val="20"/>
          <w:lang w:eastAsia="ja-JP"/>
        </w:rPr>
        <w:tab/>
        <w:t xml:space="preserve">Support of </w:t>
      </w:r>
      <w:r w:rsidR="00904608">
        <w:rPr>
          <w:rFonts w:ascii="Arial" w:eastAsia="SimSun" w:hAnsi="Arial" w:cs="Times New Roman"/>
          <w:color w:val="auto"/>
          <w:sz w:val="32"/>
          <w:szCs w:val="20"/>
          <w:lang w:eastAsia="ja-JP"/>
        </w:rPr>
        <w:t xml:space="preserve">UE complexity reduction features  </w:t>
      </w:r>
    </w:p>
    <w:p w14:paraId="01673511" w14:textId="5948B6DD" w:rsidR="00904608" w:rsidRDefault="00B26D2F" w:rsidP="00252F23">
      <w:pPr>
        <w:overflowPunct/>
        <w:spacing w:before="180" w:after="0"/>
        <w:jc w:val="both"/>
        <w:textAlignment w:val="auto"/>
        <w:rPr>
          <w:rFonts w:ascii="Arial" w:hAnsi="Arial" w:cs="Arial"/>
        </w:rPr>
      </w:pPr>
      <w:r>
        <w:rPr>
          <w:rFonts w:ascii="Arial" w:hAnsi="Arial" w:cs="Arial"/>
        </w:rPr>
        <w:t>One of the core requirements for the three use cases</w:t>
      </w:r>
      <w:r w:rsidR="007C0951">
        <w:rPr>
          <w:rFonts w:ascii="Arial" w:hAnsi="Arial" w:cs="Arial"/>
        </w:rPr>
        <w:t xml:space="preserve"> of Redcap</w:t>
      </w:r>
      <w:r>
        <w:rPr>
          <w:rFonts w:ascii="Arial" w:hAnsi="Arial" w:cs="Arial"/>
        </w:rPr>
        <w:t xml:space="preserve">, as described in [1], is significantly lower device cost and complexity as compared to high-end eMBB and URLLC devices of Rel-15/Rel-16, taking into account the use cases specific requirement such as data rates, latency, battery lifetime and reliability captured in [1]. </w:t>
      </w:r>
    </w:p>
    <w:p w14:paraId="559C299B" w14:textId="77777777" w:rsidR="007C0951" w:rsidRDefault="007C0951" w:rsidP="00252F23">
      <w:pPr>
        <w:overflowPunct/>
        <w:spacing w:before="180" w:after="0"/>
        <w:jc w:val="both"/>
        <w:textAlignment w:val="auto"/>
        <w:rPr>
          <w:rFonts w:ascii="Arial" w:hAnsi="Arial" w:cs="Arial"/>
        </w:rPr>
      </w:pPr>
    </w:p>
    <w:p w14:paraId="715F9298" w14:textId="3B82D555" w:rsidR="00B26D2F" w:rsidRDefault="00B26D2F" w:rsidP="00252F23">
      <w:pPr>
        <w:pStyle w:val="Heading3"/>
        <w:spacing w:before="120" w:after="180"/>
        <w:jc w:val="both"/>
        <w:rPr>
          <w:rFonts w:ascii="Arial" w:hAnsi="Arial" w:cs="Arial"/>
          <w:color w:val="000000" w:themeColor="text1"/>
        </w:rPr>
      </w:pPr>
      <w:bookmarkStart w:id="6" w:name="_Ref33780037"/>
      <w:bookmarkStart w:id="7" w:name="_Ref40277349"/>
      <w:r w:rsidRPr="00B26D2F">
        <w:rPr>
          <w:rFonts w:ascii="Arial" w:hAnsi="Arial" w:cs="Arial"/>
          <w:color w:val="000000" w:themeColor="text1"/>
        </w:rPr>
        <w:t xml:space="preserve">2.1.1 </w:t>
      </w:r>
      <w:bookmarkEnd w:id="6"/>
      <w:bookmarkEnd w:id="7"/>
      <w:r>
        <w:rPr>
          <w:rFonts w:ascii="Arial" w:hAnsi="Arial" w:cs="Arial"/>
          <w:color w:val="000000" w:themeColor="text1"/>
        </w:rPr>
        <w:t xml:space="preserve">Reduced number of UE </w:t>
      </w:r>
      <w:r w:rsidR="00FF2201">
        <w:rPr>
          <w:rFonts w:ascii="Arial" w:hAnsi="Arial" w:cs="Arial"/>
          <w:color w:val="000000" w:themeColor="text1"/>
        </w:rPr>
        <w:t>Rx branches</w:t>
      </w:r>
      <w:r>
        <w:rPr>
          <w:rFonts w:ascii="Arial" w:hAnsi="Arial" w:cs="Arial"/>
          <w:color w:val="000000" w:themeColor="text1"/>
        </w:rPr>
        <w:t xml:space="preserve"> </w:t>
      </w:r>
    </w:p>
    <w:p w14:paraId="40A55F79" w14:textId="6103FAC3" w:rsidR="00CD582A" w:rsidRDefault="00CD582A" w:rsidP="00252F23">
      <w:pPr>
        <w:jc w:val="both"/>
        <w:rPr>
          <w:rFonts w:ascii="Arial" w:hAnsi="Arial" w:cs="Arial"/>
        </w:rPr>
      </w:pPr>
      <w:r>
        <w:rPr>
          <w:rFonts w:ascii="Arial" w:hAnsi="Arial" w:cs="Arial"/>
        </w:rPr>
        <w:t xml:space="preserve">One of open issues is related to the reduced number of UE Rx branches for FR1 </w:t>
      </w:r>
      <w:r w:rsidR="007C0951" w:rsidRPr="007C0951">
        <w:rPr>
          <w:rFonts w:ascii="Arial" w:hAnsi="Arial" w:cs="Arial"/>
        </w:rPr>
        <w:t>where a legacy NR UE (other than 2-Rx vehicular UE) is required to be equipped with a minimum of 4 Rx antenna ports</w:t>
      </w:r>
      <w:r>
        <w:rPr>
          <w:rFonts w:ascii="Arial" w:hAnsi="Arial" w:cs="Arial"/>
        </w:rPr>
        <w:t xml:space="preserve">. Two options were identified as follow: </w:t>
      </w:r>
    </w:p>
    <w:p w14:paraId="7EAA2092" w14:textId="7A3FFFDB" w:rsidR="00CD582A" w:rsidRPr="009622C2" w:rsidRDefault="00CD582A" w:rsidP="00252F23">
      <w:pPr>
        <w:numPr>
          <w:ilvl w:val="1"/>
          <w:numId w:val="13"/>
        </w:numPr>
        <w:overflowPunct/>
        <w:autoSpaceDE/>
        <w:autoSpaceDN/>
        <w:adjustRightInd/>
        <w:spacing w:after="0" w:line="252" w:lineRule="auto"/>
        <w:jc w:val="both"/>
        <w:textAlignment w:val="auto"/>
        <w:rPr>
          <w:rFonts w:ascii="Arial" w:hAnsi="Arial" w:cs="Arial"/>
          <w:lang w:eastAsia="ja-JP"/>
        </w:rPr>
      </w:pPr>
      <w:r w:rsidRPr="009622C2">
        <w:rPr>
          <w:rFonts w:ascii="Arial" w:hAnsi="Arial" w:cs="Arial"/>
          <w:lang w:eastAsia="ja-JP"/>
        </w:rPr>
        <w:t>Alt 1: N=2</w:t>
      </w:r>
    </w:p>
    <w:p w14:paraId="5FB06D62" w14:textId="77777777" w:rsidR="00CD582A" w:rsidRPr="009622C2" w:rsidRDefault="00CD582A" w:rsidP="00252F23">
      <w:pPr>
        <w:numPr>
          <w:ilvl w:val="1"/>
          <w:numId w:val="13"/>
        </w:numPr>
        <w:overflowPunct/>
        <w:autoSpaceDE/>
        <w:autoSpaceDN/>
        <w:adjustRightInd/>
        <w:spacing w:after="0" w:line="252" w:lineRule="auto"/>
        <w:jc w:val="both"/>
        <w:textAlignment w:val="auto"/>
        <w:rPr>
          <w:rFonts w:ascii="Arial" w:hAnsi="Arial" w:cs="Arial"/>
          <w:lang w:eastAsia="ja-JP"/>
        </w:rPr>
      </w:pPr>
      <w:r w:rsidRPr="009622C2">
        <w:rPr>
          <w:rFonts w:ascii="Arial" w:hAnsi="Arial" w:cs="Arial"/>
          <w:lang w:eastAsia="ja-JP"/>
        </w:rPr>
        <w:t xml:space="preserve">Alt 2: N=1, where N=2 is also supported </w:t>
      </w:r>
    </w:p>
    <w:p w14:paraId="10676190" w14:textId="77777777" w:rsidR="00CD582A" w:rsidRDefault="00CD582A" w:rsidP="00252F23">
      <w:pPr>
        <w:jc w:val="both"/>
        <w:rPr>
          <w:rFonts w:ascii="Arial" w:hAnsi="Arial" w:cs="Arial"/>
        </w:rPr>
      </w:pPr>
    </w:p>
    <w:p w14:paraId="21A93CAF" w14:textId="08B745E4" w:rsidR="006126B4" w:rsidRDefault="00FF2201" w:rsidP="00252F23">
      <w:pPr>
        <w:jc w:val="both"/>
        <w:rPr>
          <w:rFonts w:ascii="Arial" w:hAnsi="Arial" w:cs="Arial"/>
        </w:rPr>
      </w:pPr>
      <w:r>
        <w:rPr>
          <w:rFonts w:ascii="Arial" w:hAnsi="Arial" w:cs="Arial"/>
        </w:rPr>
        <w:t xml:space="preserve">The cost and complexity reduction benefit by reducing number of UE Rx branches were captured </w:t>
      </w:r>
      <w:r w:rsidR="006126B4">
        <w:rPr>
          <w:rFonts w:ascii="Arial" w:hAnsi="Arial" w:cs="Arial"/>
        </w:rPr>
        <w:t xml:space="preserve">in Table 7.2.2-1 of clause 7.2.2 in draft TR 38.875 [2]. </w:t>
      </w:r>
    </w:p>
    <w:p w14:paraId="60F003AD" w14:textId="41967361" w:rsidR="006126B4" w:rsidRPr="006126B4" w:rsidRDefault="006126B4" w:rsidP="006126B4">
      <w:pPr>
        <w:pStyle w:val="BodyText"/>
        <w:jc w:val="center"/>
        <w:rPr>
          <w:rFonts w:cs="Arial"/>
          <w:sz w:val="20"/>
          <w:szCs w:val="22"/>
        </w:rPr>
      </w:pPr>
      <w:r w:rsidRPr="006126B4">
        <w:rPr>
          <w:rFonts w:cs="Arial"/>
          <w:sz w:val="20"/>
          <w:szCs w:val="22"/>
        </w:rPr>
        <w:t>Table 7.2.2-1: Estimated relative device cost for reduced number of UE Rx branches</w:t>
      </w:r>
      <w:r w:rsidR="00893372">
        <w:rPr>
          <w:rFonts w:cs="Arial"/>
          <w:sz w:val="20"/>
          <w:szCs w:val="22"/>
        </w:rPr>
        <w:t xml:space="preserve"> [2]</w:t>
      </w:r>
    </w:p>
    <w:tbl>
      <w:tblPr>
        <w:tblW w:w="9280" w:type="dxa"/>
        <w:jc w:val="center"/>
        <w:tblLook w:val="04A0" w:firstRow="1" w:lastRow="0" w:firstColumn="1" w:lastColumn="0" w:noHBand="0" w:noVBand="1"/>
      </w:tblPr>
      <w:tblGrid>
        <w:gridCol w:w="4585"/>
        <w:gridCol w:w="1170"/>
        <w:gridCol w:w="1170"/>
        <w:gridCol w:w="1170"/>
        <w:gridCol w:w="1185"/>
      </w:tblGrid>
      <w:tr w:rsidR="006126B4" w:rsidRPr="006126B4" w14:paraId="610C6746" w14:textId="77777777" w:rsidTr="006126B4">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9F24A" w14:textId="77777777" w:rsidR="006126B4" w:rsidRPr="006126B4" w:rsidRDefault="006126B4" w:rsidP="00893372">
            <w:pPr>
              <w:spacing w:after="0"/>
              <w:rPr>
                <w:rFonts w:ascii="Arial" w:hAnsi="Arial" w:cs="Arial"/>
                <w:b/>
                <w:bCs/>
                <w:color w:val="C00000"/>
                <w:sz w:val="16"/>
                <w:szCs w:val="16"/>
                <w:lang w:val="en-US"/>
              </w:rPr>
            </w:pPr>
            <w:r w:rsidRPr="006126B4">
              <w:rPr>
                <w:rFonts w:ascii="Arial" w:hAnsi="Arial" w:cs="Arial"/>
                <w:b/>
                <w:bCs/>
                <w:sz w:val="16"/>
                <w:szCs w:val="16"/>
                <w:lang w:val="en-US"/>
              </w:rPr>
              <w:t>Reduced number of UE Rx branches</w:t>
            </w:r>
          </w:p>
        </w:tc>
        <w:tc>
          <w:tcPr>
            <w:tcW w:w="1170" w:type="dxa"/>
            <w:tcBorders>
              <w:top w:val="single" w:sz="4" w:space="0" w:color="auto"/>
              <w:left w:val="nil"/>
              <w:bottom w:val="single" w:sz="4" w:space="0" w:color="auto"/>
              <w:right w:val="single" w:sz="4" w:space="0" w:color="auto"/>
            </w:tcBorders>
            <w:shd w:val="clear" w:color="auto" w:fill="D9D9D9"/>
            <w:vAlign w:val="center"/>
            <w:hideMark/>
          </w:tcPr>
          <w:p w14:paraId="4860F70B"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FR1 FDD</w:t>
            </w:r>
          </w:p>
          <w:p w14:paraId="4AF24C11"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sz w:val="16"/>
                <w:szCs w:val="16"/>
                <w:lang w:eastAsia="ko-KR"/>
              </w:rPr>
              <w:t xml:space="preserve">(2Rx </w:t>
            </w:r>
            <w:r w:rsidRPr="006126B4">
              <w:rPr>
                <w:rFonts w:ascii="Arial" w:eastAsia="Wingdings" w:hAnsi="Arial" w:cs="Arial"/>
                <w:b/>
                <w:sz w:val="16"/>
                <w:szCs w:val="16"/>
                <w:lang w:eastAsia="ko-KR"/>
              </w:rPr>
              <w:sym w:font="Wingdings" w:char="F0E0"/>
            </w:r>
            <w:r w:rsidRPr="006126B4">
              <w:rPr>
                <w:rFonts w:ascii="Arial" w:hAnsi="Arial" w:cs="Arial"/>
                <w:b/>
                <w:bCs/>
                <w:sz w:val="16"/>
                <w:szCs w:val="16"/>
                <w:lang w:eastAsia="ja-JP"/>
              </w:rPr>
              <w:t xml:space="preserve"> 1Rx</w:t>
            </w:r>
            <w:r w:rsidRPr="006126B4">
              <w:rPr>
                <w:rFonts w:ascii="Arial" w:hAnsi="Arial" w:cs="Arial"/>
                <w:b/>
                <w:bCs/>
                <w:sz w:val="16"/>
                <w:szCs w:val="16"/>
                <w:lang w:eastAsia="ko-KR"/>
              </w:rPr>
              <w:t>)</w:t>
            </w:r>
          </w:p>
        </w:tc>
        <w:tc>
          <w:tcPr>
            <w:tcW w:w="1170" w:type="dxa"/>
            <w:tcBorders>
              <w:top w:val="single" w:sz="4" w:space="0" w:color="auto"/>
              <w:left w:val="nil"/>
              <w:bottom w:val="single" w:sz="4" w:space="0" w:color="auto"/>
              <w:right w:val="single" w:sz="4" w:space="0" w:color="auto"/>
            </w:tcBorders>
            <w:shd w:val="clear" w:color="auto" w:fill="D9D9D9"/>
            <w:vAlign w:val="center"/>
            <w:hideMark/>
          </w:tcPr>
          <w:p w14:paraId="4C5D17AB"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FR1 TDD</w:t>
            </w:r>
          </w:p>
          <w:p w14:paraId="2A61DFC0"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sz w:val="16"/>
                <w:szCs w:val="16"/>
                <w:lang w:eastAsia="ko-KR"/>
              </w:rPr>
              <w:t xml:space="preserve">(4Rx </w:t>
            </w:r>
            <w:r w:rsidRPr="006126B4">
              <w:rPr>
                <w:rFonts w:ascii="Arial" w:eastAsia="Wingdings" w:hAnsi="Arial" w:cs="Arial"/>
                <w:b/>
                <w:sz w:val="16"/>
                <w:szCs w:val="16"/>
                <w:lang w:eastAsia="ko-KR"/>
              </w:rPr>
              <w:sym w:font="Wingdings" w:char="F0E0"/>
            </w:r>
            <w:r w:rsidRPr="006126B4">
              <w:rPr>
                <w:rFonts w:ascii="Arial" w:hAnsi="Arial" w:cs="Arial"/>
                <w:sz w:val="16"/>
                <w:szCs w:val="16"/>
                <w:lang w:eastAsia="ja-JP"/>
              </w:rPr>
              <w:t xml:space="preserve"> </w:t>
            </w:r>
            <w:r w:rsidRPr="006126B4">
              <w:rPr>
                <w:rFonts w:ascii="Arial" w:hAnsi="Arial" w:cs="Arial"/>
                <w:b/>
                <w:bCs/>
                <w:sz w:val="16"/>
                <w:szCs w:val="16"/>
                <w:lang w:eastAsia="ja-JP"/>
              </w:rPr>
              <w:t>2Rx</w:t>
            </w:r>
            <w:r w:rsidRPr="006126B4">
              <w:rPr>
                <w:rFonts w:ascii="Arial" w:hAnsi="Arial" w:cs="Arial"/>
                <w:b/>
                <w:bCs/>
                <w:sz w:val="16"/>
                <w:szCs w:val="16"/>
                <w:lang w:eastAsia="ko-KR"/>
              </w:rPr>
              <w:t>)</w:t>
            </w:r>
          </w:p>
        </w:tc>
        <w:tc>
          <w:tcPr>
            <w:tcW w:w="1170" w:type="dxa"/>
            <w:tcBorders>
              <w:top w:val="single" w:sz="4" w:space="0" w:color="auto"/>
              <w:left w:val="nil"/>
              <w:bottom w:val="single" w:sz="4" w:space="0" w:color="auto"/>
              <w:right w:val="single" w:sz="4" w:space="0" w:color="auto"/>
            </w:tcBorders>
            <w:shd w:val="clear" w:color="auto" w:fill="D9D9D9"/>
            <w:hideMark/>
          </w:tcPr>
          <w:p w14:paraId="07D1A06B"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FR1 TDD</w:t>
            </w:r>
          </w:p>
          <w:p w14:paraId="1003F048"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sz w:val="16"/>
                <w:szCs w:val="16"/>
                <w:lang w:eastAsia="ko-KR"/>
              </w:rPr>
              <w:t xml:space="preserve">(4Rx </w:t>
            </w:r>
            <w:r w:rsidRPr="006126B4">
              <w:rPr>
                <w:rFonts w:ascii="Arial" w:eastAsia="Wingdings" w:hAnsi="Arial" w:cs="Arial"/>
                <w:b/>
                <w:sz w:val="16"/>
                <w:szCs w:val="16"/>
                <w:lang w:eastAsia="ko-KR"/>
              </w:rPr>
              <w:sym w:font="Wingdings" w:char="F0E0"/>
            </w:r>
            <w:r w:rsidRPr="006126B4">
              <w:rPr>
                <w:rFonts w:ascii="Arial" w:hAnsi="Arial" w:cs="Arial"/>
                <w:b/>
                <w:bCs/>
                <w:sz w:val="16"/>
                <w:szCs w:val="16"/>
                <w:lang w:eastAsia="ja-JP"/>
              </w:rPr>
              <w:t xml:space="preserve"> 1Rx</w:t>
            </w:r>
            <w:r w:rsidRPr="006126B4">
              <w:rPr>
                <w:rFonts w:ascii="Arial" w:hAnsi="Arial" w:cs="Arial"/>
                <w:b/>
                <w:bCs/>
                <w:sz w:val="16"/>
                <w:szCs w:val="16"/>
                <w:lang w:eastAsia="ko-KR"/>
              </w:rPr>
              <w:t>)</w:t>
            </w:r>
          </w:p>
        </w:tc>
        <w:tc>
          <w:tcPr>
            <w:tcW w:w="1185" w:type="dxa"/>
            <w:tcBorders>
              <w:top w:val="single" w:sz="4" w:space="0" w:color="auto"/>
              <w:left w:val="nil"/>
              <w:bottom w:val="single" w:sz="4" w:space="0" w:color="auto"/>
              <w:right w:val="single" w:sz="4" w:space="0" w:color="auto"/>
            </w:tcBorders>
            <w:shd w:val="clear" w:color="auto" w:fill="D9D9D9"/>
            <w:hideMark/>
          </w:tcPr>
          <w:p w14:paraId="0225B19B"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FR2 TDD</w:t>
            </w:r>
          </w:p>
          <w:p w14:paraId="7B1B4AAA"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sz w:val="16"/>
                <w:szCs w:val="16"/>
                <w:lang w:eastAsia="ko-KR"/>
              </w:rPr>
              <w:t xml:space="preserve">(2Rx </w:t>
            </w:r>
            <w:r w:rsidRPr="006126B4">
              <w:rPr>
                <w:rFonts w:ascii="Arial" w:eastAsia="Wingdings" w:hAnsi="Arial" w:cs="Arial"/>
                <w:b/>
                <w:sz w:val="16"/>
                <w:szCs w:val="16"/>
                <w:lang w:eastAsia="ko-KR"/>
              </w:rPr>
              <w:sym w:font="Wingdings" w:char="F0E0"/>
            </w:r>
            <w:r w:rsidRPr="006126B4">
              <w:rPr>
                <w:rFonts w:ascii="Arial" w:hAnsi="Arial" w:cs="Arial"/>
                <w:b/>
                <w:bCs/>
                <w:sz w:val="16"/>
                <w:szCs w:val="16"/>
                <w:lang w:eastAsia="ja-JP"/>
              </w:rPr>
              <w:t xml:space="preserve"> 1Rx</w:t>
            </w:r>
            <w:r w:rsidRPr="006126B4">
              <w:rPr>
                <w:rFonts w:ascii="Arial" w:hAnsi="Arial" w:cs="Arial"/>
                <w:b/>
                <w:bCs/>
                <w:sz w:val="16"/>
                <w:szCs w:val="16"/>
                <w:lang w:eastAsia="ko-KR"/>
              </w:rPr>
              <w:t>)</w:t>
            </w:r>
          </w:p>
        </w:tc>
      </w:tr>
      <w:tr w:rsidR="006126B4" w:rsidRPr="006126B4" w14:paraId="33D3B9C7"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33E2E197"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RF: Antenna array</w:t>
            </w:r>
          </w:p>
        </w:tc>
        <w:tc>
          <w:tcPr>
            <w:tcW w:w="1170" w:type="dxa"/>
            <w:tcBorders>
              <w:top w:val="nil"/>
              <w:left w:val="nil"/>
              <w:bottom w:val="single" w:sz="4" w:space="0" w:color="auto"/>
              <w:right w:val="single" w:sz="4" w:space="0" w:color="auto"/>
            </w:tcBorders>
            <w:vAlign w:val="center"/>
            <w:hideMark/>
          </w:tcPr>
          <w:p w14:paraId="21F52CAF"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lang w:val="en-US"/>
              </w:rPr>
              <w:t>-</w:t>
            </w:r>
          </w:p>
        </w:tc>
        <w:tc>
          <w:tcPr>
            <w:tcW w:w="1170" w:type="dxa"/>
            <w:tcBorders>
              <w:top w:val="nil"/>
              <w:left w:val="nil"/>
              <w:bottom w:val="single" w:sz="4" w:space="0" w:color="auto"/>
              <w:right w:val="single" w:sz="4" w:space="0" w:color="auto"/>
            </w:tcBorders>
            <w:vAlign w:val="bottom"/>
            <w:hideMark/>
          </w:tcPr>
          <w:p w14:paraId="55BFEC59"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w:t>
            </w:r>
          </w:p>
        </w:tc>
        <w:tc>
          <w:tcPr>
            <w:tcW w:w="1170" w:type="dxa"/>
            <w:tcBorders>
              <w:top w:val="nil"/>
              <w:left w:val="nil"/>
              <w:bottom w:val="single" w:sz="4" w:space="0" w:color="auto"/>
              <w:right w:val="single" w:sz="4" w:space="0" w:color="auto"/>
            </w:tcBorders>
            <w:vAlign w:val="bottom"/>
            <w:hideMark/>
          </w:tcPr>
          <w:p w14:paraId="3EDAE3B4" w14:textId="77777777" w:rsidR="006126B4" w:rsidRPr="006126B4" w:rsidRDefault="006126B4" w:rsidP="00893372">
            <w:pPr>
              <w:spacing w:after="0"/>
              <w:jc w:val="right"/>
              <w:outlineLvl w:val="1"/>
              <w:rPr>
                <w:rFonts w:ascii="Arial" w:hAnsi="Arial" w:cs="Arial"/>
                <w:color w:val="000000"/>
                <w:sz w:val="16"/>
                <w:szCs w:val="16"/>
              </w:rPr>
            </w:pPr>
            <w:r w:rsidRPr="006126B4">
              <w:rPr>
                <w:rFonts w:ascii="Arial" w:hAnsi="Arial" w:cs="Arial"/>
                <w:color w:val="000000"/>
                <w:sz w:val="16"/>
                <w:szCs w:val="16"/>
              </w:rPr>
              <w:t>-</w:t>
            </w:r>
          </w:p>
        </w:tc>
        <w:tc>
          <w:tcPr>
            <w:tcW w:w="1185" w:type="dxa"/>
            <w:tcBorders>
              <w:top w:val="nil"/>
              <w:left w:val="nil"/>
              <w:bottom w:val="single" w:sz="4" w:space="0" w:color="auto"/>
              <w:right w:val="single" w:sz="4" w:space="0" w:color="auto"/>
            </w:tcBorders>
            <w:vAlign w:val="bottom"/>
            <w:hideMark/>
          </w:tcPr>
          <w:p w14:paraId="6E5E5444" w14:textId="77777777" w:rsidR="006126B4" w:rsidRPr="006126B4" w:rsidRDefault="006126B4" w:rsidP="00893372">
            <w:pPr>
              <w:spacing w:after="0"/>
              <w:jc w:val="right"/>
              <w:outlineLvl w:val="1"/>
              <w:rPr>
                <w:rFonts w:ascii="Arial" w:hAnsi="Arial" w:cs="Arial"/>
                <w:color w:val="000000"/>
                <w:sz w:val="16"/>
                <w:szCs w:val="16"/>
              </w:rPr>
            </w:pPr>
            <w:r w:rsidRPr="006126B4">
              <w:rPr>
                <w:rFonts w:ascii="Arial" w:hAnsi="Arial" w:cs="Arial"/>
                <w:color w:val="000000"/>
                <w:sz w:val="16"/>
                <w:szCs w:val="16"/>
              </w:rPr>
              <w:t>18.2%</w:t>
            </w:r>
          </w:p>
        </w:tc>
      </w:tr>
      <w:tr w:rsidR="006126B4" w:rsidRPr="006126B4" w14:paraId="5B48FCF1"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C8AD18C"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 xml:space="preserve">RF: Power amplifier </w:t>
            </w:r>
          </w:p>
        </w:tc>
        <w:tc>
          <w:tcPr>
            <w:tcW w:w="1170" w:type="dxa"/>
            <w:tcBorders>
              <w:top w:val="nil"/>
              <w:left w:val="nil"/>
              <w:bottom w:val="single" w:sz="4" w:space="0" w:color="auto"/>
              <w:right w:val="single" w:sz="4" w:space="0" w:color="auto"/>
            </w:tcBorders>
            <w:vAlign w:val="bottom"/>
            <w:hideMark/>
          </w:tcPr>
          <w:p w14:paraId="5495C1EC"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25.0%</w:t>
            </w:r>
          </w:p>
        </w:tc>
        <w:tc>
          <w:tcPr>
            <w:tcW w:w="1170" w:type="dxa"/>
            <w:tcBorders>
              <w:top w:val="nil"/>
              <w:left w:val="nil"/>
              <w:bottom w:val="single" w:sz="4" w:space="0" w:color="auto"/>
              <w:right w:val="single" w:sz="4" w:space="0" w:color="auto"/>
            </w:tcBorders>
            <w:vAlign w:val="bottom"/>
            <w:hideMark/>
          </w:tcPr>
          <w:p w14:paraId="103D6150"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25.0%</w:t>
            </w:r>
          </w:p>
        </w:tc>
        <w:tc>
          <w:tcPr>
            <w:tcW w:w="1170" w:type="dxa"/>
            <w:tcBorders>
              <w:top w:val="nil"/>
              <w:left w:val="nil"/>
              <w:bottom w:val="single" w:sz="4" w:space="0" w:color="auto"/>
              <w:right w:val="single" w:sz="4" w:space="0" w:color="auto"/>
            </w:tcBorders>
            <w:vAlign w:val="bottom"/>
            <w:hideMark/>
          </w:tcPr>
          <w:p w14:paraId="1DCB0717"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25.0%</w:t>
            </w:r>
          </w:p>
        </w:tc>
        <w:tc>
          <w:tcPr>
            <w:tcW w:w="1185" w:type="dxa"/>
            <w:tcBorders>
              <w:top w:val="nil"/>
              <w:left w:val="nil"/>
              <w:bottom w:val="single" w:sz="4" w:space="0" w:color="auto"/>
              <w:right w:val="single" w:sz="4" w:space="0" w:color="auto"/>
            </w:tcBorders>
            <w:vAlign w:val="bottom"/>
            <w:hideMark/>
          </w:tcPr>
          <w:p w14:paraId="10DBCCB5"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18.0%</w:t>
            </w:r>
          </w:p>
        </w:tc>
      </w:tr>
      <w:tr w:rsidR="006126B4" w:rsidRPr="006126B4" w14:paraId="21CEB146"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A1C8471"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lastRenderedPageBreak/>
              <w:t>RF: Filters</w:t>
            </w:r>
          </w:p>
        </w:tc>
        <w:tc>
          <w:tcPr>
            <w:tcW w:w="1170" w:type="dxa"/>
            <w:tcBorders>
              <w:top w:val="nil"/>
              <w:left w:val="nil"/>
              <w:bottom w:val="single" w:sz="4" w:space="0" w:color="auto"/>
              <w:right w:val="single" w:sz="4" w:space="0" w:color="auto"/>
            </w:tcBorders>
            <w:vAlign w:val="bottom"/>
            <w:hideMark/>
          </w:tcPr>
          <w:p w14:paraId="5311A330"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4.8%</w:t>
            </w:r>
          </w:p>
        </w:tc>
        <w:tc>
          <w:tcPr>
            <w:tcW w:w="1170" w:type="dxa"/>
            <w:tcBorders>
              <w:top w:val="nil"/>
              <w:left w:val="nil"/>
              <w:bottom w:val="single" w:sz="4" w:space="0" w:color="auto"/>
              <w:right w:val="single" w:sz="4" w:space="0" w:color="auto"/>
            </w:tcBorders>
            <w:vAlign w:val="bottom"/>
            <w:hideMark/>
          </w:tcPr>
          <w:p w14:paraId="66AE54DB"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7.6%</w:t>
            </w:r>
          </w:p>
        </w:tc>
        <w:tc>
          <w:tcPr>
            <w:tcW w:w="1170" w:type="dxa"/>
            <w:tcBorders>
              <w:top w:val="nil"/>
              <w:left w:val="nil"/>
              <w:bottom w:val="single" w:sz="4" w:space="0" w:color="auto"/>
              <w:right w:val="single" w:sz="4" w:space="0" w:color="auto"/>
            </w:tcBorders>
            <w:vAlign w:val="bottom"/>
            <w:hideMark/>
          </w:tcPr>
          <w:p w14:paraId="48FA4F64"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3.9%</w:t>
            </w:r>
          </w:p>
        </w:tc>
        <w:tc>
          <w:tcPr>
            <w:tcW w:w="1185" w:type="dxa"/>
            <w:tcBorders>
              <w:top w:val="nil"/>
              <w:left w:val="nil"/>
              <w:bottom w:val="single" w:sz="4" w:space="0" w:color="auto"/>
              <w:right w:val="single" w:sz="4" w:space="0" w:color="auto"/>
            </w:tcBorders>
            <w:vAlign w:val="bottom"/>
            <w:hideMark/>
          </w:tcPr>
          <w:p w14:paraId="45C49681"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4.3%</w:t>
            </w:r>
          </w:p>
        </w:tc>
      </w:tr>
      <w:tr w:rsidR="006126B4" w:rsidRPr="006126B4" w14:paraId="62C9EF3E"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1739F2D"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RF: Transceiver (including LNAs, mixer, and local oscillator)</w:t>
            </w:r>
          </w:p>
        </w:tc>
        <w:tc>
          <w:tcPr>
            <w:tcW w:w="1170" w:type="dxa"/>
            <w:tcBorders>
              <w:top w:val="nil"/>
              <w:left w:val="nil"/>
              <w:bottom w:val="single" w:sz="4" w:space="0" w:color="auto"/>
              <w:right w:val="single" w:sz="4" w:space="0" w:color="auto"/>
            </w:tcBorders>
            <w:vAlign w:val="bottom"/>
            <w:hideMark/>
          </w:tcPr>
          <w:p w14:paraId="1BAE458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25.3%</w:t>
            </w:r>
          </w:p>
        </w:tc>
        <w:tc>
          <w:tcPr>
            <w:tcW w:w="1170" w:type="dxa"/>
            <w:tcBorders>
              <w:top w:val="nil"/>
              <w:left w:val="nil"/>
              <w:bottom w:val="single" w:sz="4" w:space="0" w:color="auto"/>
              <w:right w:val="single" w:sz="4" w:space="0" w:color="auto"/>
            </w:tcBorders>
            <w:vAlign w:val="bottom"/>
            <w:hideMark/>
          </w:tcPr>
          <w:p w14:paraId="07AE577D"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30.4%</w:t>
            </w:r>
          </w:p>
        </w:tc>
        <w:tc>
          <w:tcPr>
            <w:tcW w:w="1170" w:type="dxa"/>
            <w:tcBorders>
              <w:top w:val="nil"/>
              <w:left w:val="nil"/>
              <w:bottom w:val="single" w:sz="4" w:space="0" w:color="auto"/>
              <w:right w:val="single" w:sz="4" w:space="0" w:color="auto"/>
            </w:tcBorders>
            <w:vAlign w:val="bottom"/>
            <w:hideMark/>
          </w:tcPr>
          <w:p w14:paraId="465F0B2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17.8%</w:t>
            </w:r>
          </w:p>
        </w:tc>
        <w:tc>
          <w:tcPr>
            <w:tcW w:w="1185" w:type="dxa"/>
            <w:tcBorders>
              <w:top w:val="nil"/>
              <w:left w:val="nil"/>
              <w:bottom w:val="single" w:sz="4" w:space="0" w:color="auto"/>
              <w:right w:val="single" w:sz="4" w:space="0" w:color="auto"/>
            </w:tcBorders>
            <w:vAlign w:val="bottom"/>
            <w:hideMark/>
          </w:tcPr>
          <w:p w14:paraId="473BF8F0"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23.7%</w:t>
            </w:r>
          </w:p>
        </w:tc>
      </w:tr>
      <w:tr w:rsidR="006126B4" w:rsidRPr="006126B4" w14:paraId="6B438690"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77EC187A"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RF: Duplexer / Switch</w:t>
            </w:r>
          </w:p>
        </w:tc>
        <w:tc>
          <w:tcPr>
            <w:tcW w:w="1170" w:type="dxa"/>
            <w:tcBorders>
              <w:top w:val="nil"/>
              <w:left w:val="nil"/>
              <w:bottom w:val="single" w:sz="4" w:space="0" w:color="auto"/>
              <w:right w:val="single" w:sz="4" w:space="0" w:color="auto"/>
            </w:tcBorders>
            <w:vAlign w:val="bottom"/>
            <w:hideMark/>
          </w:tcPr>
          <w:p w14:paraId="3774034C"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19.6%</w:t>
            </w:r>
          </w:p>
        </w:tc>
        <w:tc>
          <w:tcPr>
            <w:tcW w:w="1170" w:type="dxa"/>
            <w:tcBorders>
              <w:top w:val="nil"/>
              <w:left w:val="nil"/>
              <w:bottom w:val="single" w:sz="4" w:space="0" w:color="auto"/>
              <w:right w:val="single" w:sz="4" w:space="0" w:color="auto"/>
            </w:tcBorders>
            <w:vAlign w:val="bottom"/>
            <w:hideMark/>
          </w:tcPr>
          <w:p w14:paraId="78AF4190"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4.9%</w:t>
            </w:r>
          </w:p>
        </w:tc>
        <w:tc>
          <w:tcPr>
            <w:tcW w:w="1170" w:type="dxa"/>
            <w:tcBorders>
              <w:top w:val="nil"/>
              <w:left w:val="nil"/>
              <w:bottom w:val="single" w:sz="4" w:space="0" w:color="auto"/>
              <w:right w:val="single" w:sz="4" w:space="0" w:color="auto"/>
            </w:tcBorders>
            <w:vAlign w:val="bottom"/>
            <w:hideMark/>
          </w:tcPr>
          <w:p w14:paraId="7673320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4.9%</w:t>
            </w:r>
          </w:p>
        </w:tc>
        <w:tc>
          <w:tcPr>
            <w:tcW w:w="1185" w:type="dxa"/>
            <w:tcBorders>
              <w:top w:val="nil"/>
              <w:left w:val="nil"/>
              <w:bottom w:val="single" w:sz="4" w:space="0" w:color="auto"/>
              <w:right w:val="single" w:sz="4" w:space="0" w:color="auto"/>
            </w:tcBorders>
            <w:vAlign w:val="bottom"/>
            <w:hideMark/>
          </w:tcPr>
          <w:p w14:paraId="3C5385DF"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0.0%</w:t>
            </w:r>
          </w:p>
        </w:tc>
      </w:tr>
      <w:tr w:rsidR="006126B4" w:rsidRPr="006126B4" w14:paraId="1A2859C4"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88E3841" w14:textId="77777777" w:rsidR="006126B4" w:rsidRPr="006126B4" w:rsidRDefault="006126B4" w:rsidP="00893372">
            <w:pPr>
              <w:spacing w:after="0"/>
              <w:outlineLvl w:val="0"/>
              <w:rPr>
                <w:rFonts w:ascii="Arial" w:hAnsi="Arial" w:cs="Arial"/>
                <w:b/>
                <w:bCs/>
                <w:color w:val="000000"/>
                <w:sz w:val="16"/>
                <w:szCs w:val="16"/>
                <w:lang w:val="en-US"/>
              </w:rPr>
            </w:pPr>
            <w:r w:rsidRPr="006126B4">
              <w:rPr>
                <w:rFonts w:ascii="Arial" w:hAnsi="Arial" w:cs="Arial"/>
                <w:b/>
                <w:bCs/>
                <w:color w:val="000000"/>
                <w:sz w:val="16"/>
                <w:szCs w:val="16"/>
                <w:lang w:val="en-US"/>
              </w:rPr>
              <w:t>RF: Total relative cost</w:t>
            </w:r>
          </w:p>
        </w:tc>
        <w:tc>
          <w:tcPr>
            <w:tcW w:w="1170" w:type="dxa"/>
            <w:tcBorders>
              <w:top w:val="nil"/>
              <w:left w:val="nil"/>
              <w:bottom w:val="single" w:sz="4" w:space="0" w:color="auto"/>
              <w:right w:val="single" w:sz="4" w:space="0" w:color="auto"/>
            </w:tcBorders>
            <w:shd w:val="clear" w:color="auto" w:fill="D9D9D9"/>
            <w:vAlign w:val="center"/>
            <w:hideMark/>
          </w:tcPr>
          <w:p w14:paraId="2310C57F"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74.7%</w:t>
            </w:r>
          </w:p>
        </w:tc>
        <w:tc>
          <w:tcPr>
            <w:tcW w:w="1170" w:type="dxa"/>
            <w:tcBorders>
              <w:top w:val="nil"/>
              <w:left w:val="nil"/>
              <w:bottom w:val="single" w:sz="4" w:space="0" w:color="auto"/>
              <w:right w:val="single" w:sz="4" w:space="0" w:color="auto"/>
            </w:tcBorders>
            <w:shd w:val="clear" w:color="auto" w:fill="D9D9D9"/>
            <w:vAlign w:val="center"/>
            <w:hideMark/>
          </w:tcPr>
          <w:p w14:paraId="55754F3C"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67.9%</w:t>
            </w:r>
          </w:p>
        </w:tc>
        <w:tc>
          <w:tcPr>
            <w:tcW w:w="1170" w:type="dxa"/>
            <w:tcBorders>
              <w:top w:val="nil"/>
              <w:left w:val="nil"/>
              <w:bottom w:val="single" w:sz="4" w:space="0" w:color="auto"/>
              <w:right w:val="single" w:sz="4" w:space="0" w:color="auto"/>
            </w:tcBorders>
            <w:shd w:val="clear" w:color="auto" w:fill="D9D9D9"/>
            <w:vAlign w:val="center"/>
            <w:hideMark/>
          </w:tcPr>
          <w:p w14:paraId="106D902F"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51.6%</w:t>
            </w:r>
          </w:p>
        </w:tc>
        <w:tc>
          <w:tcPr>
            <w:tcW w:w="1185" w:type="dxa"/>
            <w:tcBorders>
              <w:top w:val="nil"/>
              <w:left w:val="nil"/>
              <w:bottom w:val="single" w:sz="4" w:space="0" w:color="auto"/>
              <w:right w:val="single" w:sz="4" w:space="0" w:color="auto"/>
            </w:tcBorders>
            <w:shd w:val="clear" w:color="auto" w:fill="D9D9D9"/>
            <w:vAlign w:val="center"/>
            <w:hideMark/>
          </w:tcPr>
          <w:p w14:paraId="56411751" w14:textId="77777777" w:rsidR="006126B4" w:rsidRPr="006126B4" w:rsidRDefault="006126B4" w:rsidP="00893372">
            <w:pPr>
              <w:spacing w:after="0"/>
              <w:jc w:val="right"/>
              <w:outlineLvl w:val="0"/>
              <w:rPr>
                <w:rFonts w:ascii="Arial" w:eastAsia="Batang" w:hAnsi="Arial" w:cs="Arial"/>
                <w:b/>
                <w:color w:val="000000"/>
                <w:sz w:val="16"/>
                <w:szCs w:val="16"/>
              </w:rPr>
            </w:pPr>
            <w:r w:rsidRPr="006126B4">
              <w:rPr>
                <w:rFonts w:ascii="Arial" w:hAnsi="Arial" w:cs="Arial"/>
                <w:b/>
                <w:bCs/>
                <w:color w:val="000000"/>
                <w:sz w:val="16"/>
                <w:szCs w:val="16"/>
              </w:rPr>
              <w:t>64.2%</w:t>
            </w:r>
          </w:p>
        </w:tc>
      </w:tr>
      <w:tr w:rsidR="006126B4" w:rsidRPr="006126B4" w14:paraId="2A6DE9FA"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90877CB"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ADC / DAC</w:t>
            </w:r>
          </w:p>
        </w:tc>
        <w:tc>
          <w:tcPr>
            <w:tcW w:w="1170" w:type="dxa"/>
            <w:tcBorders>
              <w:top w:val="nil"/>
              <w:left w:val="nil"/>
              <w:bottom w:val="single" w:sz="4" w:space="0" w:color="auto"/>
              <w:right w:val="single" w:sz="4" w:space="0" w:color="auto"/>
            </w:tcBorders>
            <w:vAlign w:val="bottom"/>
            <w:hideMark/>
          </w:tcPr>
          <w:p w14:paraId="74E85413"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6.4%</w:t>
            </w:r>
          </w:p>
        </w:tc>
        <w:tc>
          <w:tcPr>
            <w:tcW w:w="1170" w:type="dxa"/>
            <w:tcBorders>
              <w:top w:val="nil"/>
              <w:left w:val="nil"/>
              <w:bottom w:val="single" w:sz="4" w:space="0" w:color="auto"/>
              <w:right w:val="single" w:sz="4" w:space="0" w:color="auto"/>
            </w:tcBorders>
            <w:vAlign w:val="bottom"/>
            <w:hideMark/>
          </w:tcPr>
          <w:p w14:paraId="0FEE58FD"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5.2%</w:t>
            </w:r>
          </w:p>
        </w:tc>
        <w:tc>
          <w:tcPr>
            <w:tcW w:w="1170" w:type="dxa"/>
            <w:tcBorders>
              <w:top w:val="nil"/>
              <w:left w:val="nil"/>
              <w:bottom w:val="single" w:sz="4" w:space="0" w:color="auto"/>
              <w:right w:val="single" w:sz="4" w:space="0" w:color="auto"/>
            </w:tcBorders>
            <w:vAlign w:val="bottom"/>
            <w:hideMark/>
          </w:tcPr>
          <w:p w14:paraId="45D88D98"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3.4%</w:t>
            </w:r>
          </w:p>
        </w:tc>
        <w:tc>
          <w:tcPr>
            <w:tcW w:w="1185" w:type="dxa"/>
            <w:tcBorders>
              <w:top w:val="nil"/>
              <w:left w:val="nil"/>
              <w:bottom w:val="single" w:sz="4" w:space="0" w:color="auto"/>
              <w:right w:val="single" w:sz="4" w:space="0" w:color="auto"/>
            </w:tcBorders>
            <w:vAlign w:val="bottom"/>
            <w:hideMark/>
          </w:tcPr>
          <w:p w14:paraId="1FBCD617"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2.4%</w:t>
            </w:r>
          </w:p>
        </w:tc>
      </w:tr>
      <w:tr w:rsidR="006126B4" w:rsidRPr="006126B4" w14:paraId="1FF9E4B7"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5B5E972"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FFT/IFFT</w:t>
            </w:r>
          </w:p>
        </w:tc>
        <w:tc>
          <w:tcPr>
            <w:tcW w:w="1170" w:type="dxa"/>
            <w:tcBorders>
              <w:top w:val="nil"/>
              <w:left w:val="nil"/>
              <w:bottom w:val="single" w:sz="4" w:space="0" w:color="auto"/>
              <w:right w:val="single" w:sz="4" w:space="0" w:color="auto"/>
            </w:tcBorders>
            <w:vAlign w:val="bottom"/>
            <w:hideMark/>
          </w:tcPr>
          <w:p w14:paraId="3EC99B26"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2.3%</w:t>
            </w:r>
          </w:p>
        </w:tc>
        <w:tc>
          <w:tcPr>
            <w:tcW w:w="1170" w:type="dxa"/>
            <w:tcBorders>
              <w:top w:val="nil"/>
              <w:left w:val="nil"/>
              <w:bottom w:val="single" w:sz="4" w:space="0" w:color="auto"/>
              <w:right w:val="single" w:sz="4" w:space="0" w:color="auto"/>
            </w:tcBorders>
            <w:vAlign w:val="bottom"/>
            <w:hideMark/>
          </w:tcPr>
          <w:p w14:paraId="5751C763"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2.2%</w:t>
            </w:r>
          </w:p>
        </w:tc>
        <w:tc>
          <w:tcPr>
            <w:tcW w:w="1170" w:type="dxa"/>
            <w:tcBorders>
              <w:top w:val="nil"/>
              <w:left w:val="nil"/>
              <w:bottom w:val="single" w:sz="4" w:space="0" w:color="auto"/>
              <w:right w:val="single" w:sz="4" w:space="0" w:color="auto"/>
            </w:tcBorders>
            <w:vAlign w:val="bottom"/>
            <w:hideMark/>
          </w:tcPr>
          <w:p w14:paraId="775AFED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1.3%</w:t>
            </w:r>
          </w:p>
        </w:tc>
        <w:tc>
          <w:tcPr>
            <w:tcW w:w="1185" w:type="dxa"/>
            <w:tcBorders>
              <w:top w:val="nil"/>
              <w:left w:val="nil"/>
              <w:bottom w:val="single" w:sz="4" w:space="0" w:color="auto"/>
              <w:right w:val="single" w:sz="4" w:space="0" w:color="auto"/>
            </w:tcBorders>
            <w:vAlign w:val="bottom"/>
            <w:hideMark/>
          </w:tcPr>
          <w:p w14:paraId="78EFBB85"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2.2%</w:t>
            </w:r>
          </w:p>
        </w:tc>
      </w:tr>
      <w:tr w:rsidR="006126B4" w:rsidRPr="006126B4" w14:paraId="517D0BF8"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0C7FCA6"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Post-FFT data buffering</w:t>
            </w:r>
          </w:p>
        </w:tc>
        <w:tc>
          <w:tcPr>
            <w:tcW w:w="1170" w:type="dxa"/>
            <w:tcBorders>
              <w:top w:val="nil"/>
              <w:left w:val="nil"/>
              <w:bottom w:val="single" w:sz="4" w:space="0" w:color="auto"/>
              <w:right w:val="single" w:sz="4" w:space="0" w:color="auto"/>
            </w:tcBorders>
            <w:vAlign w:val="bottom"/>
            <w:hideMark/>
          </w:tcPr>
          <w:p w14:paraId="233440AD"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5.6%</w:t>
            </w:r>
          </w:p>
        </w:tc>
        <w:tc>
          <w:tcPr>
            <w:tcW w:w="1170" w:type="dxa"/>
            <w:tcBorders>
              <w:top w:val="nil"/>
              <w:left w:val="nil"/>
              <w:bottom w:val="single" w:sz="4" w:space="0" w:color="auto"/>
              <w:right w:val="single" w:sz="4" w:space="0" w:color="auto"/>
            </w:tcBorders>
            <w:vAlign w:val="bottom"/>
            <w:hideMark/>
          </w:tcPr>
          <w:p w14:paraId="26A1F48E"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5.3%</w:t>
            </w:r>
          </w:p>
        </w:tc>
        <w:tc>
          <w:tcPr>
            <w:tcW w:w="1170" w:type="dxa"/>
            <w:tcBorders>
              <w:top w:val="nil"/>
              <w:left w:val="nil"/>
              <w:bottom w:val="single" w:sz="4" w:space="0" w:color="auto"/>
              <w:right w:val="single" w:sz="4" w:space="0" w:color="auto"/>
            </w:tcBorders>
            <w:vAlign w:val="bottom"/>
            <w:hideMark/>
          </w:tcPr>
          <w:p w14:paraId="2E2FBEE8"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3.0%</w:t>
            </w:r>
          </w:p>
        </w:tc>
        <w:tc>
          <w:tcPr>
            <w:tcW w:w="1185" w:type="dxa"/>
            <w:tcBorders>
              <w:top w:val="nil"/>
              <w:left w:val="nil"/>
              <w:bottom w:val="single" w:sz="4" w:space="0" w:color="auto"/>
              <w:right w:val="single" w:sz="4" w:space="0" w:color="auto"/>
            </w:tcBorders>
            <w:vAlign w:val="bottom"/>
            <w:hideMark/>
          </w:tcPr>
          <w:p w14:paraId="78BBA385"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6.0%</w:t>
            </w:r>
          </w:p>
        </w:tc>
      </w:tr>
      <w:tr w:rsidR="006126B4" w:rsidRPr="006126B4" w14:paraId="67C95360"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4540FD3D"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Receiver processing block</w:t>
            </w:r>
          </w:p>
        </w:tc>
        <w:tc>
          <w:tcPr>
            <w:tcW w:w="1170" w:type="dxa"/>
            <w:tcBorders>
              <w:top w:val="nil"/>
              <w:left w:val="nil"/>
              <w:bottom w:val="single" w:sz="4" w:space="0" w:color="auto"/>
              <w:right w:val="single" w:sz="4" w:space="0" w:color="auto"/>
            </w:tcBorders>
            <w:vAlign w:val="bottom"/>
            <w:hideMark/>
          </w:tcPr>
          <w:p w14:paraId="693FE653"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13.7%</w:t>
            </w:r>
          </w:p>
        </w:tc>
        <w:tc>
          <w:tcPr>
            <w:tcW w:w="1170" w:type="dxa"/>
            <w:tcBorders>
              <w:top w:val="nil"/>
              <w:left w:val="nil"/>
              <w:bottom w:val="single" w:sz="4" w:space="0" w:color="auto"/>
              <w:right w:val="single" w:sz="4" w:space="0" w:color="auto"/>
            </w:tcBorders>
            <w:vAlign w:val="bottom"/>
            <w:hideMark/>
          </w:tcPr>
          <w:p w14:paraId="5373DDD6"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15.7%</w:t>
            </w:r>
          </w:p>
        </w:tc>
        <w:tc>
          <w:tcPr>
            <w:tcW w:w="1170" w:type="dxa"/>
            <w:tcBorders>
              <w:top w:val="nil"/>
              <w:left w:val="nil"/>
              <w:bottom w:val="single" w:sz="4" w:space="0" w:color="auto"/>
              <w:right w:val="single" w:sz="4" w:space="0" w:color="auto"/>
            </w:tcBorders>
            <w:vAlign w:val="bottom"/>
            <w:hideMark/>
          </w:tcPr>
          <w:p w14:paraId="1F1232DC"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9.0%</w:t>
            </w:r>
          </w:p>
        </w:tc>
        <w:tc>
          <w:tcPr>
            <w:tcW w:w="1185" w:type="dxa"/>
            <w:tcBorders>
              <w:top w:val="nil"/>
              <w:left w:val="nil"/>
              <w:bottom w:val="single" w:sz="4" w:space="0" w:color="auto"/>
              <w:right w:val="single" w:sz="4" w:space="0" w:color="auto"/>
            </w:tcBorders>
            <w:vAlign w:val="bottom"/>
            <w:hideMark/>
          </w:tcPr>
          <w:p w14:paraId="1835ECC7"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13.3%</w:t>
            </w:r>
          </w:p>
        </w:tc>
      </w:tr>
      <w:tr w:rsidR="006126B4" w:rsidRPr="006126B4" w14:paraId="774FE8DA"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319075D9"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LDPC decoding</w:t>
            </w:r>
          </w:p>
        </w:tc>
        <w:tc>
          <w:tcPr>
            <w:tcW w:w="1170" w:type="dxa"/>
            <w:tcBorders>
              <w:top w:val="nil"/>
              <w:left w:val="nil"/>
              <w:bottom w:val="single" w:sz="4" w:space="0" w:color="auto"/>
              <w:right w:val="single" w:sz="4" w:space="0" w:color="auto"/>
            </w:tcBorders>
            <w:vAlign w:val="bottom"/>
            <w:hideMark/>
          </w:tcPr>
          <w:p w14:paraId="0E05D5DC"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9.7%</w:t>
            </w:r>
          </w:p>
        </w:tc>
        <w:tc>
          <w:tcPr>
            <w:tcW w:w="1170" w:type="dxa"/>
            <w:tcBorders>
              <w:top w:val="nil"/>
              <w:left w:val="nil"/>
              <w:bottom w:val="single" w:sz="4" w:space="0" w:color="auto"/>
              <w:right w:val="single" w:sz="4" w:space="0" w:color="auto"/>
            </w:tcBorders>
            <w:vAlign w:val="bottom"/>
            <w:hideMark/>
          </w:tcPr>
          <w:p w14:paraId="10EA0C1A"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8.7%</w:t>
            </w:r>
          </w:p>
        </w:tc>
        <w:tc>
          <w:tcPr>
            <w:tcW w:w="1170" w:type="dxa"/>
            <w:tcBorders>
              <w:top w:val="nil"/>
              <w:left w:val="nil"/>
              <w:bottom w:val="single" w:sz="4" w:space="0" w:color="auto"/>
              <w:right w:val="single" w:sz="4" w:space="0" w:color="auto"/>
            </w:tcBorders>
            <w:vAlign w:val="bottom"/>
            <w:hideMark/>
          </w:tcPr>
          <w:p w14:paraId="7DDEF73E"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8.6%</w:t>
            </w:r>
          </w:p>
        </w:tc>
        <w:tc>
          <w:tcPr>
            <w:tcW w:w="1185" w:type="dxa"/>
            <w:tcBorders>
              <w:top w:val="nil"/>
              <w:left w:val="nil"/>
              <w:bottom w:val="single" w:sz="4" w:space="0" w:color="auto"/>
              <w:right w:val="single" w:sz="4" w:space="0" w:color="auto"/>
            </w:tcBorders>
            <w:vAlign w:val="bottom"/>
            <w:hideMark/>
          </w:tcPr>
          <w:p w14:paraId="6DBFEF65"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8.6%</w:t>
            </w:r>
          </w:p>
        </w:tc>
      </w:tr>
      <w:tr w:rsidR="006126B4" w:rsidRPr="006126B4" w14:paraId="2D519B03"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4FA4FA71"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HARQ buffer</w:t>
            </w:r>
          </w:p>
        </w:tc>
        <w:tc>
          <w:tcPr>
            <w:tcW w:w="1170" w:type="dxa"/>
            <w:tcBorders>
              <w:top w:val="nil"/>
              <w:left w:val="nil"/>
              <w:bottom w:val="single" w:sz="4" w:space="0" w:color="auto"/>
              <w:right w:val="single" w:sz="4" w:space="0" w:color="auto"/>
            </w:tcBorders>
            <w:vAlign w:val="bottom"/>
            <w:hideMark/>
          </w:tcPr>
          <w:p w14:paraId="072895A6"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13.6%</w:t>
            </w:r>
          </w:p>
        </w:tc>
        <w:tc>
          <w:tcPr>
            <w:tcW w:w="1170" w:type="dxa"/>
            <w:tcBorders>
              <w:top w:val="nil"/>
              <w:left w:val="nil"/>
              <w:bottom w:val="single" w:sz="4" w:space="0" w:color="auto"/>
              <w:right w:val="single" w:sz="4" w:space="0" w:color="auto"/>
            </w:tcBorders>
            <w:vAlign w:val="bottom"/>
            <w:hideMark/>
          </w:tcPr>
          <w:p w14:paraId="3B01B78E"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11.6%</w:t>
            </w:r>
          </w:p>
        </w:tc>
        <w:tc>
          <w:tcPr>
            <w:tcW w:w="1170" w:type="dxa"/>
            <w:tcBorders>
              <w:top w:val="nil"/>
              <w:left w:val="nil"/>
              <w:bottom w:val="single" w:sz="4" w:space="0" w:color="auto"/>
              <w:right w:val="single" w:sz="4" w:space="0" w:color="auto"/>
            </w:tcBorders>
            <w:vAlign w:val="bottom"/>
            <w:hideMark/>
          </w:tcPr>
          <w:p w14:paraId="4BEB898B"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11.4%</w:t>
            </w:r>
          </w:p>
        </w:tc>
        <w:tc>
          <w:tcPr>
            <w:tcW w:w="1185" w:type="dxa"/>
            <w:tcBorders>
              <w:top w:val="nil"/>
              <w:left w:val="nil"/>
              <w:bottom w:val="single" w:sz="4" w:space="0" w:color="auto"/>
              <w:right w:val="single" w:sz="4" w:space="0" w:color="auto"/>
            </w:tcBorders>
            <w:vAlign w:val="bottom"/>
            <w:hideMark/>
          </w:tcPr>
          <w:p w14:paraId="260873DD"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10.5%</w:t>
            </w:r>
          </w:p>
        </w:tc>
      </w:tr>
      <w:tr w:rsidR="006126B4" w:rsidRPr="006126B4" w14:paraId="12A6E7ED"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2EB47EA2"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DL control processing &amp; decoder</w:t>
            </w:r>
          </w:p>
        </w:tc>
        <w:tc>
          <w:tcPr>
            <w:tcW w:w="1170" w:type="dxa"/>
            <w:tcBorders>
              <w:top w:val="nil"/>
              <w:left w:val="nil"/>
              <w:bottom w:val="single" w:sz="4" w:space="0" w:color="auto"/>
              <w:right w:val="single" w:sz="4" w:space="0" w:color="auto"/>
            </w:tcBorders>
            <w:vAlign w:val="bottom"/>
            <w:hideMark/>
          </w:tcPr>
          <w:p w14:paraId="5D6ADDB3"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4.9%</w:t>
            </w:r>
          </w:p>
        </w:tc>
        <w:tc>
          <w:tcPr>
            <w:tcW w:w="1170" w:type="dxa"/>
            <w:tcBorders>
              <w:top w:val="nil"/>
              <w:left w:val="nil"/>
              <w:bottom w:val="single" w:sz="4" w:space="0" w:color="auto"/>
              <w:right w:val="single" w:sz="4" w:space="0" w:color="auto"/>
            </w:tcBorders>
            <w:vAlign w:val="bottom"/>
            <w:hideMark/>
          </w:tcPr>
          <w:p w14:paraId="67C7F57D"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4.0%</w:t>
            </w:r>
          </w:p>
        </w:tc>
        <w:tc>
          <w:tcPr>
            <w:tcW w:w="1170" w:type="dxa"/>
            <w:tcBorders>
              <w:top w:val="nil"/>
              <w:left w:val="nil"/>
              <w:bottom w:val="single" w:sz="4" w:space="0" w:color="auto"/>
              <w:right w:val="single" w:sz="4" w:space="0" w:color="auto"/>
            </w:tcBorders>
            <w:vAlign w:val="bottom"/>
            <w:hideMark/>
          </w:tcPr>
          <w:p w14:paraId="7D21B7F7"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3.9%</w:t>
            </w:r>
          </w:p>
        </w:tc>
        <w:tc>
          <w:tcPr>
            <w:tcW w:w="1185" w:type="dxa"/>
            <w:tcBorders>
              <w:top w:val="nil"/>
              <w:left w:val="nil"/>
              <w:bottom w:val="single" w:sz="4" w:space="0" w:color="auto"/>
              <w:right w:val="single" w:sz="4" w:space="0" w:color="auto"/>
            </w:tcBorders>
            <w:vAlign w:val="bottom"/>
            <w:hideMark/>
          </w:tcPr>
          <w:p w14:paraId="119B6CBA"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4.9%</w:t>
            </w:r>
          </w:p>
        </w:tc>
      </w:tr>
      <w:tr w:rsidR="006126B4" w:rsidRPr="006126B4" w14:paraId="467C4AB3"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281C2619"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Synchronization / cell search block</w:t>
            </w:r>
          </w:p>
        </w:tc>
        <w:tc>
          <w:tcPr>
            <w:tcW w:w="1170" w:type="dxa"/>
            <w:tcBorders>
              <w:top w:val="nil"/>
              <w:left w:val="nil"/>
              <w:bottom w:val="single" w:sz="4" w:space="0" w:color="auto"/>
              <w:right w:val="single" w:sz="4" w:space="0" w:color="auto"/>
            </w:tcBorders>
            <w:vAlign w:val="bottom"/>
            <w:hideMark/>
          </w:tcPr>
          <w:p w14:paraId="5AEE4CFF"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5.1%</w:t>
            </w:r>
          </w:p>
        </w:tc>
        <w:tc>
          <w:tcPr>
            <w:tcW w:w="1170" w:type="dxa"/>
            <w:tcBorders>
              <w:top w:val="nil"/>
              <w:left w:val="nil"/>
              <w:bottom w:val="single" w:sz="4" w:space="0" w:color="auto"/>
              <w:right w:val="single" w:sz="4" w:space="0" w:color="auto"/>
            </w:tcBorders>
            <w:vAlign w:val="bottom"/>
            <w:hideMark/>
          </w:tcPr>
          <w:p w14:paraId="030CAA28"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4.8%</w:t>
            </w:r>
          </w:p>
        </w:tc>
        <w:tc>
          <w:tcPr>
            <w:tcW w:w="1170" w:type="dxa"/>
            <w:tcBorders>
              <w:top w:val="nil"/>
              <w:left w:val="nil"/>
              <w:bottom w:val="single" w:sz="4" w:space="0" w:color="auto"/>
              <w:right w:val="single" w:sz="4" w:space="0" w:color="auto"/>
            </w:tcBorders>
            <w:vAlign w:val="bottom"/>
            <w:hideMark/>
          </w:tcPr>
          <w:p w14:paraId="17E87A01"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2.7%</w:t>
            </w:r>
          </w:p>
        </w:tc>
        <w:tc>
          <w:tcPr>
            <w:tcW w:w="1185" w:type="dxa"/>
            <w:tcBorders>
              <w:top w:val="nil"/>
              <w:left w:val="nil"/>
              <w:bottom w:val="single" w:sz="4" w:space="0" w:color="auto"/>
              <w:right w:val="single" w:sz="4" w:space="0" w:color="auto"/>
            </w:tcBorders>
            <w:vAlign w:val="bottom"/>
            <w:hideMark/>
          </w:tcPr>
          <w:p w14:paraId="4C9D380E"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3.8%</w:t>
            </w:r>
          </w:p>
        </w:tc>
      </w:tr>
      <w:tr w:rsidR="006126B4" w:rsidRPr="006126B4" w14:paraId="62B9A8ED"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294A9829"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UL processing block</w:t>
            </w:r>
          </w:p>
        </w:tc>
        <w:tc>
          <w:tcPr>
            <w:tcW w:w="1170" w:type="dxa"/>
            <w:tcBorders>
              <w:top w:val="nil"/>
              <w:left w:val="nil"/>
              <w:bottom w:val="single" w:sz="4" w:space="0" w:color="auto"/>
              <w:right w:val="single" w:sz="4" w:space="0" w:color="auto"/>
            </w:tcBorders>
            <w:vAlign w:val="bottom"/>
            <w:hideMark/>
          </w:tcPr>
          <w:p w14:paraId="2DBC1C4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5.0%</w:t>
            </w:r>
          </w:p>
        </w:tc>
        <w:tc>
          <w:tcPr>
            <w:tcW w:w="1170" w:type="dxa"/>
            <w:tcBorders>
              <w:top w:val="nil"/>
              <w:left w:val="nil"/>
              <w:bottom w:val="single" w:sz="4" w:space="0" w:color="auto"/>
              <w:right w:val="single" w:sz="4" w:space="0" w:color="auto"/>
            </w:tcBorders>
            <w:vAlign w:val="bottom"/>
            <w:hideMark/>
          </w:tcPr>
          <w:p w14:paraId="2495E99F"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5.0%</w:t>
            </w:r>
          </w:p>
        </w:tc>
        <w:tc>
          <w:tcPr>
            <w:tcW w:w="1170" w:type="dxa"/>
            <w:tcBorders>
              <w:top w:val="nil"/>
              <w:left w:val="nil"/>
              <w:bottom w:val="single" w:sz="4" w:space="0" w:color="auto"/>
              <w:right w:val="single" w:sz="4" w:space="0" w:color="auto"/>
            </w:tcBorders>
            <w:vAlign w:val="bottom"/>
            <w:hideMark/>
          </w:tcPr>
          <w:p w14:paraId="26304F15"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5.0%</w:t>
            </w:r>
          </w:p>
        </w:tc>
        <w:tc>
          <w:tcPr>
            <w:tcW w:w="1185" w:type="dxa"/>
            <w:tcBorders>
              <w:top w:val="nil"/>
              <w:left w:val="nil"/>
              <w:bottom w:val="single" w:sz="4" w:space="0" w:color="auto"/>
              <w:right w:val="single" w:sz="4" w:space="0" w:color="auto"/>
            </w:tcBorders>
            <w:vAlign w:val="bottom"/>
            <w:hideMark/>
          </w:tcPr>
          <w:p w14:paraId="265695B3"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7.0%</w:t>
            </w:r>
          </w:p>
        </w:tc>
      </w:tr>
      <w:tr w:rsidR="006126B4" w:rsidRPr="006126B4" w14:paraId="1C9C76C8"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07926F15"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MIMO specific processing blocks</w:t>
            </w:r>
          </w:p>
        </w:tc>
        <w:tc>
          <w:tcPr>
            <w:tcW w:w="1170" w:type="dxa"/>
            <w:tcBorders>
              <w:top w:val="nil"/>
              <w:left w:val="nil"/>
              <w:bottom w:val="single" w:sz="4" w:space="0" w:color="auto"/>
              <w:right w:val="single" w:sz="4" w:space="0" w:color="auto"/>
            </w:tcBorders>
            <w:vAlign w:val="bottom"/>
            <w:hideMark/>
          </w:tcPr>
          <w:p w14:paraId="17BC2A16"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8.2%</w:t>
            </w:r>
          </w:p>
        </w:tc>
        <w:tc>
          <w:tcPr>
            <w:tcW w:w="1170" w:type="dxa"/>
            <w:tcBorders>
              <w:top w:val="nil"/>
              <w:left w:val="nil"/>
              <w:bottom w:val="single" w:sz="4" w:space="0" w:color="auto"/>
              <w:right w:val="single" w:sz="4" w:space="0" w:color="auto"/>
            </w:tcBorders>
            <w:vAlign w:val="bottom"/>
            <w:hideMark/>
          </w:tcPr>
          <w:p w14:paraId="28A73CF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7.9%</w:t>
            </w:r>
          </w:p>
        </w:tc>
        <w:tc>
          <w:tcPr>
            <w:tcW w:w="1170" w:type="dxa"/>
            <w:tcBorders>
              <w:top w:val="nil"/>
              <w:left w:val="nil"/>
              <w:bottom w:val="single" w:sz="4" w:space="0" w:color="auto"/>
              <w:right w:val="single" w:sz="4" w:space="0" w:color="auto"/>
            </w:tcBorders>
            <w:vAlign w:val="bottom"/>
            <w:hideMark/>
          </w:tcPr>
          <w:p w14:paraId="32DAF207"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7.3%</w:t>
            </w:r>
          </w:p>
        </w:tc>
        <w:tc>
          <w:tcPr>
            <w:tcW w:w="1185" w:type="dxa"/>
            <w:tcBorders>
              <w:top w:val="nil"/>
              <w:left w:val="nil"/>
              <w:bottom w:val="single" w:sz="4" w:space="0" w:color="auto"/>
              <w:right w:val="single" w:sz="4" w:space="0" w:color="auto"/>
            </w:tcBorders>
            <w:vAlign w:val="bottom"/>
            <w:hideMark/>
          </w:tcPr>
          <w:p w14:paraId="1483BAA8"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15.8%</w:t>
            </w:r>
          </w:p>
        </w:tc>
      </w:tr>
      <w:tr w:rsidR="006126B4" w:rsidRPr="006126B4" w14:paraId="114C9FC0"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39858F87" w14:textId="77777777" w:rsidR="006126B4" w:rsidRPr="006126B4" w:rsidRDefault="006126B4" w:rsidP="00893372">
            <w:pPr>
              <w:spacing w:after="0"/>
              <w:outlineLvl w:val="0"/>
              <w:rPr>
                <w:rFonts w:ascii="Arial" w:hAnsi="Arial" w:cs="Arial"/>
                <w:b/>
                <w:bCs/>
                <w:color w:val="000000"/>
                <w:sz w:val="16"/>
                <w:szCs w:val="16"/>
                <w:lang w:val="en-US"/>
              </w:rPr>
            </w:pPr>
            <w:r w:rsidRPr="006126B4">
              <w:rPr>
                <w:rFonts w:ascii="Arial" w:hAnsi="Arial" w:cs="Arial"/>
                <w:b/>
                <w:bCs/>
                <w:color w:val="000000"/>
                <w:sz w:val="16"/>
                <w:szCs w:val="16"/>
                <w:lang w:val="en-US"/>
              </w:rPr>
              <w:t>BB: Total relative cost</w:t>
            </w:r>
          </w:p>
        </w:tc>
        <w:tc>
          <w:tcPr>
            <w:tcW w:w="1170" w:type="dxa"/>
            <w:tcBorders>
              <w:top w:val="nil"/>
              <w:left w:val="nil"/>
              <w:bottom w:val="single" w:sz="4" w:space="0" w:color="auto"/>
              <w:right w:val="single" w:sz="4" w:space="0" w:color="auto"/>
            </w:tcBorders>
            <w:shd w:val="clear" w:color="auto" w:fill="D9D9D9"/>
            <w:vAlign w:val="center"/>
            <w:hideMark/>
          </w:tcPr>
          <w:p w14:paraId="53E002B6"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74.4%</w:t>
            </w:r>
          </w:p>
        </w:tc>
        <w:tc>
          <w:tcPr>
            <w:tcW w:w="1170" w:type="dxa"/>
            <w:tcBorders>
              <w:top w:val="nil"/>
              <w:left w:val="nil"/>
              <w:bottom w:val="single" w:sz="4" w:space="0" w:color="auto"/>
              <w:right w:val="single" w:sz="4" w:space="0" w:color="auto"/>
            </w:tcBorders>
            <w:shd w:val="clear" w:color="auto" w:fill="D9D9D9"/>
            <w:vAlign w:val="center"/>
            <w:hideMark/>
          </w:tcPr>
          <w:p w14:paraId="53D4E3B2"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70.4%</w:t>
            </w:r>
          </w:p>
        </w:tc>
        <w:tc>
          <w:tcPr>
            <w:tcW w:w="1170" w:type="dxa"/>
            <w:tcBorders>
              <w:top w:val="nil"/>
              <w:left w:val="nil"/>
              <w:bottom w:val="single" w:sz="4" w:space="0" w:color="auto"/>
              <w:right w:val="single" w:sz="4" w:space="0" w:color="auto"/>
            </w:tcBorders>
            <w:shd w:val="clear" w:color="auto" w:fill="D9D9D9"/>
            <w:vAlign w:val="center"/>
            <w:hideMark/>
          </w:tcPr>
          <w:p w14:paraId="29300CDD"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55.7%</w:t>
            </w:r>
          </w:p>
        </w:tc>
        <w:tc>
          <w:tcPr>
            <w:tcW w:w="1185" w:type="dxa"/>
            <w:tcBorders>
              <w:top w:val="nil"/>
              <w:left w:val="nil"/>
              <w:bottom w:val="single" w:sz="4" w:space="0" w:color="auto"/>
              <w:right w:val="single" w:sz="4" w:space="0" w:color="auto"/>
            </w:tcBorders>
            <w:shd w:val="clear" w:color="auto" w:fill="D9D9D9"/>
            <w:vAlign w:val="center"/>
            <w:hideMark/>
          </w:tcPr>
          <w:p w14:paraId="336A5506" w14:textId="77777777" w:rsidR="006126B4" w:rsidRPr="006126B4" w:rsidRDefault="006126B4" w:rsidP="00893372">
            <w:pPr>
              <w:spacing w:after="0"/>
              <w:jc w:val="right"/>
              <w:outlineLvl w:val="0"/>
              <w:rPr>
                <w:rFonts w:ascii="Arial" w:eastAsia="Batang" w:hAnsi="Arial" w:cs="Arial"/>
                <w:b/>
                <w:color w:val="000000"/>
                <w:sz w:val="16"/>
                <w:szCs w:val="16"/>
              </w:rPr>
            </w:pPr>
            <w:r w:rsidRPr="006126B4">
              <w:rPr>
                <w:rFonts w:ascii="Arial" w:hAnsi="Arial" w:cs="Arial"/>
                <w:b/>
                <w:bCs/>
                <w:color w:val="000000"/>
                <w:sz w:val="16"/>
                <w:szCs w:val="16"/>
              </w:rPr>
              <w:t>74.5%</w:t>
            </w:r>
          </w:p>
        </w:tc>
      </w:tr>
      <w:tr w:rsidR="006126B4" w:rsidRPr="006126B4" w14:paraId="165B0F1C"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73FB79"/>
            <w:vAlign w:val="center"/>
            <w:hideMark/>
          </w:tcPr>
          <w:p w14:paraId="439930B0"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RF+BB: Total relative cost</w:t>
            </w:r>
          </w:p>
        </w:tc>
        <w:tc>
          <w:tcPr>
            <w:tcW w:w="1170" w:type="dxa"/>
            <w:tcBorders>
              <w:top w:val="nil"/>
              <w:left w:val="nil"/>
              <w:bottom w:val="single" w:sz="4" w:space="0" w:color="auto"/>
              <w:right w:val="single" w:sz="4" w:space="0" w:color="auto"/>
            </w:tcBorders>
            <w:shd w:val="clear" w:color="auto" w:fill="73FB79"/>
            <w:vAlign w:val="center"/>
            <w:hideMark/>
          </w:tcPr>
          <w:p w14:paraId="66EDA2A8" w14:textId="77777777" w:rsidR="006126B4" w:rsidRPr="006126B4" w:rsidRDefault="006126B4" w:rsidP="00893372">
            <w:pPr>
              <w:spacing w:after="0"/>
              <w:jc w:val="right"/>
              <w:rPr>
                <w:rFonts w:ascii="Arial" w:hAnsi="Arial" w:cs="Arial"/>
                <w:b/>
                <w:bCs/>
                <w:color w:val="000000"/>
                <w:sz w:val="16"/>
                <w:szCs w:val="16"/>
                <w:lang w:val="en-US"/>
              </w:rPr>
            </w:pPr>
            <w:r w:rsidRPr="006126B4">
              <w:rPr>
                <w:rFonts w:ascii="Arial" w:hAnsi="Arial" w:cs="Arial"/>
                <w:b/>
                <w:bCs/>
                <w:color w:val="000000"/>
                <w:sz w:val="16"/>
                <w:szCs w:val="16"/>
              </w:rPr>
              <w:t>74.5%</w:t>
            </w:r>
          </w:p>
        </w:tc>
        <w:tc>
          <w:tcPr>
            <w:tcW w:w="1170" w:type="dxa"/>
            <w:tcBorders>
              <w:top w:val="nil"/>
              <w:left w:val="nil"/>
              <w:bottom w:val="single" w:sz="4" w:space="0" w:color="auto"/>
              <w:right w:val="single" w:sz="4" w:space="0" w:color="auto"/>
            </w:tcBorders>
            <w:shd w:val="clear" w:color="auto" w:fill="FF7E79"/>
            <w:vAlign w:val="center"/>
            <w:hideMark/>
          </w:tcPr>
          <w:p w14:paraId="4585F540" w14:textId="77777777" w:rsidR="006126B4" w:rsidRPr="006126B4" w:rsidRDefault="006126B4" w:rsidP="00893372">
            <w:pPr>
              <w:spacing w:after="0"/>
              <w:jc w:val="right"/>
              <w:rPr>
                <w:rFonts w:ascii="Arial" w:hAnsi="Arial" w:cs="Arial"/>
                <w:b/>
                <w:bCs/>
                <w:color w:val="000000"/>
                <w:sz w:val="16"/>
                <w:szCs w:val="16"/>
                <w:lang w:val="en-US"/>
              </w:rPr>
            </w:pPr>
            <w:r w:rsidRPr="006126B4">
              <w:rPr>
                <w:rFonts w:ascii="Arial" w:hAnsi="Arial" w:cs="Arial"/>
                <w:b/>
                <w:bCs/>
                <w:color w:val="000000"/>
                <w:sz w:val="16"/>
                <w:szCs w:val="16"/>
              </w:rPr>
              <w:t>69.4%</w:t>
            </w:r>
          </w:p>
        </w:tc>
        <w:tc>
          <w:tcPr>
            <w:tcW w:w="1170" w:type="dxa"/>
            <w:tcBorders>
              <w:top w:val="nil"/>
              <w:left w:val="nil"/>
              <w:bottom w:val="single" w:sz="4" w:space="0" w:color="auto"/>
              <w:right w:val="single" w:sz="4" w:space="0" w:color="auto"/>
            </w:tcBorders>
            <w:shd w:val="clear" w:color="auto" w:fill="FF7E79"/>
            <w:vAlign w:val="center"/>
            <w:hideMark/>
          </w:tcPr>
          <w:p w14:paraId="3F1E7982" w14:textId="77777777" w:rsidR="006126B4" w:rsidRPr="006126B4" w:rsidRDefault="006126B4" w:rsidP="00893372">
            <w:pPr>
              <w:spacing w:after="0"/>
              <w:jc w:val="right"/>
              <w:rPr>
                <w:rFonts w:ascii="Arial" w:hAnsi="Arial" w:cs="Arial"/>
                <w:b/>
                <w:bCs/>
                <w:color w:val="000000"/>
                <w:sz w:val="16"/>
                <w:szCs w:val="16"/>
                <w:lang w:val="en-US"/>
              </w:rPr>
            </w:pPr>
            <w:r w:rsidRPr="006126B4">
              <w:rPr>
                <w:rFonts w:ascii="Arial" w:hAnsi="Arial" w:cs="Arial"/>
                <w:b/>
                <w:bCs/>
                <w:color w:val="000000"/>
                <w:sz w:val="16"/>
                <w:szCs w:val="16"/>
              </w:rPr>
              <w:t>54.0%</w:t>
            </w:r>
          </w:p>
        </w:tc>
        <w:tc>
          <w:tcPr>
            <w:tcW w:w="1185" w:type="dxa"/>
            <w:tcBorders>
              <w:top w:val="nil"/>
              <w:left w:val="nil"/>
              <w:bottom w:val="single" w:sz="4" w:space="0" w:color="auto"/>
              <w:right w:val="single" w:sz="4" w:space="0" w:color="auto"/>
            </w:tcBorders>
            <w:shd w:val="clear" w:color="auto" w:fill="73FB79"/>
            <w:vAlign w:val="center"/>
            <w:hideMark/>
          </w:tcPr>
          <w:p w14:paraId="0F28413A" w14:textId="77777777" w:rsidR="006126B4" w:rsidRPr="006126B4" w:rsidRDefault="006126B4" w:rsidP="00893372">
            <w:pPr>
              <w:spacing w:after="0"/>
              <w:jc w:val="right"/>
              <w:rPr>
                <w:rFonts w:ascii="Arial" w:eastAsia="Batang" w:hAnsi="Arial" w:cs="Arial"/>
                <w:b/>
                <w:color w:val="000000"/>
                <w:sz w:val="16"/>
                <w:szCs w:val="16"/>
              </w:rPr>
            </w:pPr>
            <w:r w:rsidRPr="006126B4">
              <w:rPr>
                <w:rFonts w:ascii="Arial" w:hAnsi="Arial" w:cs="Arial"/>
                <w:b/>
                <w:bCs/>
                <w:color w:val="000000"/>
                <w:sz w:val="16"/>
                <w:szCs w:val="16"/>
              </w:rPr>
              <w:t>69.4%</w:t>
            </w:r>
          </w:p>
        </w:tc>
      </w:tr>
    </w:tbl>
    <w:p w14:paraId="412711C1" w14:textId="77777777" w:rsidR="007C0951" w:rsidRDefault="007C0951" w:rsidP="006126B4">
      <w:pPr>
        <w:pStyle w:val="BodyText"/>
        <w:spacing w:before="120"/>
        <w:rPr>
          <w:rFonts w:eastAsia="SimSun" w:cs="Arial"/>
          <w:sz w:val="20"/>
          <w:szCs w:val="20"/>
          <w:lang w:val="en-GB" w:eastAsia="en-US"/>
        </w:rPr>
      </w:pPr>
    </w:p>
    <w:p w14:paraId="3E5F7220" w14:textId="03FAA20A" w:rsidR="006126B4" w:rsidRDefault="006126B4" w:rsidP="006126B4">
      <w:pPr>
        <w:pStyle w:val="BodyText"/>
        <w:spacing w:before="120"/>
        <w:rPr>
          <w:rFonts w:eastAsia="SimSun" w:cs="Arial"/>
          <w:sz w:val="20"/>
          <w:szCs w:val="20"/>
          <w:lang w:val="en-GB" w:eastAsia="en-US"/>
        </w:rPr>
      </w:pPr>
      <w:r w:rsidRPr="006126B4">
        <w:rPr>
          <w:rFonts w:eastAsia="SimSun" w:cs="Arial"/>
          <w:sz w:val="20"/>
          <w:szCs w:val="20"/>
          <w:lang w:val="en-GB" w:eastAsia="en-US"/>
        </w:rPr>
        <w:t xml:space="preserve">As </w:t>
      </w:r>
      <w:r>
        <w:rPr>
          <w:rFonts w:eastAsia="SimSun" w:cs="Arial"/>
          <w:sz w:val="20"/>
          <w:szCs w:val="20"/>
          <w:lang w:val="en-GB" w:eastAsia="en-US"/>
        </w:rPr>
        <w:t xml:space="preserve">seen in the last row of total cost, the average estimated cost reduction achieved by reducing the number of UE Rx branches are as follows for FR1 TDD: </w:t>
      </w:r>
    </w:p>
    <w:p w14:paraId="6728B7CD" w14:textId="77777777" w:rsidR="006126B4" w:rsidRPr="006126B4" w:rsidRDefault="006126B4" w:rsidP="00E3582A">
      <w:pPr>
        <w:pStyle w:val="BodyText"/>
        <w:numPr>
          <w:ilvl w:val="0"/>
          <w:numId w:val="12"/>
        </w:numPr>
        <w:overflowPunct w:val="0"/>
        <w:rPr>
          <w:rFonts w:cs="Arial"/>
          <w:b/>
          <w:bCs/>
          <w:sz w:val="20"/>
        </w:rPr>
      </w:pPr>
      <w:r w:rsidRPr="006126B4">
        <w:rPr>
          <w:rFonts w:cs="Arial"/>
          <w:bCs/>
          <w:sz w:val="20"/>
        </w:rPr>
        <w:t xml:space="preserve">FR1 TDD (4Rx </w:t>
      </w:r>
      <w:r w:rsidRPr="006126B4">
        <w:rPr>
          <w:rFonts w:eastAsia="Wingdings" w:cs="Arial"/>
          <w:sz w:val="20"/>
        </w:rPr>
        <w:sym w:font="Wingdings" w:char="F0E0"/>
      </w:r>
      <w:r w:rsidRPr="006126B4">
        <w:rPr>
          <w:rFonts w:cs="Arial"/>
          <w:bCs/>
          <w:sz w:val="20"/>
        </w:rPr>
        <w:t xml:space="preserve"> 2Rx): ~31%</w:t>
      </w:r>
    </w:p>
    <w:p w14:paraId="20201D59" w14:textId="77777777" w:rsidR="006126B4" w:rsidRPr="006126B4" w:rsidRDefault="006126B4" w:rsidP="00E3582A">
      <w:pPr>
        <w:pStyle w:val="BodyText"/>
        <w:numPr>
          <w:ilvl w:val="0"/>
          <w:numId w:val="12"/>
        </w:numPr>
        <w:overflowPunct w:val="0"/>
        <w:rPr>
          <w:rFonts w:cs="Arial"/>
          <w:b/>
          <w:bCs/>
          <w:sz w:val="20"/>
        </w:rPr>
      </w:pPr>
      <w:r w:rsidRPr="006126B4">
        <w:rPr>
          <w:rFonts w:cs="Arial"/>
          <w:bCs/>
          <w:sz w:val="20"/>
        </w:rPr>
        <w:t xml:space="preserve">FR1 TDD (4Rx </w:t>
      </w:r>
      <w:r w:rsidRPr="006126B4">
        <w:rPr>
          <w:rFonts w:eastAsia="Wingdings" w:cs="Arial"/>
          <w:sz w:val="20"/>
        </w:rPr>
        <w:sym w:font="Wingdings" w:char="F0E0"/>
      </w:r>
      <w:r w:rsidRPr="006126B4">
        <w:rPr>
          <w:rFonts w:cs="Arial"/>
          <w:bCs/>
          <w:sz w:val="20"/>
        </w:rPr>
        <w:t xml:space="preserve"> 1Rx): ~46%</w:t>
      </w:r>
    </w:p>
    <w:p w14:paraId="5B1D2914" w14:textId="77777777" w:rsidR="007C0951" w:rsidRDefault="007C0951" w:rsidP="00383A43">
      <w:pPr>
        <w:pStyle w:val="BodyText"/>
        <w:spacing w:before="120" w:after="240"/>
        <w:rPr>
          <w:rFonts w:eastAsia="SimSun" w:cs="Arial"/>
          <w:sz w:val="20"/>
          <w:szCs w:val="20"/>
          <w:lang w:val="en-GB" w:eastAsia="en-US"/>
        </w:rPr>
      </w:pPr>
    </w:p>
    <w:p w14:paraId="47C6FF40" w14:textId="2FA565BA" w:rsidR="007C0951" w:rsidRPr="00EA6F05" w:rsidRDefault="00BD6C83" w:rsidP="00383A43">
      <w:pPr>
        <w:pStyle w:val="BodyText"/>
        <w:spacing w:before="120" w:after="240"/>
        <w:rPr>
          <w:rFonts w:cs="Arial"/>
          <w:sz w:val="20"/>
          <w:szCs w:val="20"/>
        </w:rPr>
      </w:pPr>
      <w:r>
        <w:rPr>
          <w:rFonts w:eastAsia="SimSun" w:cs="Arial"/>
          <w:sz w:val="20"/>
          <w:szCs w:val="20"/>
          <w:lang w:val="en-GB" w:eastAsia="en-US"/>
        </w:rPr>
        <w:t>Comparing to reducing to 2 Rx branches</w:t>
      </w:r>
      <w:r w:rsidR="00CD582A">
        <w:rPr>
          <w:rFonts w:eastAsia="SimSun" w:cs="Arial"/>
          <w:sz w:val="20"/>
          <w:szCs w:val="20"/>
          <w:lang w:val="en-GB" w:eastAsia="en-US"/>
        </w:rPr>
        <w:t xml:space="preserve"> only</w:t>
      </w:r>
      <w:r>
        <w:rPr>
          <w:rFonts w:eastAsia="SimSun" w:cs="Arial"/>
          <w:sz w:val="20"/>
          <w:szCs w:val="20"/>
          <w:lang w:val="en-GB" w:eastAsia="en-US"/>
        </w:rPr>
        <w:t>, additional 15% cost reduction can be achieved</w:t>
      </w:r>
      <w:r w:rsidR="00CD582A">
        <w:rPr>
          <w:rFonts w:eastAsia="SimSun" w:cs="Arial"/>
          <w:sz w:val="20"/>
          <w:szCs w:val="20"/>
          <w:lang w:val="en-GB" w:eastAsia="en-US"/>
        </w:rPr>
        <w:t xml:space="preserve"> by further reducing to 1 Rx</w:t>
      </w:r>
      <w:r>
        <w:rPr>
          <w:rFonts w:eastAsia="SimSun" w:cs="Arial"/>
          <w:sz w:val="20"/>
          <w:szCs w:val="20"/>
          <w:lang w:val="en-GB" w:eastAsia="en-US"/>
        </w:rPr>
        <w:t>. In addition</w:t>
      </w:r>
      <w:r w:rsidR="00CD582A">
        <w:rPr>
          <w:rFonts w:eastAsia="SimSun" w:cs="Arial"/>
          <w:sz w:val="20"/>
          <w:szCs w:val="20"/>
          <w:lang w:val="en-GB" w:eastAsia="en-US"/>
        </w:rPr>
        <w:t xml:space="preserve"> to cost saving</w:t>
      </w:r>
      <w:r>
        <w:rPr>
          <w:rFonts w:eastAsia="SimSun" w:cs="Arial"/>
          <w:sz w:val="20"/>
          <w:szCs w:val="20"/>
          <w:lang w:val="en-GB" w:eastAsia="en-US"/>
        </w:rPr>
        <w:t>, as captured in draft TR 38.875[2], reduction of number of UE Rx branches is also beneficial in terms of reducing the device size in FR1, which we believe is important for these targeted devices with small form factor such as wearable devices, industrial sense and video surveillance</w:t>
      </w:r>
      <w:r w:rsidRPr="00383A43">
        <w:rPr>
          <w:rFonts w:eastAsia="SimSun" w:cs="Arial"/>
          <w:sz w:val="20"/>
          <w:szCs w:val="20"/>
          <w:lang w:val="en-GB" w:eastAsia="en-US"/>
        </w:rPr>
        <w:t xml:space="preserve">. </w:t>
      </w:r>
      <w:r w:rsidR="00CD582A" w:rsidRPr="00383A43">
        <w:rPr>
          <w:rFonts w:cs="Arial"/>
          <w:sz w:val="20"/>
          <w:szCs w:val="20"/>
        </w:rPr>
        <w:t>Some concerns were raised during the discussions that reducing the number of Rx branches to 1</w:t>
      </w:r>
      <w:r w:rsidR="00383A43">
        <w:rPr>
          <w:rFonts w:cs="Arial"/>
          <w:sz w:val="20"/>
          <w:szCs w:val="20"/>
        </w:rPr>
        <w:t xml:space="preserve"> would cause significant coverage loss for </w:t>
      </w:r>
      <w:r w:rsidR="002A1CD6">
        <w:rPr>
          <w:rFonts w:cs="Arial"/>
          <w:sz w:val="20"/>
          <w:szCs w:val="20"/>
        </w:rPr>
        <w:t>downlink</w:t>
      </w:r>
      <w:r w:rsidR="00383A43">
        <w:rPr>
          <w:rFonts w:cs="Arial"/>
          <w:sz w:val="20"/>
          <w:szCs w:val="20"/>
        </w:rPr>
        <w:t xml:space="preserve"> channels and hence </w:t>
      </w:r>
      <w:r w:rsidR="009F2BC5">
        <w:rPr>
          <w:rFonts w:cs="Arial"/>
          <w:sz w:val="20"/>
          <w:szCs w:val="20"/>
        </w:rPr>
        <w:t xml:space="preserve">lead to </w:t>
      </w:r>
      <w:r w:rsidR="00383A43">
        <w:rPr>
          <w:rFonts w:cs="Arial"/>
          <w:sz w:val="20"/>
          <w:szCs w:val="20"/>
        </w:rPr>
        <w:t>huge specification impacts</w:t>
      </w:r>
      <w:r w:rsidR="002A1CD6">
        <w:rPr>
          <w:rFonts w:cs="Arial"/>
          <w:sz w:val="20"/>
          <w:szCs w:val="20"/>
        </w:rPr>
        <w:t xml:space="preserve"> to introduce coverage recovery techniques</w:t>
      </w:r>
      <w:r w:rsidR="00383A43">
        <w:rPr>
          <w:rFonts w:cs="Arial"/>
          <w:sz w:val="20"/>
          <w:szCs w:val="20"/>
        </w:rPr>
        <w:t>.</w:t>
      </w:r>
      <w:r w:rsidR="002A1CD6">
        <w:rPr>
          <w:rFonts w:cs="Arial"/>
          <w:sz w:val="20"/>
          <w:szCs w:val="20"/>
        </w:rPr>
        <w:t xml:space="preserve"> </w:t>
      </w:r>
      <w:r w:rsidR="009F2BC5">
        <w:rPr>
          <w:rFonts w:cs="Arial"/>
          <w:sz w:val="20"/>
          <w:szCs w:val="20"/>
        </w:rPr>
        <w:t xml:space="preserve">It is true that </w:t>
      </w:r>
      <w:r w:rsidR="002A1CD6">
        <w:rPr>
          <w:rFonts w:cs="Arial"/>
          <w:sz w:val="20"/>
          <w:szCs w:val="20"/>
        </w:rPr>
        <w:t xml:space="preserve">reducing the number of Rx branches </w:t>
      </w:r>
      <w:r w:rsidR="009F2BC5">
        <w:rPr>
          <w:rFonts w:cs="Arial"/>
          <w:sz w:val="20"/>
          <w:szCs w:val="20"/>
        </w:rPr>
        <w:t>from 4 to 1 incurs ~3dB additional coverage loss compared to t reducing from 4 to 2.</w:t>
      </w:r>
      <w:r w:rsidR="00D867C5">
        <w:rPr>
          <w:rFonts w:cs="Arial"/>
          <w:sz w:val="20"/>
          <w:szCs w:val="20"/>
        </w:rPr>
        <w:t xml:space="preserve"> First, note that low antenna correlation was assumed for Redcap coverage evaluation, which is too optimistic for Redcap devices due to small form factor. The gap is expected to be further reduced in real deployment scenario. Second</w:t>
      </w:r>
      <w:r w:rsidR="009F2BC5">
        <w:rPr>
          <w:rFonts w:cs="Arial"/>
          <w:sz w:val="20"/>
          <w:szCs w:val="20"/>
        </w:rPr>
        <w:t>, as captured in draft TR,</w:t>
      </w:r>
      <w:r w:rsidR="002A1CD6">
        <w:rPr>
          <w:rFonts w:cs="Arial"/>
          <w:sz w:val="20"/>
          <w:szCs w:val="20"/>
        </w:rPr>
        <w:t xml:space="preserve"> </w:t>
      </w:r>
      <w:r w:rsidR="00D867C5">
        <w:rPr>
          <w:rFonts w:cs="Arial"/>
          <w:sz w:val="20"/>
          <w:szCs w:val="20"/>
        </w:rPr>
        <w:t xml:space="preserve">the </w:t>
      </w:r>
      <w:r w:rsidR="002800DE">
        <w:rPr>
          <w:rFonts w:cs="Arial"/>
          <w:sz w:val="20"/>
          <w:szCs w:val="20"/>
        </w:rPr>
        <w:t xml:space="preserve">downlink channels even with 1 Rx branch is still better than that of the bottleneck channel (i.e., PUSCH channel of reference NR UE). Therefore, reducing the number of Rx branches from 4 to 1 </w:t>
      </w:r>
      <w:r w:rsidR="00626C07">
        <w:rPr>
          <w:rFonts w:cs="Arial"/>
          <w:sz w:val="20"/>
          <w:szCs w:val="20"/>
        </w:rPr>
        <w:t>does not</w:t>
      </w:r>
      <w:r w:rsidR="002800DE">
        <w:rPr>
          <w:rFonts w:cs="Arial"/>
          <w:sz w:val="20"/>
          <w:szCs w:val="20"/>
        </w:rPr>
        <w:t xml:space="preserve"> require </w:t>
      </w:r>
      <w:r w:rsidR="00626C07">
        <w:rPr>
          <w:rFonts w:cs="Arial"/>
          <w:sz w:val="20"/>
          <w:szCs w:val="20"/>
        </w:rPr>
        <w:t xml:space="preserve">any </w:t>
      </w:r>
      <w:r w:rsidR="002800DE">
        <w:rPr>
          <w:rFonts w:cs="Arial"/>
          <w:sz w:val="20"/>
          <w:szCs w:val="20"/>
        </w:rPr>
        <w:t xml:space="preserve">additional coverage recovery. It maybe arguable that reducing the number of Rx branches to 1 needs coverage compensation for Msg2/Msg4 as well as common PDCCH channel for the 4GHz TDD band with 24dBm/MHz PSD. However, it should be noted that </w:t>
      </w:r>
      <w:r w:rsidR="00626C07">
        <w:rPr>
          <w:rFonts w:cs="Arial"/>
          <w:sz w:val="20"/>
          <w:szCs w:val="20"/>
        </w:rPr>
        <w:t>the coverage recovery is</w:t>
      </w:r>
      <w:r w:rsidR="00D867C5">
        <w:rPr>
          <w:rFonts w:cs="Arial"/>
          <w:sz w:val="20"/>
          <w:szCs w:val="20"/>
        </w:rPr>
        <w:t xml:space="preserve"> caused by the lower PSD</w:t>
      </w:r>
      <w:r w:rsidR="00626C07">
        <w:rPr>
          <w:rFonts w:cs="Arial"/>
          <w:sz w:val="20"/>
          <w:szCs w:val="20"/>
        </w:rPr>
        <w:t xml:space="preserve">, instead of 1 Rx branch. </w:t>
      </w:r>
      <w:r w:rsidR="007C0951">
        <w:rPr>
          <w:rFonts w:cs="Arial"/>
          <w:sz w:val="20"/>
          <w:szCs w:val="20"/>
        </w:rPr>
        <w:t>We therefore have the following proposal:</w:t>
      </w:r>
    </w:p>
    <w:p w14:paraId="19E990A1" w14:textId="7DAC8019" w:rsidR="00B26D2F" w:rsidRPr="00FF2201" w:rsidRDefault="00B26D2F" w:rsidP="00F350A2">
      <w:pPr>
        <w:pStyle w:val="Observation"/>
        <w:ind w:left="1170" w:hanging="1170"/>
        <w:rPr>
          <w:rFonts w:ascii="Arial" w:hAnsi="Arial" w:cs="Arial"/>
          <w:sz w:val="20"/>
          <w:szCs w:val="20"/>
        </w:rPr>
      </w:pPr>
      <w:r w:rsidRPr="00FF2201">
        <w:rPr>
          <w:rFonts w:ascii="Arial" w:hAnsi="Arial" w:cs="Arial"/>
          <w:sz w:val="20"/>
          <w:szCs w:val="20"/>
        </w:rPr>
        <w:t>Proposal</w:t>
      </w:r>
      <w:r w:rsidR="00FF2201">
        <w:rPr>
          <w:rFonts w:ascii="Arial" w:hAnsi="Arial" w:cs="Arial"/>
          <w:sz w:val="20"/>
          <w:szCs w:val="20"/>
        </w:rPr>
        <w:t xml:space="preserve"> 1</w:t>
      </w:r>
      <w:r w:rsidRPr="00FF2201">
        <w:rPr>
          <w:rFonts w:ascii="Arial" w:hAnsi="Arial" w:cs="Arial"/>
          <w:sz w:val="20"/>
          <w:szCs w:val="20"/>
        </w:rPr>
        <w:t xml:space="preserve">: </w:t>
      </w:r>
      <w:r w:rsidR="007C0951" w:rsidRPr="007C0951">
        <w:rPr>
          <w:rFonts w:ascii="Arial" w:hAnsi="Arial" w:cs="Arial"/>
          <w:sz w:val="20"/>
          <w:szCs w:val="20"/>
        </w:rPr>
        <w:t>For frequency bands where a legacy NR UE (other than 2-Rx vehicular UE) is required to be equipped with a minimum of 4 Rx antenna ports</w:t>
      </w:r>
      <w:r w:rsidR="00F350A2" w:rsidRPr="00F350A2">
        <w:rPr>
          <w:rFonts w:ascii="Arial" w:hAnsi="Arial" w:cs="Arial"/>
          <w:sz w:val="20"/>
          <w:szCs w:val="20"/>
        </w:rPr>
        <w:t>,</w:t>
      </w:r>
      <w:r w:rsidR="00F350A2">
        <w:rPr>
          <w:rFonts w:ascii="Arial" w:hAnsi="Arial" w:cs="Arial"/>
          <w:sz w:val="20"/>
          <w:szCs w:val="20"/>
        </w:rPr>
        <w:t xml:space="preserve"> </w:t>
      </w:r>
      <w:r w:rsidR="00F350A2" w:rsidRPr="00F350A2">
        <w:rPr>
          <w:rFonts w:ascii="Arial" w:hAnsi="Arial" w:cs="Arial"/>
          <w:sz w:val="20"/>
          <w:szCs w:val="20"/>
        </w:rPr>
        <w:t xml:space="preserve">the minimum number of Rx branches supported by specification for a RedCap UE is </w:t>
      </w:r>
      <w:r w:rsidR="00F350A2">
        <w:rPr>
          <w:rFonts w:ascii="Arial" w:hAnsi="Arial" w:cs="Arial"/>
          <w:sz w:val="20"/>
          <w:szCs w:val="20"/>
        </w:rPr>
        <w:t>N</w:t>
      </w:r>
      <w:r w:rsidR="00D14F9B">
        <w:rPr>
          <w:rFonts w:ascii="Arial" w:hAnsi="Arial" w:cs="Arial"/>
          <w:sz w:val="20"/>
          <w:szCs w:val="20"/>
        </w:rPr>
        <w:t xml:space="preserve">, where N = 1. N=2 is also supported by specification. </w:t>
      </w:r>
    </w:p>
    <w:p w14:paraId="1B10763B" w14:textId="69EFDC20" w:rsidR="00FF2201" w:rsidRDefault="00FF2201" w:rsidP="00FF2201">
      <w:pPr>
        <w:pStyle w:val="Observation"/>
      </w:pPr>
    </w:p>
    <w:p w14:paraId="31DC998F" w14:textId="77777777" w:rsidR="007C0951" w:rsidRDefault="007C0951" w:rsidP="00FF2201">
      <w:pPr>
        <w:pStyle w:val="Observation"/>
      </w:pPr>
    </w:p>
    <w:p w14:paraId="76FBC5EF" w14:textId="31E1FF05" w:rsidR="007C0951" w:rsidRDefault="007C0951" w:rsidP="007C0951">
      <w:pPr>
        <w:pStyle w:val="Heading3"/>
        <w:spacing w:before="120" w:after="180"/>
        <w:jc w:val="both"/>
        <w:rPr>
          <w:rFonts w:ascii="Arial" w:hAnsi="Arial" w:cs="Arial"/>
          <w:color w:val="000000" w:themeColor="text1"/>
        </w:rPr>
      </w:pPr>
      <w:r w:rsidRPr="00B26D2F">
        <w:rPr>
          <w:rFonts w:ascii="Arial" w:hAnsi="Arial" w:cs="Arial"/>
          <w:color w:val="000000" w:themeColor="text1"/>
        </w:rPr>
        <w:t>2.1.</w:t>
      </w:r>
      <w:r>
        <w:rPr>
          <w:rFonts w:ascii="Arial" w:hAnsi="Arial" w:cs="Arial"/>
          <w:color w:val="000000" w:themeColor="text1"/>
        </w:rPr>
        <w:t>2</w:t>
      </w:r>
      <w:r w:rsidRPr="00B26D2F">
        <w:rPr>
          <w:rFonts w:ascii="Arial" w:hAnsi="Arial" w:cs="Arial"/>
          <w:color w:val="000000" w:themeColor="text1"/>
        </w:rPr>
        <w:t xml:space="preserve"> </w:t>
      </w:r>
      <w:r w:rsidRPr="007C0951">
        <w:rPr>
          <w:rFonts w:ascii="Arial" w:hAnsi="Arial" w:cs="Arial"/>
          <w:color w:val="000000" w:themeColor="text1"/>
        </w:rPr>
        <w:t>Reduced maximum UE bandwidth</w:t>
      </w:r>
    </w:p>
    <w:p w14:paraId="7F995297" w14:textId="255EA988" w:rsidR="008B07DD" w:rsidRDefault="008B07DD" w:rsidP="008B07DD">
      <w:pPr>
        <w:jc w:val="both"/>
        <w:rPr>
          <w:rFonts w:ascii="Arial" w:hAnsi="Arial" w:cs="Arial"/>
          <w:lang w:eastAsia="ja-JP"/>
        </w:rPr>
      </w:pPr>
      <w:r>
        <w:rPr>
          <w:rFonts w:ascii="Arial" w:hAnsi="Arial" w:cs="Arial"/>
          <w:lang w:eastAsia="ja-JP"/>
        </w:rPr>
        <w:t>In RAN 90 e-meeting, it was agreed in WID [1] to reduce mandatory bandwidth from 100MHz to 20MHz for Redcap UEs in FR1. Support of larger BW e.g., 40MHz was intensively discussed in the email thread and GTW session without reaching consensus. Consequently, it was agreed to further discuss in RAN 91 e-meeting together with other pending issues. In this section, we present our views on this.</w:t>
      </w:r>
    </w:p>
    <w:p w14:paraId="5B991CB6" w14:textId="2D0FD021" w:rsidR="008108C8" w:rsidRDefault="008B07DD" w:rsidP="003B6141">
      <w:pPr>
        <w:overflowPunct/>
        <w:autoSpaceDE/>
        <w:autoSpaceDN/>
        <w:adjustRightInd/>
        <w:spacing w:after="0"/>
        <w:jc w:val="both"/>
        <w:textAlignment w:val="auto"/>
        <w:rPr>
          <w:rFonts w:ascii="Arial" w:hAnsi="Arial" w:cs="Arial"/>
          <w:lang w:val="en-US"/>
        </w:rPr>
      </w:pPr>
      <w:r>
        <w:rPr>
          <w:rFonts w:ascii="Arial" w:hAnsi="Arial" w:cs="Arial"/>
          <w:lang w:eastAsia="ja-JP"/>
        </w:rPr>
        <w:t xml:space="preserve">Table 1 summarizes the data rate requirements of the Redcap uses cases in [1]. As analysed in study item phase, </w:t>
      </w:r>
      <w:r>
        <w:rPr>
          <w:rFonts w:ascii="Arial" w:hAnsi="Arial" w:cs="Arial"/>
          <w:lang w:val="en-US"/>
        </w:rPr>
        <w:t xml:space="preserve">single layer transmission without DL/UL MIMO with 20MHz bandwidth is sufficiently achieve the peak data rate </w:t>
      </w:r>
      <w:r>
        <w:rPr>
          <w:rFonts w:ascii="Arial" w:hAnsi="Arial" w:cs="Arial"/>
          <w:lang w:val="en-US"/>
        </w:rPr>
        <w:lastRenderedPageBreak/>
        <w:t xml:space="preserve">requirements of video surveillance, industrial sensor, and reference data rate requirement of wearable devices. However, the combination of 20MHz and 64QAM with single layer cannot fulfil the 150Mbps data rate for high-end wearable devices. At least </w:t>
      </w:r>
      <w:r w:rsidR="008108C8">
        <w:rPr>
          <w:rFonts w:ascii="Arial" w:hAnsi="Arial" w:cs="Arial"/>
          <w:lang w:val="en-US"/>
        </w:rPr>
        <w:t xml:space="preserve">Two Options </w:t>
      </w:r>
      <w:r>
        <w:rPr>
          <w:rFonts w:ascii="Arial" w:hAnsi="Arial" w:cs="Arial"/>
          <w:lang w:val="en-US"/>
        </w:rPr>
        <w:t xml:space="preserve">exist to reach the 150Mbps data rate, one is two MIMO layers and the other is wider bandwidth i.e., 40MHz BW. </w:t>
      </w:r>
      <w:r w:rsidR="008108C8">
        <w:rPr>
          <w:rFonts w:ascii="Arial" w:hAnsi="Arial" w:cs="Arial"/>
          <w:lang w:val="en-US"/>
        </w:rPr>
        <w:t>It is our view that</w:t>
      </w:r>
      <w:r w:rsidR="008108C8" w:rsidRPr="008108C8">
        <w:rPr>
          <w:rFonts w:ascii="Arial" w:hAnsi="Arial" w:cs="Arial"/>
          <w:lang w:val="en-US"/>
        </w:rPr>
        <w:t xml:space="preserve"> the way to achieve </w:t>
      </w:r>
      <w:r w:rsidR="008108C8">
        <w:rPr>
          <w:rFonts w:ascii="Arial" w:hAnsi="Arial" w:cs="Arial"/>
          <w:lang w:val="en-US"/>
        </w:rPr>
        <w:t>this demanding data rate</w:t>
      </w:r>
      <w:r w:rsidR="008108C8" w:rsidRPr="008108C8">
        <w:rPr>
          <w:rFonts w:ascii="Arial" w:hAnsi="Arial" w:cs="Arial"/>
          <w:lang w:val="en-US"/>
        </w:rPr>
        <w:t xml:space="preserve"> with minimal impact on the UE is by increasing the max BW rather than the number of RX antennas</w:t>
      </w:r>
    </w:p>
    <w:p w14:paraId="52B03EE7" w14:textId="77777777" w:rsidR="003B6141" w:rsidRPr="008108C8" w:rsidRDefault="003B6141" w:rsidP="003B6141">
      <w:pPr>
        <w:overflowPunct/>
        <w:autoSpaceDE/>
        <w:autoSpaceDN/>
        <w:adjustRightInd/>
        <w:spacing w:after="0"/>
        <w:jc w:val="both"/>
        <w:textAlignment w:val="auto"/>
        <w:rPr>
          <w:rFonts w:eastAsia="Times New Roman"/>
          <w:sz w:val="24"/>
          <w:szCs w:val="24"/>
          <w:lang w:val="en-US" w:eastAsia="zh-CN"/>
        </w:rPr>
      </w:pPr>
    </w:p>
    <w:p w14:paraId="4F0B9932" w14:textId="4AF7291E" w:rsidR="008B07DD" w:rsidRDefault="008B07DD" w:rsidP="008B07DD">
      <w:pPr>
        <w:spacing w:before="120" w:after="60"/>
        <w:jc w:val="center"/>
        <w:rPr>
          <w:rFonts w:ascii="Arial" w:hAnsi="Arial" w:cs="Arial"/>
          <w:lang w:val="en-US"/>
        </w:rPr>
      </w:pPr>
      <w:r w:rsidRPr="005C62C7">
        <w:rPr>
          <w:rFonts w:ascii="Arial" w:hAnsi="Arial" w:cs="Arial"/>
          <w:b/>
          <w:bCs/>
          <w:lang w:val="en-US"/>
        </w:rPr>
        <w:t xml:space="preserve">Table </w:t>
      </w:r>
      <w:r w:rsidR="00B35B00">
        <w:rPr>
          <w:rFonts w:ascii="Arial" w:hAnsi="Arial" w:cs="Arial"/>
          <w:b/>
          <w:bCs/>
          <w:lang w:val="en-US"/>
        </w:rPr>
        <w:t>2</w:t>
      </w:r>
      <w:r w:rsidRPr="005C62C7">
        <w:rPr>
          <w:rFonts w:ascii="Arial" w:hAnsi="Arial" w:cs="Arial"/>
          <w:b/>
          <w:bCs/>
          <w:lang w:val="en-US"/>
        </w:rPr>
        <w:t>: Data rate requirement for Redcap devices [1</w:t>
      </w:r>
      <w:r>
        <w:rPr>
          <w:rFonts w:ascii="Arial" w:hAnsi="Arial" w:cs="Arial"/>
          <w:lang w:val="en-US"/>
        </w:rPr>
        <w:t>]</w:t>
      </w:r>
    </w:p>
    <w:tbl>
      <w:tblPr>
        <w:tblStyle w:val="TableGrid"/>
        <w:tblW w:w="9990" w:type="dxa"/>
        <w:jc w:val="center"/>
        <w:tblLook w:val="04A0" w:firstRow="1" w:lastRow="0" w:firstColumn="1" w:lastColumn="0" w:noHBand="0" w:noVBand="1"/>
      </w:tblPr>
      <w:tblGrid>
        <w:gridCol w:w="720"/>
        <w:gridCol w:w="1710"/>
        <w:gridCol w:w="3065"/>
        <w:gridCol w:w="4495"/>
      </w:tblGrid>
      <w:tr w:rsidR="008B07DD" w14:paraId="120B67DE" w14:textId="77777777" w:rsidTr="00A34A82">
        <w:trPr>
          <w:jc w:val="center"/>
        </w:trPr>
        <w:tc>
          <w:tcPr>
            <w:tcW w:w="720" w:type="dxa"/>
          </w:tcPr>
          <w:p w14:paraId="0B00E3F1" w14:textId="77777777" w:rsidR="008B07DD" w:rsidRDefault="008B07DD" w:rsidP="00A34A82">
            <w:pPr>
              <w:spacing w:after="0"/>
              <w:jc w:val="center"/>
              <w:rPr>
                <w:rFonts w:ascii="Arial" w:hAnsi="Arial" w:cs="Arial"/>
                <w:lang w:val="en-US"/>
              </w:rPr>
            </w:pPr>
          </w:p>
        </w:tc>
        <w:tc>
          <w:tcPr>
            <w:tcW w:w="1710" w:type="dxa"/>
          </w:tcPr>
          <w:p w14:paraId="3C3540AF" w14:textId="77777777" w:rsidR="008B07DD" w:rsidRDefault="008B07DD" w:rsidP="00A34A82">
            <w:pPr>
              <w:spacing w:after="0"/>
              <w:jc w:val="center"/>
              <w:rPr>
                <w:rFonts w:ascii="Arial" w:hAnsi="Arial" w:cs="Arial"/>
                <w:lang w:val="en-US"/>
              </w:rPr>
            </w:pPr>
            <w:r>
              <w:rPr>
                <w:rFonts w:ascii="Arial" w:hAnsi="Arial" w:cs="Arial"/>
                <w:lang w:val="en-US"/>
              </w:rPr>
              <w:t>Industrial sensor</w:t>
            </w:r>
          </w:p>
        </w:tc>
        <w:tc>
          <w:tcPr>
            <w:tcW w:w="3065" w:type="dxa"/>
          </w:tcPr>
          <w:p w14:paraId="61FF52E3" w14:textId="77777777" w:rsidR="008B07DD" w:rsidRDefault="008B07DD" w:rsidP="00A34A82">
            <w:pPr>
              <w:spacing w:after="0"/>
              <w:jc w:val="center"/>
              <w:rPr>
                <w:rFonts w:ascii="Arial" w:hAnsi="Arial" w:cs="Arial"/>
                <w:lang w:val="en-US"/>
              </w:rPr>
            </w:pPr>
            <w:r>
              <w:rPr>
                <w:rFonts w:ascii="Arial" w:hAnsi="Arial" w:cs="Arial"/>
                <w:lang w:val="en-US"/>
              </w:rPr>
              <w:t>Video surveillance</w:t>
            </w:r>
          </w:p>
        </w:tc>
        <w:tc>
          <w:tcPr>
            <w:tcW w:w="4495" w:type="dxa"/>
          </w:tcPr>
          <w:p w14:paraId="1B1BBC16" w14:textId="77777777" w:rsidR="008B07DD" w:rsidRDefault="008B07DD" w:rsidP="00A34A82">
            <w:pPr>
              <w:spacing w:after="0"/>
              <w:jc w:val="center"/>
              <w:rPr>
                <w:rFonts w:ascii="Arial" w:hAnsi="Arial" w:cs="Arial"/>
                <w:lang w:val="en-US"/>
              </w:rPr>
            </w:pPr>
            <w:r>
              <w:rPr>
                <w:rFonts w:ascii="Arial" w:hAnsi="Arial" w:cs="Arial"/>
                <w:lang w:val="en-US"/>
              </w:rPr>
              <w:t>Wearable devices</w:t>
            </w:r>
          </w:p>
        </w:tc>
      </w:tr>
      <w:tr w:rsidR="008B07DD" w14:paraId="294F6181" w14:textId="77777777" w:rsidTr="00A34A82">
        <w:trPr>
          <w:jc w:val="center"/>
        </w:trPr>
        <w:tc>
          <w:tcPr>
            <w:tcW w:w="720" w:type="dxa"/>
          </w:tcPr>
          <w:p w14:paraId="5A9C7B40" w14:textId="77777777" w:rsidR="008B07DD" w:rsidRDefault="008B07DD" w:rsidP="00A34A82">
            <w:pPr>
              <w:spacing w:after="0"/>
              <w:jc w:val="center"/>
              <w:rPr>
                <w:rFonts w:ascii="Arial" w:hAnsi="Arial" w:cs="Arial"/>
                <w:lang w:val="en-US"/>
              </w:rPr>
            </w:pPr>
            <w:r>
              <w:rPr>
                <w:rFonts w:ascii="Arial" w:hAnsi="Arial" w:cs="Arial"/>
                <w:lang w:val="en-US"/>
              </w:rPr>
              <w:t>DL</w:t>
            </w:r>
          </w:p>
        </w:tc>
        <w:tc>
          <w:tcPr>
            <w:tcW w:w="1710" w:type="dxa"/>
            <w:vMerge w:val="restart"/>
          </w:tcPr>
          <w:p w14:paraId="40312AA7" w14:textId="77777777" w:rsidR="008B07DD" w:rsidRDefault="008B07DD" w:rsidP="00A34A82">
            <w:pPr>
              <w:spacing w:after="0"/>
              <w:jc w:val="center"/>
              <w:rPr>
                <w:rFonts w:ascii="Arial" w:hAnsi="Arial" w:cs="Arial"/>
                <w:lang w:val="en-US"/>
              </w:rPr>
            </w:pPr>
            <w:r>
              <w:rPr>
                <w:rFonts w:ascii="Arial" w:hAnsi="Arial" w:cs="Arial"/>
                <w:lang w:val="en-US"/>
              </w:rPr>
              <w:t>&lt;=2Mbps</w:t>
            </w:r>
          </w:p>
        </w:tc>
        <w:tc>
          <w:tcPr>
            <w:tcW w:w="3065" w:type="dxa"/>
            <w:vMerge w:val="restart"/>
          </w:tcPr>
          <w:p w14:paraId="393E31CB" w14:textId="77777777" w:rsidR="008B07DD" w:rsidRDefault="008B07DD" w:rsidP="00A34A82">
            <w:pPr>
              <w:spacing w:after="0"/>
              <w:jc w:val="center"/>
              <w:rPr>
                <w:rFonts w:ascii="Arial" w:hAnsi="Arial" w:cs="Arial"/>
                <w:lang w:val="en-US"/>
              </w:rPr>
            </w:pPr>
            <w:r>
              <w:rPr>
                <w:rFonts w:ascii="Arial" w:hAnsi="Arial" w:cs="Arial"/>
                <w:lang w:val="en-US"/>
              </w:rPr>
              <w:t>Economic video: &lt;=2~4Mbps</w:t>
            </w:r>
          </w:p>
          <w:p w14:paraId="22090C85" w14:textId="77777777" w:rsidR="008B07DD" w:rsidRDefault="008B07DD" w:rsidP="00A34A82">
            <w:pPr>
              <w:spacing w:after="0"/>
              <w:jc w:val="center"/>
              <w:rPr>
                <w:rFonts w:ascii="Arial" w:hAnsi="Arial" w:cs="Arial"/>
                <w:lang w:val="en-US"/>
              </w:rPr>
            </w:pPr>
            <w:r>
              <w:rPr>
                <w:rFonts w:ascii="Arial" w:hAnsi="Arial" w:cs="Arial"/>
                <w:lang w:val="en-US"/>
              </w:rPr>
              <w:t>High-end video: &lt;=7.5~25Mbps</w:t>
            </w:r>
          </w:p>
        </w:tc>
        <w:tc>
          <w:tcPr>
            <w:tcW w:w="4495" w:type="dxa"/>
          </w:tcPr>
          <w:p w14:paraId="503200A4" w14:textId="77777777" w:rsidR="008B07DD" w:rsidRDefault="008B07DD" w:rsidP="00A34A82">
            <w:pPr>
              <w:spacing w:after="0"/>
              <w:jc w:val="center"/>
              <w:rPr>
                <w:rFonts w:ascii="Arial" w:hAnsi="Arial" w:cs="Arial"/>
                <w:lang w:val="en-US"/>
              </w:rPr>
            </w:pPr>
            <w:r>
              <w:rPr>
                <w:rFonts w:ascii="Arial" w:hAnsi="Arial" w:cs="Arial"/>
                <w:lang w:val="en-US"/>
              </w:rPr>
              <w:t>&lt;=</w:t>
            </w:r>
            <w:r w:rsidRPr="00B56924">
              <w:rPr>
                <w:rFonts w:ascii="Arial" w:hAnsi="Arial" w:cs="Arial"/>
                <w:lang w:val="en-US"/>
              </w:rPr>
              <w:t>150Mbps (Peak),</w:t>
            </w:r>
            <w:r>
              <w:rPr>
                <w:rFonts w:ascii="Arial" w:hAnsi="Arial" w:cs="Arial"/>
                <w:lang w:val="en-US"/>
              </w:rPr>
              <w:t xml:space="preserve"> 5~50Mbps (Reference)</w:t>
            </w:r>
          </w:p>
        </w:tc>
      </w:tr>
      <w:tr w:rsidR="008B07DD" w14:paraId="027546F1" w14:textId="77777777" w:rsidTr="00A34A82">
        <w:trPr>
          <w:jc w:val="center"/>
        </w:trPr>
        <w:tc>
          <w:tcPr>
            <w:tcW w:w="720" w:type="dxa"/>
          </w:tcPr>
          <w:p w14:paraId="655C681B" w14:textId="77777777" w:rsidR="008B07DD" w:rsidRDefault="008B07DD" w:rsidP="00A34A82">
            <w:pPr>
              <w:spacing w:after="0"/>
              <w:jc w:val="center"/>
              <w:rPr>
                <w:rFonts w:ascii="Arial" w:hAnsi="Arial" w:cs="Arial"/>
                <w:lang w:val="en-US"/>
              </w:rPr>
            </w:pPr>
            <w:r>
              <w:rPr>
                <w:rFonts w:ascii="Arial" w:hAnsi="Arial" w:cs="Arial"/>
                <w:lang w:val="en-US"/>
              </w:rPr>
              <w:t>UL</w:t>
            </w:r>
          </w:p>
        </w:tc>
        <w:tc>
          <w:tcPr>
            <w:tcW w:w="1710" w:type="dxa"/>
            <w:vMerge/>
          </w:tcPr>
          <w:p w14:paraId="2512B046" w14:textId="77777777" w:rsidR="008B07DD" w:rsidRDefault="008B07DD" w:rsidP="00A34A82">
            <w:pPr>
              <w:spacing w:after="0"/>
              <w:jc w:val="center"/>
              <w:rPr>
                <w:rFonts w:ascii="Arial" w:hAnsi="Arial" w:cs="Arial"/>
                <w:lang w:val="en-US"/>
              </w:rPr>
            </w:pPr>
          </w:p>
        </w:tc>
        <w:tc>
          <w:tcPr>
            <w:tcW w:w="3065" w:type="dxa"/>
            <w:vMerge/>
          </w:tcPr>
          <w:p w14:paraId="59012673" w14:textId="77777777" w:rsidR="008B07DD" w:rsidRDefault="008B07DD" w:rsidP="00A34A82">
            <w:pPr>
              <w:spacing w:after="0"/>
              <w:jc w:val="center"/>
              <w:rPr>
                <w:rFonts w:ascii="Arial" w:hAnsi="Arial" w:cs="Arial"/>
                <w:lang w:val="en-US"/>
              </w:rPr>
            </w:pPr>
          </w:p>
        </w:tc>
        <w:tc>
          <w:tcPr>
            <w:tcW w:w="4495" w:type="dxa"/>
          </w:tcPr>
          <w:p w14:paraId="1C2CEC63" w14:textId="77777777" w:rsidR="008B07DD" w:rsidRDefault="008B07DD" w:rsidP="00A34A82">
            <w:pPr>
              <w:spacing w:after="0"/>
              <w:jc w:val="center"/>
              <w:rPr>
                <w:rFonts w:ascii="Arial" w:hAnsi="Arial" w:cs="Arial"/>
                <w:lang w:val="en-US"/>
              </w:rPr>
            </w:pPr>
            <w:r>
              <w:rPr>
                <w:rFonts w:ascii="Arial" w:hAnsi="Arial" w:cs="Arial"/>
                <w:lang w:val="en-US"/>
              </w:rPr>
              <w:t>&lt;= 50Mbps (Peak), 2~5Mbps (Reference)</w:t>
            </w:r>
          </w:p>
        </w:tc>
      </w:tr>
    </w:tbl>
    <w:p w14:paraId="682F4F22" w14:textId="77777777" w:rsidR="008B07DD" w:rsidRDefault="008B07DD" w:rsidP="008B07DD">
      <w:pPr>
        <w:rPr>
          <w:rFonts w:ascii="Arial" w:hAnsi="Arial" w:cs="Arial"/>
          <w:lang w:val="en-US"/>
        </w:rPr>
      </w:pPr>
    </w:p>
    <w:p w14:paraId="79FBC569" w14:textId="30CFE81E" w:rsidR="008B07DD" w:rsidRDefault="008B07DD" w:rsidP="008B07DD">
      <w:pPr>
        <w:ind w:left="1170" w:hanging="1170"/>
        <w:jc w:val="both"/>
        <w:rPr>
          <w:rFonts w:ascii="Arial" w:hAnsi="Arial" w:cs="Arial"/>
          <w:b/>
          <w:bCs/>
          <w:color w:val="000000" w:themeColor="text1"/>
          <w:lang w:val="en-US"/>
        </w:rPr>
      </w:pPr>
      <w:r w:rsidRPr="00B01562">
        <w:rPr>
          <w:rFonts w:ascii="Arial" w:hAnsi="Arial" w:cs="Arial"/>
          <w:b/>
          <w:bCs/>
          <w:color w:val="000000" w:themeColor="text1"/>
          <w:lang w:val="en-US"/>
        </w:rPr>
        <w:t xml:space="preserve">Proposal </w:t>
      </w:r>
      <w:r>
        <w:rPr>
          <w:rFonts w:ascii="Arial" w:hAnsi="Arial" w:cs="Arial"/>
          <w:b/>
          <w:bCs/>
          <w:color w:val="000000" w:themeColor="text1"/>
          <w:lang w:val="en-US"/>
        </w:rPr>
        <w:t>2</w:t>
      </w:r>
      <w:r w:rsidRPr="00B01562">
        <w:rPr>
          <w:rFonts w:ascii="Arial" w:hAnsi="Arial" w:cs="Arial"/>
          <w:b/>
          <w:bCs/>
          <w:color w:val="000000" w:themeColor="text1"/>
          <w:lang w:val="en-US"/>
        </w:rPr>
        <w:t xml:space="preserve">: </w:t>
      </w:r>
      <w:r w:rsidR="009630E7">
        <w:rPr>
          <w:rFonts w:ascii="Arial" w:hAnsi="Arial" w:cs="Arial"/>
          <w:b/>
          <w:bCs/>
          <w:color w:val="000000" w:themeColor="text1"/>
          <w:lang w:val="en-US"/>
        </w:rPr>
        <w:t xml:space="preserve">For devices supporting 150Mbps peak data rate, specification allows device to optionally signal </w:t>
      </w:r>
      <w:r w:rsidRPr="00F23128">
        <w:rPr>
          <w:rFonts w:ascii="Arial" w:hAnsi="Arial" w:cs="Arial"/>
          <w:b/>
          <w:bCs/>
          <w:color w:val="000000" w:themeColor="text1"/>
          <w:lang w:val="en-US"/>
        </w:rPr>
        <w:t>40MHz</w:t>
      </w:r>
      <w:r w:rsidR="009630E7">
        <w:rPr>
          <w:rFonts w:ascii="Arial" w:hAnsi="Arial" w:cs="Arial"/>
          <w:b/>
          <w:bCs/>
          <w:color w:val="000000" w:themeColor="text1"/>
          <w:lang w:val="en-US"/>
        </w:rPr>
        <w:t xml:space="preserve"> bandwidth with single Rx antenna</w:t>
      </w:r>
      <w:r w:rsidRPr="00F23128">
        <w:rPr>
          <w:rFonts w:ascii="Arial" w:hAnsi="Arial" w:cs="Arial"/>
          <w:b/>
          <w:bCs/>
          <w:color w:val="000000" w:themeColor="text1"/>
          <w:lang w:val="en-US"/>
        </w:rPr>
        <w:t>.</w:t>
      </w:r>
    </w:p>
    <w:p w14:paraId="6B3AA83D" w14:textId="47DFD5F6" w:rsidR="00252F23" w:rsidRPr="009630E7" w:rsidRDefault="00252F23" w:rsidP="00252F23">
      <w:pPr>
        <w:spacing w:before="180"/>
        <w:rPr>
          <w:rFonts w:ascii="Arial" w:hAnsi="Arial" w:cs="Arial"/>
          <w:lang w:val="en-US" w:eastAsia="ja-JP"/>
        </w:rPr>
      </w:pPr>
    </w:p>
    <w:p w14:paraId="71202458" w14:textId="45D9A101" w:rsidR="00793720" w:rsidRDefault="00793720" w:rsidP="00793720">
      <w:pPr>
        <w:pStyle w:val="Heading2"/>
        <w:rPr>
          <w:rFonts w:ascii="Arial" w:hAnsi="Arial" w:cs="Arial"/>
          <w:lang w:eastAsia="ja-JP"/>
        </w:rPr>
      </w:pPr>
      <w:r>
        <w:rPr>
          <w:rFonts w:ascii="Arial" w:eastAsia="SimSun" w:hAnsi="Arial" w:cs="Times New Roman"/>
          <w:color w:val="auto"/>
          <w:sz w:val="32"/>
          <w:szCs w:val="20"/>
          <w:lang w:eastAsia="ja-JP"/>
        </w:rPr>
        <w:t>2.2. On coverage recovery techniques for Redcap</w:t>
      </w:r>
    </w:p>
    <w:p w14:paraId="65A9BBDB" w14:textId="5FA9921B" w:rsidR="008B07DD" w:rsidRDefault="00793720" w:rsidP="002D7542">
      <w:pPr>
        <w:spacing w:before="180"/>
        <w:jc w:val="both"/>
        <w:rPr>
          <w:rFonts w:ascii="Arial" w:hAnsi="Arial" w:cs="Arial"/>
          <w:lang w:eastAsia="ja-JP"/>
        </w:rPr>
      </w:pPr>
      <w:r>
        <w:rPr>
          <w:rFonts w:ascii="Arial" w:hAnsi="Arial" w:cs="Arial"/>
          <w:lang w:eastAsia="ja-JP"/>
        </w:rPr>
        <w:t>Another open issue to be addressed in RAN plenary #91 e-meeting is how to handle any coverage recovery aspects related to Redcap UE devices, which was captured in</w:t>
      </w:r>
      <w:r w:rsidR="007E4B0D">
        <w:rPr>
          <w:rFonts w:ascii="Arial" w:hAnsi="Arial" w:cs="Arial"/>
          <w:lang w:eastAsia="ja-JP"/>
        </w:rPr>
        <w:t xml:space="preserve"> the approved</w:t>
      </w:r>
      <w:r>
        <w:rPr>
          <w:rFonts w:ascii="Arial" w:hAnsi="Arial" w:cs="Arial"/>
          <w:lang w:eastAsia="ja-JP"/>
        </w:rPr>
        <w:t xml:space="preserve"> WID [1] as follows:</w:t>
      </w:r>
    </w:p>
    <w:tbl>
      <w:tblPr>
        <w:tblStyle w:val="TableGrid"/>
        <w:tblW w:w="0" w:type="auto"/>
        <w:tblLook w:val="04A0" w:firstRow="1" w:lastRow="0" w:firstColumn="1" w:lastColumn="0" w:noHBand="0" w:noVBand="1"/>
      </w:tblPr>
      <w:tblGrid>
        <w:gridCol w:w="9962"/>
      </w:tblGrid>
      <w:tr w:rsidR="00793720" w14:paraId="0A01393C" w14:textId="77777777" w:rsidTr="00793720">
        <w:tc>
          <w:tcPr>
            <w:tcW w:w="9962" w:type="dxa"/>
          </w:tcPr>
          <w:p w14:paraId="246EBF52" w14:textId="77777777" w:rsidR="00793720" w:rsidRPr="007E4B0D" w:rsidRDefault="00793720" w:rsidP="00793720">
            <w:pPr>
              <w:pStyle w:val="B2"/>
              <w:ind w:left="0" w:firstLine="0"/>
              <w:jc w:val="both"/>
              <w:rPr>
                <w:rFonts w:ascii="Arial" w:eastAsia="SimSun" w:hAnsi="Arial" w:cs="Arial"/>
                <w:lang w:val="en-US" w:eastAsia="ja-JP"/>
              </w:rPr>
            </w:pPr>
            <w:r w:rsidRPr="007E4B0D">
              <w:rPr>
                <w:rFonts w:ascii="Arial" w:eastAsia="SimSun" w:hAnsi="Arial" w:cs="Arial"/>
                <w:lang w:val="en-US" w:eastAsia="ja-JP"/>
              </w:rPr>
              <w:t>Notes:</w:t>
            </w:r>
          </w:p>
          <w:p w14:paraId="064E6EE7" w14:textId="5EC62B85" w:rsidR="00793720" w:rsidRPr="00793720" w:rsidRDefault="00793720" w:rsidP="00793720">
            <w:pPr>
              <w:pStyle w:val="B1"/>
              <w:numPr>
                <w:ilvl w:val="0"/>
                <w:numId w:val="23"/>
              </w:numPr>
              <w:jc w:val="both"/>
              <w:rPr>
                <w:rFonts w:eastAsia="SimSun"/>
                <w:lang w:val="en-US" w:eastAsia="ja-JP"/>
              </w:rPr>
            </w:pPr>
            <w:r w:rsidRPr="007E4B0D">
              <w:rPr>
                <w:rFonts w:ascii="Arial" w:hAnsi="Arial" w:cs="Arial"/>
              </w:rPr>
              <w:t>The appropriate WI for handling of any potential coverage recovery aspects related to RedCap UEs devices will be considered at RAN#91e.</w:t>
            </w:r>
          </w:p>
        </w:tc>
      </w:tr>
    </w:tbl>
    <w:p w14:paraId="672D88F7" w14:textId="77777777" w:rsidR="007E4B0D" w:rsidRDefault="007E4B0D" w:rsidP="007E4B0D">
      <w:pPr>
        <w:jc w:val="both"/>
        <w:rPr>
          <w:rFonts w:ascii="Arial" w:hAnsi="Arial" w:cs="Arial"/>
          <w:lang w:eastAsia="ja-JP"/>
        </w:rPr>
      </w:pPr>
    </w:p>
    <w:p w14:paraId="7CF4F19C" w14:textId="320A19AF" w:rsidR="007E4B0D" w:rsidRDefault="007E4B0D" w:rsidP="007E4B0D">
      <w:pPr>
        <w:jc w:val="both"/>
        <w:rPr>
          <w:rFonts w:ascii="Arial" w:hAnsi="Arial" w:cs="Arial"/>
          <w:lang w:eastAsia="ja-JP"/>
        </w:rPr>
      </w:pPr>
      <w:r>
        <w:rPr>
          <w:rFonts w:ascii="Arial" w:hAnsi="Arial" w:cs="Arial"/>
          <w:lang w:eastAsia="ja-JP"/>
        </w:rPr>
        <w:t xml:space="preserve">One of objectives of Redcap study item is to investigate the coverage recovery techniques to compensate the coverage loss caused by lower antenna efficiency due to smaller form factor as copied below from [3]. </w:t>
      </w:r>
    </w:p>
    <w:tbl>
      <w:tblPr>
        <w:tblStyle w:val="TableGrid"/>
        <w:tblW w:w="0" w:type="auto"/>
        <w:tblLook w:val="04A0" w:firstRow="1" w:lastRow="0" w:firstColumn="1" w:lastColumn="0" w:noHBand="0" w:noVBand="1"/>
      </w:tblPr>
      <w:tblGrid>
        <w:gridCol w:w="9962"/>
      </w:tblGrid>
      <w:tr w:rsidR="007E4B0D" w14:paraId="5CA1753F" w14:textId="77777777" w:rsidTr="007E4B0D">
        <w:tc>
          <w:tcPr>
            <w:tcW w:w="9962" w:type="dxa"/>
          </w:tcPr>
          <w:p w14:paraId="391BCE59" w14:textId="77777777" w:rsidR="007E4B0D" w:rsidRPr="007E4B0D" w:rsidRDefault="007E4B0D" w:rsidP="007E4B0D">
            <w:pPr>
              <w:ind w:right="-99"/>
              <w:rPr>
                <w:rFonts w:ascii="Arial" w:hAnsi="Arial" w:cs="Arial"/>
                <w:lang w:val="en-US" w:eastAsia="ja-JP"/>
              </w:rPr>
            </w:pPr>
            <w:r w:rsidRPr="007E4B0D">
              <w:rPr>
                <w:rFonts w:ascii="Arial" w:hAnsi="Arial" w:cs="Arial"/>
                <w:lang w:val="en-US" w:eastAsia="ja-JP"/>
              </w:rPr>
              <w:t>Study functionality that will enable the performance degradation of such complexity reduction to be mitigated or limited, including [RAN1]:</w:t>
            </w:r>
          </w:p>
          <w:p w14:paraId="7AC80BB6" w14:textId="77777777" w:rsidR="007E4B0D" w:rsidRPr="007E4B0D" w:rsidRDefault="007E4B0D" w:rsidP="007E4B0D">
            <w:pPr>
              <w:numPr>
                <w:ilvl w:val="0"/>
                <w:numId w:val="24"/>
              </w:numPr>
              <w:ind w:right="-99"/>
              <w:rPr>
                <w:rFonts w:ascii="Arial" w:hAnsi="Arial" w:cs="Arial"/>
                <w:lang w:eastAsia="zh-CN"/>
              </w:rPr>
            </w:pPr>
            <w:r w:rsidRPr="007E4B0D">
              <w:rPr>
                <w:rFonts w:ascii="Arial" w:hAnsi="Arial" w:cs="Arial"/>
              </w:rPr>
              <w:t xml:space="preserve">Coverage recovery to compensate for potential coverage reduction due to the device complexity reduction. </w:t>
            </w:r>
          </w:p>
          <w:p w14:paraId="67764E16" w14:textId="77777777" w:rsidR="007E4B0D" w:rsidRPr="007E4B0D" w:rsidRDefault="007E4B0D" w:rsidP="007E4B0D">
            <w:pPr>
              <w:numPr>
                <w:ilvl w:val="1"/>
                <w:numId w:val="24"/>
              </w:numPr>
              <w:ind w:right="-99"/>
              <w:rPr>
                <w:rFonts w:ascii="Arial" w:hAnsi="Arial" w:cs="Arial"/>
                <w:lang w:eastAsia="zh-CN"/>
              </w:rPr>
            </w:pPr>
            <w:r w:rsidRPr="007E4B0D">
              <w:rPr>
                <w:rFonts w:ascii="Arial" w:hAnsi="Arial" w:cs="Arial"/>
                <w:lang w:eastAsia="zh-CN"/>
              </w:rPr>
              <w:t xml:space="preserve">Note: For FR1, coverage analysis for wearables can include consideration of potential reduced antenna efficiency due to device size limitations as part of the antenna gains. </w:t>
            </w:r>
            <w:r w:rsidRPr="007E4B0D">
              <w:rPr>
                <w:rFonts w:ascii="Arial" w:hAnsi="Arial" w:cs="Arial"/>
                <w:highlight w:val="yellow"/>
                <w:lang w:eastAsia="zh-CN"/>
              </w:rPr>
              <w:t>The extent of additional recovery of coverage loss due to reduced antenna efficiency is to be limited to 3 dB</w:t>
            </w:r>
          </w:p>
          <w:p w14:paraId="236108F5" w14:textId="0984314A" w:rsidR="007E4B0D" w:rsidRPr="007E4B0D" w:rsidRDefault="007E4B0D" w:rsidP="007E4B0D">
            <w:pPr>
              <w:numPr>
                <w:ilvl w:val="0"/>
                <w:numId w:val="24"/>
              </w:numPr>
              <w:rPr>
                <w:lang w:eastAsia="zh-CN"/>
              </w:rPr>
            </w:pPr>
            <w:r w:rsidRPr="007E4B0D">
              <w:rPr>
                <w:rFonts w:ascii="Arial" w:hAnsi="Arial" w:cs="Arial"/>
                <w:lang w:eastAsia="zh-CN"/>
              </w:rPr>
              <w:t>The study includes evaluations of the impact to network capacity and spectral efficiency</w:t>
            </w:r>
          </w:p>
        </w:tc>
      </w:tr>
    </w:tbl>
    <w:p w14:paraId="48882258" w14:textId="77777777" w:rsidR="007E4B0D" w:rsidRDefault="007E4B0D" w:rsidP="007E4B0D">
      <w:pPr>
        <w:jc w:val="both"/>
        <w:rPr>
          <w:rFonts w:ascii="Arial" w:hAnsi="Arial" w:cs="Arial"/>
          <w:lang w:eastAsia="ja-JP"/>
        </w:rPr>
      </w:pPr>
    </w:p>
    <w:p w14:paraId="328BF00F" w14:textId="1A31A0DD" w:rsidR="007E4B0D" w:rsidRDefault="007E4B0D" w:rsidP="007E4B0D">
      <w:pPr>
        <w:jc w:val="both"/>
        <w:rPr>
          <w:rFonts w:ascii="Arial" w:hAnsi="Arial" w:cs="Arial"/>
          <w:lang w:eastAsia="ja-JP"/>
        </w:rPr>
      </w:pPr>
      <w:r>
        <w:rPr>
          <w:rFonts w:ascii="Arial" w:hAnsi="Arial" w:cs="Arial"/>
          <w:lang w:eastAsia="ja-JP"/>
        </w:rPr>
        <w:t xml:space="preserve">The coverage of different physical channels is expected to be varied due to different physical channel structures and target performances. In RAN1 103 e-meeting, how to determine the coverage recovery target for Redcap devices was heated debated and the following was agreed: </w:t>
      </w:r>
    </w:p>
    <w:tbl>
      <w:tblPr>
        <w:tblStyle w:val="TableGrid"/>
        <w:tblW w:w="0" w:type="auto"/>
        <w:tblLook w:val="04A0" w:firstRow="1" w:lastRow="0" w:firstColumn="1" w:lastColumn="0" w:noHBand="0" w:noVBand="1"/>
      </w:tblPr>
      <w:tblGrid>
        <w:gridCol w:w="9962"/>
      </w:tblGrid>
      <w:tr w:rsidR="007E4B0D" w14:paraId="6B67D5AC" w14:textId="77777777" w:rsidTr="00205500">
        <w:tc>
          <w:tcPr>
            <w:tcW w:w="9962" w:type="dxa"/>
          </w:tcPr>
          <w:p w14:paraId="3D8546F7" w14:textId="77777777" w:rsidR="007E4B0D" w:rsidRPr="00776FA1" w:rsidRDefault="007E4B0D" w:rsidP="00205500">
            <w:pPr>
              <w:spacing w:after="0"/>
              <w:rPr>
                <w:rFonts w:ascii="Arial" w:hAnsi="Arial" w:cs="Arial"/>
                <w:color w:val="000000" w:themeColor="text1"/>
                <w:highlight w:val="green"/>
                <w:u w:val="single"/>
              </w:rPr>
            </w:pPr>
            <w:r w:rsidRPr="00776FA1">
              <w:rPr>
                <w:rFonts w:ascii="Arial" w:hAnsi="Arial" w:cs="Arial"/>
                <w:color w:val="000000" w:themeColor="text1"/>
                <w:highlight w:val="green"/>
                <w:u w:val="single"/>
              </w:rPr>
              <w:t>Agreements:</w:t>
            </w:r>
          </w:p>
          <w:p w14:paraId="3D005190" w14:textId="77777777" w:rsidR="007E4B0D" w:rsidRPr="00776FA1" w:rsidRDefault="007E4B0D" w:rsidP="00205500">
            <w:pPr>
              <w:pStyle w:val="ListParagraph"/>
              <w:numPr>
                <w:ilvl w:val="0"/>
                <w:numId w:val="17"/>
              </w:numPr>
              <w:overflowPunct/>
              <w:autoSpaceDE/>
              <w:autoSpaceDN/>
              <w:adjustRightInd/>
              <w:spacing w:after="0"/>
              <w:contextualSpacing w:val="0"/>
              <w:jc w:val="both"/>
              <w:textAlignment w:val="auto"/>
              <w:rPr>
                <w:rFonts w:ascii="Arial" w:hAnsi="Arial" w:cs="Arial"/>
                <w:color w:val="000000" w:themeColor="text1"/>
                <w:lang w:eastAsia="zh-CN"/>
              </w:rPr>
            </w:pPr>
            <w:r w:rsidRPr="00776FA1">
              <w:rPr>
                <w:rFonts w:ascii="Arial" w:hAnsi="Arial" w:cs="Arial"/>
                <w:color w:val="000000" w:themeColor="text1"/>
                <w:lang w:eastAsia="zh-CN"/>
              </w:rPr>
              <w:t>Agree in principle using Option 3 for determining the coverage recovery target</w:t>
            </w:r>
            <w:r w:rsidRPr="00776FA1">
              <w:rPr>
                <w:rFonts w:ascii="Arial" w:hAnsi="Arial" w:cs="Arial"/>
                <w:color w:val="000000" w:themeColor="text1"/>
              </w:rPr>
              <w:t xml:space="preserve"> </w:t>
            </w:r>
          </w:p>
          <w:p w14:paraId="5045E75D" w14:textId="77777777" w:rsidR="007E4B0D" w:rsidRPr="00776FA1" w:rsidRDefault="007E4B0D" w:rsidP="00205500">
            <w:pPr>
              <w:pStyle w:val="ListParagraph"/>
              <w:numPr>
                <w:ilvl w:val="1"/>
                <w:numId w:val="17"/>
              </w:numPr>
              <w:adjustRightInd/>
              <w:spacing w:after="0"/>
              <w:contextualSpacing w:val="0"/>
              <w:jc w:val="both"/>
              <w:rPr>
                <w:rFonts w:ascii="Arial" w:hAnsi="Arial" w:cs="Arial"/>
                <w:color w:val="000000" w:themeColor="text1"/>
              </w:rPr>
            </w:pPr>
            <w:r w:rsidRPr="00776FA1">
              <w:rPr>
                <w:rFonts w:ascii="Arial" w:hAnsi="Arial" w:cs="Arial"/>
                <w:color w:val="000000" w:themeColor="text1"/>
              </w:rPr>
              <w:t xml:space="preserve">Option 3: The </w:t>
            </w:r>
            <w:r w:rsidRPr="00776FA1">
              <w:rPr>
                <w:rFonts w:ascii="Arial" w:hAnsi="Arial" w:cs="Arial"/>
                <w:color w:val="000000" w:themeColor="text1"/>
                <w:lang w:eastAsia="zh-CN"/>
              </w:rPr>
              <w:t xml:space="preserve">coverage recovery target </w:t>
            </w:r>
            <w:r w:rsidRPr="00776FA1">
              <w:rPr>
                <w:rFonts w:ascii="Arial" w:hAnsi="Arial" w:cs="Arial"/>
                <w:color w:val="000000" w:themeColor="text1"/>
              </w:rPr>
              <w:t xml:space="preserve">for each channel </w:t>
            </w:r>
            <w:r w:rsidRPr="00776FA1">
              <w:rPr>
                <w:rFonts w:ascii="Arial" w:hAnsi="Arial" w:cs="Arial"/>
                <w:color w:val="000000" w:themeColor="text1"/>
                <w:lang w:eastAsia="zh-CN"/>
              </w:rPr>
              <w:t xml:space="preserve">of RedCap UE corresponds to </w:t>
            </w:r>
            <w:r w:rsidRPr="00776FA1">
              <w:rPr>
                <w:rFonts w:ascii="Arial" w:hAnsi="Arial" w:cs="Arial"/>
                <w:color w:val="000000" w:themeColor="text1"/>
              </w:rPr>
              <w:t>the link budget of the bottleneck channel(s) for the reference NR UE within the same deployment scenario</w:t>
            </w:r>
          </w:p>
          <w:p w14:paraId="24C9C3C3" w14:textId="77777777" w:rsidR="007E4B0D" w:rsidRPr="00776FA1" w:rsidRDefault="007E4B0D" w:rsidP="00205500">
            <w:pPr>
              <w:pStyle w:val="ListParagraph"/>
              <w:numPr>
                <w:ilvl w:val="1"/>
                <w:numId w:val="17"/>
              </w:numPr>
              <w:adjustRightInd/>
              <w:contextualSpacing w:val="0"/>
              <w:jc w:val="both"/>
              <w:rPr>
                <w:rFonts w:ascii="Arial" w:hAnsi="Arial" w:cs="Arial"/>
              </w:rPr>
            </w:pPr>
            <w:r w:rsidRPr="00776FA1">
              <w:rPr>
                <w:rFonts w:ascii="Arial" w:hAnsi="Arial" w:cs="Arial"/>
                <w:color w:val="000000" w:themeColor="text1"/>
                <w:lang w:eastAsia="zh-CN"/>
              </w:rPr>
              <w:t>Note: The reference UE is a Rel-15/16 NR UE with mandatory features only</w:t>
            </w:r>
          </w:p>
        </w:tc>
      </w:tr>
    </w:tbl>
    <w:p w14:paraId="55325523" w14:textId="77777777" w:rsidR="007E4B0D" w:rsidRDefault="007E4B0D" w:rsidP="007E4B0D">
      <w:pPr>
        <w:spacing w:before="180"/>
        <w:jc w:val="both"/>
        <w:rPr>
          <w:rFonts w:ascii="Arial" w:hAnsi="Arial" w:cs="Arial"/>
          <w:lang w:eastAsia="ja-JP"/>
        </w:rPr>
      </w:pPr>
      <w:r>
        <w:rPr>
          <w:rFonts w:ascii="Arial" w:hAnsi="Arial" w:cs="Arial"/>
          <w:lang w:eastAsia="ja-JP"/>
        </w:rPr>
        <w:t xml:space="preserve">With this methodology, a list of channels for FR1/FR2 that need coverage recovery were summarized in clause 9.1.5 of draft TR [2]. </w:t>
      </w:r>
    </w:p>
    <w:p w14:paraId="18F2099B" w14:textId="77777777" w:rsidR="007E4B0D" w:rsidRDefault="007E4B0D" w:rsidP="007E4B0D">
      <w:pPr>
        <w:spacing w:before="180"/>
        <w:jc w:val="both"/>
        <w:rPr>
          <w:rFonts w:ascii="Arial" w:hAnsi="Arial" w:cs="Arial"/>
          <w:lang w:eastAsia="ja-JP"/>
        </w:rPr>
      </w:pPr>
    </w:p>
    <w:p w14:paraId="097D0C6B" w14:textId="4AC652AC" w:rsidR="007E4B0D" w:rsidRDefault="007E4B0D" w:rsidP="007E4B0D">
      <w:pPr>
        <w:spacing w:before="180"/>
        <w:jc w:val="both"/>
        <w:rPr>
          <w:rFonts w:ascii="Arial" w:hAnsi="Arial" w:cs="Arial"/>
          <w:lang w:eastAsia="ja-JP"/>
        </w:rPr>
      </w:pPr>
      <w:r>
        <w:rPr>
          <w:rFonts w:ascii="Arial" w:hAnsi="Arial" w:cs="Arial"/>
          <w:lang w:eastAsia="ja-JP"/>
        </w:rPr>
        <w:t xml:space="preserve">Table 3 briefly captures the observations separately for FR1 and FR2, respectively. </w:t>
      </w:r>
    </w:p>
    <w:p w14:paraId="1D520BC3" w14:textId="4605F6E2" w:rsidR="007E4B0D" w:rsidRPr="00DF4913" w:rsidRDefault="007E4B0D" w:rsidP="007E4B0D">
      <w:pPr>
        <w:spacing w:before="180" w:after="60"/>
        <w:jc w:val="center"/>
        <w:rPr>
          <w:rFonts w:ascii="Arial" w:hAnsi="Arial" w:cs="Arial"/>
          <w:b/>
          <w:bCs/>
          <w:lang w:eastAsia="ja-JP"/>
        </w:rPr>
      </w:pPr>
      <w:r w:rsidRPr="00DF4913">
        <w:rPr>
          <w:rFonts w:ascii="Arial" w:hAnsi="Arial" w:cs="Arial"/>
          <w:b/>
          <w:bCs/>
          <w:lang w:eastAsia="ja-JP"/>
        </w:rPr>
        <w:t xml:space="preserve">Table </w:t>
      </w:r>
      <w:r>
        <w:rPr>
          <w:rFonts w:ascii="Arial" w:hAnsi="Arial" w:cs="Arial"/>
          <w:b/>
          <w:bCs/>
          <w:lang w:eastAsia="ja-JP"/>
        </w:rPr>
        <w:t>3</w:t>
      </w:r>
      <w:r w:rsidRPr="00DF4913">
        <w:rPr>
          <w:rFonts w:ascii="Arial" w:hAnsi="Arial" w:cs="Arial"/>
          <w:b/>
          <w:bCs/>
          <w:lang w:eastAsia="ja-JP"/>
        </w:rPr>
        <w:t>:</w:t>
      </w:r>
      <w:r>
        <w:rPr>
          <w:rFonts w:ascii="Arial" w:hAnsi="Arial" w:cs="Arial"/>
          <w:b/>
          <w:bCs/>
          <w:lang w:eastAsia="ja-JP"/>
        </w:rPr>
        <w:t xml:space="preserve"> Coverage Recovery Channels based on average evaluation results. </w:t>
      </w:r>
    </w:p>
    <w:tbl>
      <w:tblPr>
        <w:tblStyle w:val="TableGrid"/>
        <w:tblW w:w="0" w:type="auto"/>
        <w:jc w:val="center"/>
        <w:tblLook w:val="04A0" w:firstRow="1" w:lastRow="0" w:firstColumn="1" w:lastColumn="0" w:noHBand="0" w:noVBand="1"/>
      </w:tblPr>
      <w:tblGrid>
        <w:gridCol w:w="615"/>
        <w:gridCol w:w="640"/>
        <w:gridCol w:w="2880"/>
        <w:gridCol w:w="3330"/>
        <w:gridCol w:w="2497"/>
      </w:tblGrid>
      <w:tr w:rsidR="007E4B0D" w14:paraId="4E3B883D" w14:textId="77777777" w:rsidTr="00205500">
        <w:trPr>
          <w:jc w:val="center"/>
        </w:trPr>
        <w:tc>
          <w:tcPr>
            <w:tcW w:w="1255" w:type="dxa"/>
            <w:gridSpan w:val="2"/>
            <w:vMerge w:val="restart"/>
            <w:shd w:val="clear" w:color="auto" w:fill="73FB79"/>
          </w:tcPr>
          <w:p w14:paraId="6F99F5BA" w14:textId="77777777" w:rsidR="007E4B0D" w:rsidRDefault="007E4B0D" w:rsidP="00205500">
            <w:pPr>
              <w:spacing w:after="0"/>
              <w:rPr>
                <w:rFonts w:ascii="Arial" w:hAnsi="Arial" w:cs="Arial"/>
                <w:lang w:eastAsia="ja-JP"/>
              </w:rPr>
            </w:pPr>
          </w:p>
        </w:tc>
        <w:tc>
          <w:tcPr>
            <w:tcW w:w="6210" w:type="dxa"/>
            <w:gridSpan w:val="2"/>
            <w:shd w:val="clear" w:color="auto" w:fill="73FB79"/>
          </w:tcPr>
          <w:p w14:paraId="0074E220" w14:textId="77777777" w:rsidR="007E4B0D" w:rsidRDefault="007E4B0D" w:rsidP="00205500">
            <w:pPr>
              <w:spacing w:after="0"/>
              <w:jc w:val="center"/>
              <w:rPr>
                <w:rFonts w:ascii="Arial" w:hAnsi="Arial" w:cs="Arial"/>
                <w:lang w:eastAsia="ja-JP"/>
              </w:rPr>
            </w:pPr>
            <w:r>
              <w:rPr>
                <w:rFonts w:ascii="Arial" w:hAnsi="Arial" w:cs="Arial"/>
                <w:lang w:eastAsia="ja-JP"/>
              </w:rPr>
              <w:t>DL Channels that need coverage recovery</w:t>
            </w:r>
          </w:p>
        </w:tc>
        <w:tc>
          <w:tcPr>
            <w:tcW w:w="2497" w:type="dxa"/>
            <w:vMerge w:val="restart"/>
            <w:shd w:val="clear" w:color="auto" w:fill="FFFD78"/>
          </w:tcPr>
          <w:p w14:paraId="1F139B5A" w14:textId="77777777" w:rsidR="007E4B0D" w:rsidRDefault="007E4B0D" w:rsidP="00205500">
            <w:pPr>
              <w:spacing w:after="0"/>
              <w:jc w:val="center"/>
              <w:rPr>
                <w:rFonts w:ascii="Arial" w:hAnsi="Arial" w:cs="Arial"/>
                <w:lang w:eastAsia="ja-JP"/>
              </w:rPr>
            </w:pPr>
            <w:r>
              <w:rPr>
                <w:rFonts w:ascii="Arial" w:hAnsi="Arial" w:cs="Arial"/>
                <w:lang w:eastAsia="ja-JP"/>
              </w:rPr>
              <w:t>UL Channels that need coverage recovery</w:t>
            </w:r>
          </w:p>
        </w:tc>
      </w:tr>
      <w:tr w:rsidR="007E4B0D" w14:paraId="0B29EBAA" w14:textId="77777777" w:rsidTr="00205500">
        <w:trPr>
          <w:jc w:val="center"/>
        </w:trPr>
        <w:tc>
          <w:tcPr>
            <w:tcW w:w="1255" w:type="dxa"/>
            <w:gridSpan w:val="2"/>
            <w:vMerge/>
            <w:shd w:val="clear" w:color="auto" w:fill="73FB79"/>
          </w:tcPr>
          <w:p w14:paraId="5CE66882" w14:textId="77777777" w:rsidR="007E4B0D" w:rsidRDefault="007E4B0D" w:rsidP="00205500">
            <w:pPr>
              <w:spacing w:after="0"/>
              <w:rPr>
                <w:rFonts w:ascii="Arial" w:hAnsi="Arial" w:cs="Arial"/>
                <w:lang w:eastAsia="ja-JP"/>
              </w:rPr>
            </w:pPr>
          </w:p>
        </w:tc>
        <w:tc>
          <w:tcPr>
            <w:tcW w:w="2880" w:type="dxa"/>
            <w:shd w:val="clear" w:color="auto" w:fill="73FB79"/>
          </w:tcPr>
          <w:p w14:paraId="0E442B61" w14:textId="77777777" w:rsidR="007E4B0D" w:rsidRDefault="007E4B0D" w:rsidP="00205500">
            <w:pPr>
              <w:spacing w:after="0"/>
              <w:rPr>
                <w:rFonts w:ascii="Arial" w:hAnsi="Arial" w:cs="Arial"/>
                <w:lang w:eastAsia="ja-JP"/>
              </w:rPr>
            </w:pPr>
            <w:r>
              <w:rPr>
                <w:rFonts w:ascii="Arial" w:hAnsi="Arial" w:cs="Arial"/>
                <w:lang w:eastAsia="ja-JP"/>
              </w:rPr>
              <w:t>2 Rx branches (If supported)</w:t>
            </w:r>
          </w:p>
        </w:tc>
        <w:tc>
          <w:tcPr>
            <w:tcW w:w="3330" w:type="dxa"/>
            <w:shd w:val="clear" w:color="auto" w:fill="73FB79"/>
          </w:tcPr>
          <w:p w14:paraId="6840EE25" w14:textId="77777777" w:rsidR="007E4B0D" w:rsidRDefault="007E4B0D" w:rsidP="00205500">
            <w:pPr>
              <w:spacing w:after="0"/>
              <w:rPr>
                <w:rFonts w:ascii="Arial" w:hAnsi="Arial" w:cs="Arial"/>
                <w:lang w:eastAsia="ja-JP"/>
              </w:rPr>
            </w:pPr>
            <w:r>
              <w:rPr>
                <w:rFonts w:ascii="Arial" w:hAnsi="Arial" w:cs="Arial"/>
                <w:lang w:eastAsia="ja-JP"/>
              </w:rPr>
              <w:t>1 Rx branch (If supported)</w:t>
            </w:r>
          </w:p>
        </w:tc>
        <w:tc>
          <w:tcPr>
            <w:tcW w:w="2497" w:type="dxa"/>
            <w:vMerge/>
            <w:shd w:val="clear" w:color="auto" w:fill="FFFD78"/>
          </w:tcPr>
          <w:p w14:paraId="1DFCED57" w14:textId="77777777" w:rsidR="007E4B0D" w:rsidRDefault="007E4B0D" w:rsidP="00205500">
            <w:pPr>
              <w:spacing w:after="0"/>
              <w:rPr>
                <w:rFonts w:ascii="Arial" w:hAnsi="Arial" w:cs="Arial"/>
                <w:lang w:eastAsia="ja-JP"/>
              </w:rPr>
            </w:pPr>
          </w:p>
        </w:tc>
      </w:tr>
      <w:tr w:rsidR="007E4B0D" w14:paraId="2D1B2CC8" w14:textId="77777777" w:rsidTr="00205500">
        <w:trPr>
          <w:trHeight w:val="309"/>
          <w:jc w:val="center"/>
        </w:trPr>
        <w:tc>
          <w:tcPr>
            <w:tcW w:w="615" w:type="dxa"/>
            <w:vMerge w:val="restart"/>
          </w:tcPr>
          <w:p w14:paraId="6242900E" w14:textId="77777777" w:rsidR="007E4B0D" w:rsidRDefault="007E4B0D" w:rsidP="00205500">
            <w:pPr>
              <w:spacing w:after="0"/>
              <w:rPr>
                <w:rFonts w:ascii="Arial" w:hAnsi="Arial" w:cs="Arial"/>
                <w:lang w:eastAsia="ja-JP"/>
              </w:rPr>
            </w:pPr>
            <w:r>
              <w:rPr>
                <w:rFonts w:ascii="Arial" w:hAnsi="Arial" w:cs="Arial"/>
                <w:lang w:eastAsia="ja-JP"/>
              </w:rPr>
              <w:t>FR1</w:t>
            </w:r>
          </w:p>
        </w:tc>
        <w:tc>
          <w:tcPr>
            <w:tcW w:w="640" w:type="dxa"/>
          </w:tcPr>
          <w:p w14:paraId="2E9D44E0" w14:textId="77777777" w:rsidR="007E4B0D" w:rsidRDefault="007E4B0D" w:rsidP="00205500">
            <w:pPr>
              <w:spacing w:after="0"/>
              <w:rPr>
                <w:rFonts w:ascii="Arial" w:hAnsi="Arial" w:cs="Arial"/>
                <w:lang w:eastAsia="ja-JP"/>
              </w:rPr>
            </w:pPr>
            <w:r>
              <w:rPr>
                <w:rFonts w:ascii="Arial" w:hAnsi="Arial" w:cs="Arial"/>
                <w:lang w:eastAsia="ja-JP"/>
              </w:rPr>
              <w:t>FDD</w:t>
            </w:r>
          </w:p>
        </w:tc>
        <w:tc>
          <w:tcPr>
            <w:tcW w:w="2880" w:type="dxa"/>
          </w:tcPr>
          <w:p w14:paraId="62680C68" w14:textId="77777777" w:rsidR="007E4B0D" w:rsidRPr="00FE0C05" w:rsidRDefault="007E4B0D" w:rsidP="00205500">
            <w:pPr>
              <w:pStyle w:val="ListParagraph"/>
              <w:numPr>
                <w:ilvl w:val="0"/>
                <w:numId w:val="20"/>
              </w:numPr>
              <w:spacing w:after="0"/>
              <w:ind w:left="255" w:hanging="255"/>
              <w:rPr>
                <w:rFonts w:ascii="Arial" w:hAnsi="Arial" w:cs="Arial"/>
                <w:lang w:eastAsia="ja-JP"/>
              </w:rPr>
            </w:pPr>
            <w:r w:rsidRPr="00FE0C05">
              <w:rPr>
                <w:rFonts w:ascii="Arial" w:hAnsi="Arial" w:cs="Arial"/>
                <w:lang w:eastAsia="ja-JP"/>
              </w:rPr>
              <w:t xml:space="preserve">None </w:t>
            </w:r>
          </w:p>
        </w:tc>
        <w:tc>
          <w:tcPr>
            <w:tcW w:w="3330" w:type="dxa"/>
          </w:tcPr>
          <w:p w14:paraId="4CB0D31D" w14:textId="77777777" w:rsidR="007E4B0D" w:rsidRPr="00FE0C05" w:rsidRDefault="007E4B0D" w:rsidP="00205500">
            <w:pPr>
              <w:pStyle w:val="ListParagraph"/>
              <w:numPr>
                <w:ilvl w:val="0"/>
                <w:numId w:val="20"/>
              </w:numPr>
              <w:spacing w:after="0"/>
              <w:ind w:left="347"/>
              <w:rPr>
                <w:rFonts w:ascii="Arial" w:hAnsi="Arial" w:cs="Arial"/>
                <w:lang w:eastAsia="ja-JP"/>
              </w:rPr>
            </w:pPr>
            <w:r w:rsidRPr="00FE0C05">
              <w:rPr>
                <w:rFonts w:ascii="Arial" w:hAnsi="Arial" w:cs="Arial"/>
                <w:lang w:eastAsia="ja-JP"/>
              </w:rPr>
              <w:t xml:space="preserve">None </w:t>
            </w:r>
          </w:p>
        </w:tc>
        <w:tc>
          <w:tcPr>
            <w:tcW w:w="2497" w:type="dxa"/>
            <w:vMerge w:val="restart"/>
          </w:tcPr>
          <w:p w14:paraId="369FD780" w14:textId="77777777" w:rsidR="007E4B0D" w:rsidRPr="00DF4913" w:rsidRDefault="007E4B0D" w:rsidP="00205500">
            <w:pPr>
              <w:pStyle w:val="ListParagraph"/>
              <w:numPr>
                <w:ilvl w:val="0"/>
                <w:numId w:val="18"/>
              </w:numPr>
              <w:spacing w:after="0"/>
              <w:rPr>
                <w:rFonts w:ascii="Arial" w:hAnsi="Arial" w:cs="Arial"/>
                <w:lang w:eastAsia="ja-JP"/>
              </w:rPr>
            </w:pPr>
            <w:r>
              <w:rPr>
                <w:rFonts w:ascii="Arial" w:hAnsi="Arial" w:cs="Arial"/>
                <w:lang w:eastAsia="ja-JP"/>
              </w:rPr>
              <w:t xml:space="preserve">For both TDD and FDD in FR1, PUSCH and/or Msg3 need up to 3dB coverage recovery due to lower antenna efficiency. </w:t>
            </w:r>
          </w:p>
        </w:tc>
      </w:tr>
      <w:tr w:rsidR="007E4B0D" w14:paraId="5C85E222" w14:textId="77777777" w:rsidTr="00205500">
        <w:trPr>
          <w:jc w:val="center"/>
        </w:trPr>
        <w:tc>
          <w:tcPr>
            <w:tcW w:w="615" w:type="dxa"/>
            <w:vMerge/>
          </w:tcPr>
          <w:p w14:paraId="0691C1FC" w14:textId="77777777" w:rsidR="007E4B0D" w:rsidRDefault="007E4B0D" w:rsidP="00205500">
            <w:pPr>
              <w:spacing w:after="0"/>
              <w:rPr>
                <w:rFonts w:ascii="Arial" w:hAnsi="Arial" w:cs="Arial"/>
                <w:lang w:eastAsia="ja-JP"/>
              </w:rPr>
            </w:pPr>
          </w:p>
        </w:tc>
        <w:tc>
          <w:tcPr>
            <w:tcW w:w="640" w:type="dxa"/>
          </w:tcPr>
          <w:p w14:paraId="20CBA569" w14:textId="77777777" w:rsidR="007E4B0D" w:rsidRDefault="007E4B0D" w:rsidP="00205500">
            <w:pPr>
              <w:spacing w:after="0"/>
              <w:rPr>
                <w:rFonts w:ascii="Arial" w:hAnsi="Arial" w:cs="Arial"/>
                <w:lang w:eastAsia="ja-JP"/>
              </w:rPr>
            </w:pPr>
            <w:r>
              <w:rPr>
                <w:rFonts w:ascii="Arial" w:hAnsi="Arial" w:cs="Arial"/>
                <w:lang w:eastAsia="ja-JP"/>
              </w:rPr>
              <w:t>TDD</w:t>
            </w:r>
          </w:p>
        </w:tc>
        <w:tc>
          <w:tcPr>
            <w:tcW w:w="2880" w:type="dxa"/>
          </w:tcPr>
          <w:p w14:paraId="3F955DD9" w14:textId="77777777" w:rsidR="007E4B0D" w:rsidRPr="00FE0C05" w:rsidRDefault="007E4B0D" w:rsidP="00205500">
            <w:pPr>
              <w:pStyle w:val="ListParagraph"/>
              <w:numPr>
                <w:ilvl w:val="0"/>
                <w:numId w:val="18"/>
              </w:numPr>
              <w:spacing w:after="0"/>
              <w:ind w:left="255" w:hanging="255"/>
              <w:rPr>
                <w:rFonts w:ascii="Arial" w:hAnsi="Arial" w:cs="Arial"/>
                <w:lang w:eastAsia="ja-JP"/>
              </w:rPr>
            </w:pPr>
            <w:r w:rsidRPr="00FE0C05">
              <w:rPr>
                <w:rFonts w:ascii="Arial" w:hAnsi="Arial" w:cs="Arial"/>
                <w:lang w:eastAsia="ja-JP"/>
              </w:rPr>
              <w:t xml:space="preserve">None </w:t>
            </w:r>
          </w:p>
        </w:tc>
        <w:tc>
          <w:tcPr>
            <w:tcW w:w="3330" w:type="dxa"/>
          </w:tcPr>
          <w:p w14:paraId="603E2A38" w14:textId="77777777" w:rsidR="007E4B0D" w:rsidRPr="00FE0C05" w:rsidRDefault="007E4B0D" w:rsidP="00205500">
            <w:pPr>
              <w:pStyle w:val="ListParagraph"/>
              <w:numPr>
                <w:ilvl w:val="0"/>
                <w:numId w:val="18"/>
              </w:numPr>
              <w:spacing w:after="0"/>
              <w:rPr>
                <w:rFonts w:ascii="Arial" w:hAnsi="Arial" w:cs="Arial"/>
                <w:lang w:eastAsia="ja-JP"/>
              </w:rPr>
            </w:pPr>
            <w:r w:rsidRPr="00FE0C05">
              <w:rPr>
                <w:rFonts w:ascii="Arial" w:hAnsi="Arial" w:cs="Arial"/>
                <w:lang w:eastAsia="ja-JP"/>
              </w:rPr>
              <w:t xml:space="preserve">Lower DL PSD (24dBm/MHz) </w:t>
            </w:r>
          </w:p>
          <w:p w14:paraId="4BE67EC2" w14:textId="77777777" w:rsidR="007E4B0D" w:rsidRDefault="007E4B0D" w:rsidP="00205500">
            <w:pPr>
              <w:pStyle w:val="ListParagraph"/>
              <w:numPr>
                <w:ilvl w:val="1"/>
                <w:numId w:val="18"/>
              </w:numPr>
              <w:spacing w:after="0"/>
              <w:ind w:left="705"/>
              <w:rPr>
                <w:rFonts w:ascii="Arial" w:hAnsi="Arial" w:cs="Arial"/>
                <w:lang w:eastAsia="ja-JP"/>
              </w:rPr>
            </w:pPr>
            <w:r>
              <w:rPr>
                <w:rFonts w:ascii="Arial" w:hAnsi="Arial" w:cs="Arial"/>
                <w:lang w:eastAsia="ja-JP"/>
              </w:rPr>
              <w:t xml:space="preserve">4GHz frequency, PDCCH CSS/Msg4/Msg2. </w:t>
            </w:r>
          </w:p>
          <w:p w14:paraId="6499BF34" w14:textId="77777777" w:rsidR="007E4B0D" w:rsidRPr="00DF4913" w:rsidRDefault="007E4B0D" w:rsidP="00205500">
            <w:pPr>
              <w:pStyle w:val="ListParagraph"/>
              <w:numPr>
                <w:ilvl w:val="1"/>
                <w:numId w:val="18"/>
              </w:numPr>
              <w:spacing w:after="0"/>
              <w:ind w:left="705"/>
              <w:rPr>
                <w:rFonts w:ascii="Arial" w:hAnsi="Arial" w:cs="Arial"/>
                <w:lang w:eastAsia="ja-JP"/>
              </w:rPr>
            </w:pPr>
            <w:r>
              <w:rPr>
                <w:rFonts w:ascii="Arial" w:hAnsi="Arial" w:cs="Arial"/>
                <w:lang w:eastAsia="ja-JP"/>
              </w:rPr>
              <w:t xml:space="preserve">Other frequency: None  </w:t>
            </w:r>
          </w:p>
          <w:p w14:paraId="794908DA" w14:textId="77777777" w:rsidR="007E4B0D" w:rsidRPr="00DF4913" w:rsidRDefault="007E4B0D" w:rsidP="00205500">
            <w:pPr>
              <w:pStyle w:val="ListParagraph"/>
              <w:numPr>
                <w:ilvl w:val="0"/>
                <w:numId w:val="18"/>
              </w:numPr>
              <w:spacing w:after="0"/>
              <w:rPr>
                <w:rFonts w:ascii="Arial" w:hAnsi="Arial" w:cs="Arial"/>
                <w:lang w:eastAsia="ja-JP"/>
              </w:rPr>
            </w:pPr>
            <w:r>
              <w:rPr>
                <w:rFonts w:ascii="Arial" w:hAnsi="Arial" w:cs="Arial"/>
                <w:lang w:eastAsia="ja-JP"/>
              </w:rPr>
              <w:t xml:space="preserve">33dBm/MHz PSD: None </w:t>
            </w:r>
            <w:r w:rsidRPr="00DF4913">
              <w:rPr>
                <w:rFonts w:ascii="Arial" w:hAnsi="Arial" w:cs="Arial"/>
                <w:lang w:eastAsia="ja-JP"/>
              </w:rPr>
              <w:t xml:space="preserve"> </w:t>
            </w:r>
          </w:p>
        </w:tc>
        <w:tc>
          <w:tcPr>
            <w:tcW w:w="2497" w:type="dxa"/>
            <w:vMerge/>
          </w:tcPr>
          <w:p w14:paraId="01E580AB" w14:textId="77777777" w:rsidR="007E4B0D" w:rsidRDefault="007E4B0D" w:rsidP="00205500">
            <w:pPr>
              <w:spacing w:after="0"/>
              <w:rPr>
                <w:rFonts w:ascii="Arial" w:hAnsi="Arial" w:cs="Arial"/>
                <w:lang w:eastAsia="ja-JP"/>
              </w:rPr>
            </w:pPr>
          </w:p>
        </w:tc>
      </w:tr>
      <w:tr w:rsidR="007E4B0D" w14:paraId="03E9E670" w14:textId="77777777" w:rsidTr="00205500">
        <w:trPr>
          <w:jc w:val="center"/>
        </w:trPr>
        <w:tc>
          <w:tcPr>
            <w:tcW w:w="1255" w:type="dxa"/>
            <w:gridSpan w:val="2"/>
          </w:tcPr>
          <w:p w14:paraId="17410D2B" w14:textId="77777777" w:rsidR="007E4B0D" w:rsidRDefault="007E4B0D" w:rsidP="00205500">
            <w:pPr>
              <w:spacing w:after="0"/>
              <w:rPr>
                <w:rFonts w:ascii="Arial" w:hAnsi="Arial" w:cs="Arial"/>
                <w:lang w:eastAsia="ja-JP"/>
              </w:rPr>
            </w:pPr>
            <w:r>
              <w:rPr>
                <w:rFonts w:ascii="Arial" w:hAnsi="Arial" w:cs="Arial"/>
                <w:lang w:eastAsia="ja-JP"/>
              </w:rPr>
              <w:t>FR2</w:t>
            </w:r>
          </w:p>
        </w:tc>
        <w:tc>
          <w:tcPr>
            <w:tcW w:w="2880" w:type="dxa"/>
          </w:tcPr>
          <w:p w14:paraId="35A2FACC" w14:textId="77777777" w:rsidR="007E4B0D" w:rsidRDefault="007E4B0D" w:rsidP="00205500">
            <w:pPr>
              <w:spacing w:after="0"/>
              <w:rPr>
                <w:rFonts w:ascii="Arial" w:hAnsi="Arial" w:cs="Arial"/>
                <w:lang w:eastAsia="ja-JP"/>
              </w:rPr>
            </w:pPr>
            <w:r>
              <w:rPr>
                <w:rFonts w:ascii="Arial" w:hAnsi="Arial" w:cs="Arial"/>
                <w:lang w:eastAsia="ja-JP"/>
              </w:rPr>
              <w:t xml:space="preserve">Not applied </w:t>
            </w:r>
          </w:p>
        </w:tc>
        <w:tc>
          <w:tcPr>
            <w:tcW w:w="3330" w:type="dxa"/>
          </w:tcPr>
          <w:p w14:paraId="487C2539" w14:textId="77777777" w:rsidR="007E4B0D" w:rsidRPr="00FE0C05" w:rsidRDefault="007E4B0D" w:rsidP="00205500">
            <w:pPr>
              <w:pStyle w:val="ListParagraph"/>
              <w:numPr>
                <w:ilvl w:val="0"/>
                <w:numId w:val="19"/>
              </w:numPr>
              <w:spacing w:after="0"/>
              <w:rPr>
                <w:rFonts w:ascii="Arial" w:hAnsi="Arial" w:cs="Arial"/>
                <w:lang w:eastAsia="ja-JP"/>
              </w:rPr>
            </w:pPr>
            <w:r w:rsidRPr="00FE0C05">
              <w:rPr>
                <w:rFonts w:ascii="Arial" w:hAnsi="Arial" w:cs="Arial"/>
                <w:lang w:eastAsia="ja-JP"/>
              </w:rPr>
              <w:t>100MHz BW: None</w:t>
            </w:r>
          </w:p>
          <w:p w14:paraId="5DACCFA0" w14:textId="77777777" w:rsidR="007E4B0D" w:rsidRPr="00FE0C05" w:rsidRDefault="007E4B0D" w:rsidP="00205500">
            <w:pPr>
              <w:pStyle w:val="ListParagraph"/>
              <w:numPr>
                <w:ilvl w:val="0"/>
                <w:numId w:val="19"/>
              </w:numPr>
              <w:spacing w:after="0"/>
              <w:rPr>
                <w:rFonts w:ascii="Arial" w:hAnsi="Arial" w:cs="Arial"/>
                <w:lang w:eastAsia="ja-JP"/>
              </w:rPr>
            </w:pPr>
            <w:r w:rsidRPr="00FE0C05">
              <w:rPr>
                <w:rFonts w:ascii="Arial" w:hAnsi="Arial" w:cs="Arial"/>
                <w:lang w:eastAsia="ja-JP"/>
              </w:rPr>
              <w:t xml:space="preserve">50MHz BW: </w:t>
            </w:r>
            <w:r>
              <w:rPr>
                <w:rFonts w:ascii="Arial" w:hAnsi="Arial" w:cs="Arial"/>
                <w:lang w:eastAsia="ja-JP"/>
              </w:rPr>
              <w:t xml:space="preserve">PDSCH if same target rate is assumed as 100MHz case. </w:t>
            </w:r>
          </w:p>
        </w:tc>
        <w:tc>
          <w:tcPr>
            <w:tcW w:w="2497" w:type="dxa"/>
          </w:tcPr>
          <w:p w14:paraId="49A617BF" w14:textId="77777777" w:rsidR="007E4B0D" w:rsidRPr="00FE0C05" w:rsidRDefault="007E4B0D" w:rsidP="00205500">
            <w:pPr>
              <w:pStyle w:val="ListParagraph"/>
              <w:numPr>
                <w:ilvl w:val="0"/>
                <w:numId w:val="19"/>
              </w:numPr>
              <w:spacing w:after="0"/>
              <w:rPr>
                <w:rFonts w:ascii="Arial" w:hAnsi="Arial" w:cs="Arial"/>
                <w:lang w:eastAsia="ja-JP"/>
              </w:rPr>
            </w:pPr>
            <w:r w:rsidRPr="00FE0C05">
              <w:rPr>
                <w:rFonts w:ascii="Arial" w:hAnsi="Arial" w:cs="Arial"/>
                <w:lang w:eastAsia="ja-JP"/>
              </w:rPr>
              <w:t xml:space="preserve">None </w:t>
            </w:r>
          </w:p>
        </w:tc>
      </w:tr>
    </w:tbl>
    <w:p w14:paraId="232DEBAD" w14:textId="1E644A39" w:rsidR="00D25F8D" w:rsidRDefault="007E4B0D" w:rsidP="003B6141">
      <w:pPr>
        <w:spacing w:before="180"/>
        <w:jc w:val="both"/>
        <w:rPr>
          <w:rFonts w:ascii="Arial" w:hAnsi="Arial" w:cs="Arial"/>
          <w:lang w:eastAsia="ja-JP"/>
        </w:rPr>
      </w:pPr>
      <w:r>
        <w:rPr>
          <w:rFonts w:ascii="Arial" w:hAnsi="Arial" w:cs="Arial"/>
          <w:lang w:eastAsia="ja-JP"/>
        </w:rPr>
        <w:t xml:space="preserve">Referring to Table 3, </w:t>
      </w:r>
      <w:r w:rsidR="00D25F8D">
        <w:rPr>
          <w:rFonts w:ascii="Arial" w:hAnsi="Arial" w:cs="Arial"/>
          <w:lang w:eastAsia="ja-JP"/>
        </w:rPr>
        <w:t xml:space="preserve">the following observations can be summarized for DL and UL channels, respectively: </w:t>
      </w:r>
      <w:r>
        <w:rPr>
          <w:rFonts w:ascii="Arial" w:hAnsi="Arial" w:cs="Arial"/>
          <w:lang w:eastAsia="ja-JP"/>
        </w:rPr>
        <w:t xml:space="preserve"> </w:t>
      </w:r>
    </w:p>
    <w:p w14:paraId="335766A5" w14:textId="77777777" w:rsidR="00D25F8D" w:rsidRDefault="00D25F8D" w:rsidP="003B6141">
      <w:pPr>
        <w:pStyle w:val="ListParagraph"/>
        <w:numPr>
          <w:ilvl w:val="0"/>
          <w:numId w:val="25"/>
        </w:numPr>
        <w:spacing w:before="180"/>
        <w:jc w:val="both"/>
        <w:rPr>
          <w:rFonts w:ascii="Arial" w:hAnsi="Arial" w:cs="Arial"/>
          <w:lang w:eastAsia="ja-JP"/>
        </w:rPr>
      </w:pPr>
      <w:r>
        <w:rPr>
          <w:rFonts w:ascii="Arial" w:hAnsi="Arial" w:cs="Arial"/>
          <w:lang w:eastAsia="ja-JP"/>
        </w:rPr>
        <w:t>Downlink Channels</w:t>
      </w:r>
    </w:p>
    <w:p w14:paraId="057E4684" w14:textId="208898B7" w:rsidR="00D25F8D" w:rsidRDefault="00D25F8D" w:rsidP="003B6141">
      <w:pPr>
        <w:pStyle w:val="ListParagraph"/>
        <w:numPr>
          <w:ilvl w:val="1"/>
          <w:numId w:val="25"/>
        </w:numPr>
        <w:spacing w:before="180"/>
        <w:jc w:val="both"/>
        <w:rPr>
          <w:rFonts w:ascii="Arial" w:hAnsi="Arial" w:cs="Arial"/>
          <w:lang w:eastAsia="ja-JP"/>
        </w:rPr>
      </w:pPr>
      <w:r>
        <w:rPr>
          <w:rFonts w:ascii="Arial" w:hAnsi="Arial" w:cs="Arial"/>
          <w:lang w:eastAsia="ja-JP"/>
        </w:rPr>
        <w:t>T</w:t>
      </w:r>
      <w:r w:rsidR="007E4B0D" w:rsidRPr="00D25F8D">
        <w:rPr>
          <w:rFonts w:ascii="Arial" w:hAnsi="Arial" w:cs="Arial"/>
          <w:lang w:eastAsia="ja-JP"/>
        </w:rPr>
        <w:t xml:space="preserve">here is no need of coverage recovery for DL channels with 2 Rx antennas. </w:t>
      </w:r>
    </w:p>
    <w:p w14:paraId="780C8FCE" w14:textId="77777777" w:rsidR="00D25F8D" w:rsidRDefault="007E4B0D" w:rsidP="003B6141">
      <w:pPr>
        <w:pStyle w:val="ListParagraph"/>
        <w:numPr>
          <w:ilvl w:val="1"/>
          <w:numId w:val="25"/>
        </w:numPr>
        <w:spacing w:before="180"/>
        <w:jc w:val="both"/>
        <w:rPr>
          <w:rFonts w:ascii="Arial" w:hAnsi="Arial" w:cs="Arial"/>
          <w:lang w:eastAsia="ja-JP"/>
        </w:rPr>
      </w:pPr>
      <w:r w:rsidRPr="00D25F8D">
        <w:rPr>
          <w:rFonts w:ascii="Arial" w:hAnsi="Arial" w:cs="Arial"/>
          <w:lang w:eastAsia="ja-JP"/>
        </w:rPr>
        <w:t xml:space="preserve">For 1 Rx antenna, there is no need of coverage recovery as well except for carrier frequency of 4GHz with lower 24dBm/MHz PSD. </w:t>
      </w:r>
    </w:p>
    <w:p w14:paraId="2E0ABF0D" w14:textId="77777777" w:rsidR="00D25F8D" w:rsidRDefault="00D25F8D" w:rsidP="003B6141">
      <w:pPr>
        <w:pStyle w:val="ListParagraph"/>
        <w:numPr>
          <w:ilvl w:val="0"/>
          <w:numId w:val="25"/>
        </w:numPr>
        <w:spacing w:before="180"/>
        <w:jc w:val="both"/>
        <w:rPr>
          <w:rFonts w:ascii="Arial" w:hAnsi="Arial" w:cs="Arial"/>
          <w:lang w:eastAsia="ja-JP"/>
        </w:rPr>
      </w:pPr>
      <w:r>
        <w:rPr>
          <w:rFonts w:ascii="Arial" w:hAnsi="Arial" w:cs="Arial"/>
          <w:lang w:eastAsia="ja-JP"/>
        </w:rPr>
        <w:t>Uplink Channels</w:t>
      </w:r>
    </w:p>
    <w:p w14:paraId="3F3A0751" w14:textId="0248DE0F" w:rsidR="007E4B0D" w:rsidRPr="00D25F8D" w:rsidRDefault="007E4B0D" w:rsidP="003B6141">
      <w:pPr>
        <w:pStyle w:val="ListParagraph"/>
        <w:numPr>
          <w:ilvl w:val="1"/>
          <w:numId w:val="25"/>
        </w:numPr>
        <w:spacing w:before="180"/>
        <w:jc w:val="both"/>
        <w:rPr>
          <w:rFonts w:ascii="Arial" w:hAnsi="Arial" w:cs="Arial"/>
          <w:lang w:eastAsia="ja-JP"/>
        </w:rPr>
      </w:pPr>
      <w:r w:rsidRPr="00D25F8D">
        <w:rPr>
          <w:rFonts w:ascii="Arial" w:hAnsi="Arial" w:cs="Arial"/>
          <w:lang w:eastAsia="ja-JP"/>
        </w:rPr>
        <w:t>For FR1, up to 3dB coverage recovery is required for</w:t>
      </w:r>
      <w:r w:rsidR="00D25F8D">
        <w:rPr>
          <w:rFonts w:ascii="Arial" w:hAnsi="Arial" w:cs="Arial"/>
          <w:lang w:eastAsia="ja-JP"/>
        </w:rPr>
        <w:t xml:space="preserve"> PUSCH and/or Msg3</w:t>
      </w:r>
      <w:r w:rsidRPr="00D25F8D">
        <w:rPr>
          <w:rFonts w:ascii="Arial" w:hAnsi="Arial" w:cs="Arial"/>
          <w:lang w:eastAsia="ja-JP"/>
        </w:rPr>
        <w:t xml:space="preserve"> Redcap devices due to lower antenna efficiency. </w:t>
      </w:r>
    </w:p>
    <w:p w14:paraId="6B5F7B2D" w14:textId="65B9A311" w:rsidR="00AD549C" w:rsidRDefault="00F8032F" w:rsidP="003B6141">
      <w:pPr>
        <w:spacing w:before="180"/>
        <w:jc w:val="both"/>
        <w:rPr>
          <w:rFonts w:ascii="Arial" w:hAnsi="Arial" w:cs="Arial"/>
          <w:lang w:eastAsia="ja-JP"/>
        </w:rPr>
      </w:pPr>
      <w:r>
        <w:rPr>
          <w:rFonts w:ascii="Arial" w:hAnsi="Arial" w:cs="Arial"/>
          <w:lang w:eastAsia="ja-JP"/>
        </w:rPr>
        <w:t xml:space="preserve">The observations above were also well captured in TR 38.875 as follows as the conclusion of study item: </w:t>
      </w:r>
    </w:p>
    <w:tbl>
      <w:tblPr>
        <w:tblStyle w:val="TableGrid"/>
        <w:tblW w:w="0" w:type="auto"/>
        <w:tblLook w:val="04A0" w:firstRow="1" w:lastRow="0" w:firstColumn="1" w:lastColumn="0" w:noHBand="0" w:noVBand="1"/>
      </w:tblPr>
      <w:tblGrid>
        <w:gridCol w:w="9962"/>
      </w:tblGrid>
      <w:tr w:rsidR="00F8032F" w14:paraId="55B7ABFA" w14:textId="77777777" w:rsidTr="00F8032F">
        <w:tc>
          <w:tcPr>
            <w:tcW w:w="9962" w:type="dxa"/>
          </w:tcPr>
          <w:p w14:paraId="031A49D1" w14:textId="77777777" w:rsidR="00F8032F" w:rsidRPr="00F8032F" w:rsidRDefault="00F8032F" w:rsidP="00F8032F">
            <w:pPr>
              <w:pStyle w:val="NormalWeb"/>
              <w:rPr>
                <w:rFonts w:ascii="Arial" w:hAnsi="Arial" w:cs="Arial"/>
                <w:lang w:val="en-US" w:eastAsia="zh-CN"/>
              </w:rPr>
            </w:pPr>
            <w:r w:rsidRPr="00F8032F">
              <w:rPr>
                <w:rFonts w:ascii="Arial" w:hAnsi="Arial" w:cs="Arial"/>
                <w:sz w:val="20"/>
                <w:szCs w:val="20"/>
              </w:rPr>
              <w:t xml:space="preserve">For FR1: </w:t>
            </w:r>
          </w:p>
          <w:p w14:paraId="228E9186" w14:textId="54F7E977" w:rsidR="00F8032F" w:rsidRPr="00F8032F" w:rsidRDefault="00F8032F" w:rsidP="00F8032F">
            <w:pPr>
              <w:pStyle w:val="NormalWeb"/>
              <w:numPr>
                <w:ilvl w:val="0"/>
                <w:numId w:val="26"/>
              </w:numPr>
              <w:spacing w:after="180" w:afterAutospacing="0"/>
              <w:rPr>
                <w:rFonts w:ascii="Arial" w:hAnsi="Arial" w:cs="Arial"/>
                <w:highlight w:val="yellow"/>
              </w:rPr>
            </w:pPr>
            <w:r w:rsidRPr="00F8032F">
              <w:rPr>
                <w:rFonts w:ascii="Arial" w:hAnsi="Arial" w:cs="Arial"/>
                <w:sz w:val="20"/>
                <w:szCs w:val="20"/>
                <w:highlight w:val="yellow"/>
              </w:rPr>
              <w:t xml:space="preserve">For FR1, under the consideration of potential reduced antenna efficiency due to device size limitations, the MIL(s) of PUSCH and/or Msg3 are worse than that of the bottleneck channel for the reference NR UE and coverage recovery is needed. The amount of coverage recovery is up to 3 </w:t>
            </w:r>
            <w:proofErr w:type="spellStart"/>
            <w:r w:rsidRPr="00F8032F">
              <w:rPr>
                <w:rFonts w:ascii="Arial" w:hAnsi="Arial" w:cs="Arial"/>
                <w:sz w:val="20"/>
                <w:szCs w:val="20"/>
                <w:highlight w:val="yellow"/>
              </w:rPr>
              <w:t>dB.</w:t>
            </w:r>
            <w:proofErr w:type="spellEnd"/>
            <w:r w:rsidRPr="00F8032F">
              <w:rPr>
                <w:rFonts w:ascii="Arial" w:hAnsi="Arial" w:cs="Arial"/>
                <w:sz w:val="20"/>
                <w:szCs w:val="20"/>
                <w:highlight w:val="yellow"/>
              </w:rPr>
              <w:t xml:space="preserve"> For other UL channels, coverage recovery may be not needed. </w:t>
            </w:r>
          </w:p>
          <w:p w14:paraId="527176CE" w14:textId="6BD85147" w:rsidR="00F8032F" w:rsidRPr="00F8032F" w:rsidRDefault="00F8032F" w:rsidP="00F8032F">
            <w:pPr>
              <w:pStyle w:val="NormalWeb"/>
              <w:numPr>
                <w:ilvl w:val="0"/>
                <w:numId w:val="26"/>
              </w:numPr>
              <w:spacing w:after="180" w:afterAutospacing="0"/>
              <w:rPr>
                <w:rFonts w:ascii="Arial" w:hAnsi="Arial" w:cs="Arial"/>
              </w:rPr>
            </w:pPr>
            <w:r w:rsidRPr="00F8032F">
              <w:rPr>
                <w:rFonts w:ascii="Arial" w:hAnsi="Arial" w:cs="Arial"/>
                <w:sz w:val="20"/>
                <w:szCs w:val="20"/>
              </w:rPr>
              <w:t xml:space="preserve">For FR1 including both FDD and TDD bands and RedCap UE with 2 Rx and reduced antenna efficiency, the MIL(s) of all the downlink channels are better than that of the bottleneck channel for the reference NR UE and coverage recovery is not needed. </w:t>
            </w:r>
          </w:p>
          <w:p w14:paraId="65E7A55C" w14:textId="64B300BC" w:rsidR="00F8032F" w:rsidRPr="00F8032F" w:rsidRDefault="00F8032F" w:rsidP="00F8032F">
            <w:pPr>
              <w:pStyle w:val="NormalWeb"/>
              <w:numPr>
                <w:ilvl w:val="0"/>
                <w:numId w:val="26"/>
              </w:numPr>
              <w:spacing w:after="180" w:afterAutospacing="0"/>
              <w:rPr>
                <w:rFonts w:ascii="Arial" w:hAnsi="Arial" w:cs="Arial"/>
              </w:rPr>
            </w:pPr>
            <w:r w:rsidRPr="00F8032F">
              <w:rPr>
                <w:rFonts w:ascii="Arial" w:hAnsi="Arial" w:cs="Arial"/>
                <w:sz w:val="20"/>
                <w:szCs w:val="20"/>
              </w:rPr>
              <w:t xml:space="preserve">For RedCap UE with 1 Rx and reduced antenna efficiency, dependent on frequency bands and the assumption of DL PSD, the need for coverage recovery can be different </w:t>
            </w:r>
          </w:p>
          <w:p w14:paraId="02BFA32D" w14:textId="21AA3CB3" w:rsidR="00F8032F" w:rsidRPr="00F8032F" w:rsidRDefault="00F8032F" w:rsidP="00F8032F">
            <w:pPr>
              <w:pStyle w:val="NormalWeb"/>
              <w:numPr>
                <w:ilvl w:val="1"/>
                <w:numId w:val="26"/>
              </w:numPr>
              <w:rPr>
                <w:rFonts w:ascii="Arial" w:hAnsi="Arial" w:cs="Arial"/>
              </w:rPr>
            </w:pPr>
            <w:r w:rsidRPr="00F8032F">
              <w:rPr>
                <w:rFonts w:ascii="Arial" w:hAnsi="Arial" w:cs="Arial"/>
                <w:sz w:val="20"/>
                <w:szCs w:val="20"/>
              </w:rPr>
              <w:t xml:space="preserve">For carrier frequency of 4 GHz with DL PSD 24 dBm/MHz, coverage recovery may be needed for the downlink channels of Msg2, Msg4 and PDCCH CSS. A small or moderate compensation can be considered, where the square brackets indicate that the exact amount will depend on the techniques, scenarios, etc.: </w:t>
            </w:r>
          </w:p>
          <w:p w14:paraId="0CE3A647" w14:textId="0B3F2F53" w:rsidR="00F8032F" w:rsidRPr="00F8032F" w:rsidRDefault="00F8032F" w:rsidP="00F8032F">
            <w:pPr>
              <w:pStyle w:val="NormalWeb"/>
              <w:numPr>
                <w:ilvl w:val="2"/>
                <w:numId w:val="27"/>
              </w:numPr>
              <w:rPr>
                <w:rFonts w:ascii="Arial" w:hAnsi="Arial" w:cs="Arial"/>
              </w:rPr>
            </w:pPr>
            <w:r w:rsidRPr="00F8032F">
              <w:rPr>
                <w:rFonts w:ascii="Arial" w:hAnsi="Arial" w:cs="Arial"/>
                <w:sz w:val="20"/>
                <w:szCs w:val="20"/>
              </w:rPr>
              <w:t xml:space="preserve">[1 dB] for PDCCH CSS </w:t>
            </w:r>
          </w:p>
          <w:p w14:paraId="146EBCBA" w14:textId="10D0770C" w:rsidR="00F8032F" w:rsidRPr="00F8032F" w:rsidRDefault="00F8032F" w:rsidP="00F8032F">
            <w:pPr>
              <w:pStyle w:val="NormalWeb"/>
              <w:numPr>
                <w:ilvl w:val="2"/>
                <w:numId w:val="27"/>
              </w:numPr>
              <w:rPr>
                <w:rFonts w:ascii="Arial" w:hAnsi="Arial" w:cs="Arial"/>
              </w:rPr>
            </w:pPr>
            <w:r w:rsidRPr="00F8032F">
              <w:rPr>
                <w:rFonts w:ascii="Arial" w:hAnsi="Arial" w:cs="Arial"/>
                <w:sz w:val="20"/>
                <w:szCs w:val="20"/>
              </w:rPr>
              <w:t xml:space="preserve">[2-3 dB] for Msg4 </w:t>
            </w:r>
          </w:p>
          <w:p w14:paraId="774AE840" w14:textId="109DD932" w:rsidR="00F8032F" w:rsidRPr="00F8032F" w:rsidRDefault="00F8032F" w:rsidP="00F8032F">
            <w:pPr>
              <w:pStyle w:val="NormalWeb"/>
              <w:numPr>
                <w:ilvl w:val="2"/>
                <w:numId w:val="27"/>
              </w:numPr>
              <w:rPr>
                <w:rFonts w:ascii="Arial" w:hAnsi="Arial" w:cs="Arial"/>
              </w:rPr>
            </w:pPr>
            <w:r w:rsidRPr="00F8032F">
              <w:rPr>
                <w:rFonts w:ascii="Arial" w:hAnsi="Arial" w:cs="Arial"/>
                <w:sz w:val="20"/>
                <w:szCs w:val="20"/>
              </w:rPr>
              <w:t xml:space="preserve">5-6 dB] for Msg2 without TBS scaling. It is noted that coverage loss for Msg2 can be compensated by using the existing TBS scaling technique. </w:t>
            </w:r>
          </w:p>
          <w:p w14:paraId="0FBCD527" w14:textId="3C0E06EB" w:rsidR="00F8032F" w:rsidRPr="00F8032F" w:rsidRDefault="00F8032F" w:rsidP="00F8032F">
            <w:pPr>
              <w:pStyle w:val="NormalWeb"/>
              <w:numPr>
                <w:ilvl w:val="1"/>
                <w:numId w:val="26"/>
              </w:numPr>
              <w:rPr>
                <w:rFonts w:ascii="Arial" w:hAnsi="Arial" w:cs="Arial"/>
              </w:rPr>
            </w:pPr>
            <w:r w:rsidRPr="00F8032F">
              <w:rPr>
                <w:rFonts w:ascii="Arial" w:hAnsi="Arial" w:cs="Arial"/>
                <w:sz w:val="20"/>
                <w:szCs w:val="20"/>
              </w:rPr>
              <w:t xml:space="preserve">For other carrier frequencies or DL PSD of 33 dBm/MHz, coverage recovery is not needed for the downlink channels if the target for coverage recovery is based on the MIL of the bottleneck channel for the reference NR UE. </w:t>
            </w:r>
          </w:p>
          <w:p w14:paraId="5A49F8A2" w14:textId="012C40F0" w:rsidR="00F8032F" w:rsidRPr="00F8032F" w:rsidRDefault="00F8032F" w:rsidP="00F8032F">
            <w:pPr>
              <w:pStyle w:val="NormalWeb"/>
              <w:numPr>
                <w:ilvl w:val="1"/>
                <w:numId w:val="26"/>
              </w:numPr>
              <w:rPr>
                <w:rFonts w:ascii="Arial" w:hAnsi="Arial" w:cs="Arial"/>
              </w:rPr>
            </w:pPr>
            <w:r w:rsidRPr="00F8032F">
              <w:rPr>
                <w:rFonts w:ascii="Arial" w:hAnsi="Arial" w:cs="Arial"/>
                <w:sz w:val="20"/>
                <w:szCs w:val="20"/>
              </w:rPr>
              <w:lastRenderedPageBreak/>
              <w:t xml:space="preserve">It is noted that in the methodology for RedCap UE coverage recovery target determination, absolute ISD/MPL targets are not considered. </w:t>
            </w:r>
          </w:p>
          <w:p w14:paraId="767731A0" w14:textId="19C3E951" w:rsidR="00F8032F" w:rsidRPr="00F8032F" w:rsidRDefault="00F8032F" w:rsidP="00F8032F">
            <w:pPr>
              <w:pStyle w:val="NormalWeb"/>
              <w:numPr>
                <w:ilvl w:val="1"/>
                <w:numId w:val="26"/>
              </w:numPr>
            </w:pPr>
            <w:r w:rsidRPr="00F8032F">
              <w:rPr>
                <w:rFonts w:ascii="Arial" w:hAnsi="Arial" w:cs="Arial"/>
                <w:sz w:val="20"/>
                <w:szCs w:val="20"/>
              </w:rPr>
              <w:t>The determination of which channels require coverage recovery and the amount of coverage recovery depend on the choice of the target for coverage recovery.</w:t>
            </w:r>
            <w:r>
              <w:rPr>
                <w:rFonts w:ascii="TimesNewRomanPSMT" w:hAnsi="TimesNewRomanPSMT"/>
                <w:sz w:val="20"/>
                <w:szCs w:val="20"/>
              </w:rPr>
              <w:t xml:space="preserve"> </w:t>
            </w:r>
          </w:p>
        </w:tc>
      </w:tr>
    </w:tbl>
    <w:p w14:paraId="1DB1C03C" w14:textId="77777777" w:rsidR="00F8032F" w:rsidRDefault="00F8032F" w:rsidP="00252F23">
      <w:pPr>
        <w:spacing w:before="180"/>
        <w:rPr>
          <w:rFonts w:ascii="Arial" w:hAnsi="Arial" w:cs="Arial"/>
          <w:lang w:eastAsia="ja-JP"/>
        </w:rPr>
      </w:pPr>
    </w:p>
    <w:p w14:paraId="7D3CE9F3" w14:textId="3EBDE23A" w:rsidR="00D25F8D" w:rsidRDefault="00AD549C" w:rsidP="00D167D2">
      <w:pPr>
        <w:spacing w:before="180"/>
        <w:jc w:val="both"/>
        <w:rPr>
          <w:rFonts w:ascii="Arial" w:hAnsi="Arial" w:cs="Arial"/>
          <w:lang w:eastAsia="ja-JP"/>
        </w:rPr>
      </w:pPr>
      <w:r>
        <w:rPr>
          <w:rFonts w:ascii="Arial" w:hAnsi="Arial" w:cs="Arial"/>
          <w:lang w:eastAsia="ja-JP"/>
        </w:rPr>
        <w:t xml:space="preserve">One more </w:t>
      </w:r>
      <w:r w:rsidR="00D25F8D">
        <w:rPr>
          <w:rFonts w:ascii="Arial" w:hAnsi="Arial" w:cs="Arial"/>
          <w:lang w:eastAsia="ja-JP"/>
        </w:rPr>
        <w:t>discussion point is which work item should be tasked to discuss</w:t>
      </w:r>
      <w:r w:rsidR="00064A89">
        <w:rPr>
          <w:rFonts w:ascii="Arial" w:hAnsi="Arial" w:cs="Arial"/>
          <w:lang w:eastAsia="ja-JP"/>
        </w:rPr>
        <w:t xml:space="preserve"> the</w:t>
      </w:r>
      <w:r w:rsidR="00D25F8D">
        <w:rPr>
          <w:rFonts w:ascii="Arial" w:hAnsi="Arial" w:cs="Arial"/>
          <w:lang w:eastAsia="ja-JP"/>
        </w:rPr>
        <w:t xml:space="preserve"> solutions to compensate up to 3dB PUSCH/Msg3 coverage loss for Redcap device. Two candidates exist, either Rel-17 Redcap WI or NR coverage enhancement WI. </w:t>
      </w:r>
      <w:r w:rsidR="00064A89">
        <w:rPr>
          <w:rFonts w:ascii="Arial" w:hAnsi="Arial" w:cs="Arial"/>
          <w:lang w:eastAsia="ja-JP"/>
        </w:rPr>
        <w:t>The core part of coverage enhancement WID is to extend</w:t>
      </w:r>
      <w:r w:rsidR="00D25F8D">
        <w:rPr>
          <w:rFonts w:ascii="Arial" w:hAnsi="Arial" w:cs="Arial"/>
          <w:lang w:eastAsia="ja-JP"/>
        </w:rPr>
        <w:t xml:space="preserve"> PUSCH/Msg3 </w:t>
      </w:r>
      <w:r w:rsidR="00064A89">
        <w:rPr>
          <w:rFonts w:ascii="Arial" w:hAnsi="Arial" w:cs="Arial"/>
          <w:lang w:eastAsia="ja-JP"/>
        </w:rPr>
        <w:t xml:space="preserve">coverage with generic repetition scheme, which can be fully reused to achieve coverage recovery of Redcap devices with allowing larger maximum repetition number. Hence, our preference is to handle the coverage recovery for Redcap devices by Rel-17 NR coverage enhancement WI such that the standard efforts can be minimized.   </w:t>
      </w:r>
    </w:p>
    <w:p w14:paraId="534DF7CD" w14:textId="77777777" w:rsidR="00064A89" w:rsidRDefault="00064A89" w:rsidP="00252F23">
      <w:pPr>
        <w:spacing w:before="180"/>
        <w:rPr>
          <w:rFonts w:ascii="Arial" w:hAnsi="Arial" w:cs="Arial"/>
          <w:lang w:eastAsia="ja-JP"/>
        </w:rPr>
      </w:pPr>
    </w:p>
    <w:p w14:paraId="016FCFB6" w14:textId="56BE0837" w:rsidR="00793720" w:rsidRDefault="00D25F8D" w:rsidP="00252F23">
      <w:pPr>
        <w:spacing w:before="180"/>
        <w:rPr>
          <w:rFonts w:ascii="Arial" w:hAnsi="Arial" w:cs="Arial"/>
          <w:lang w:eastAsia="ja-JP"/>
        </w:rPr>
      </w:pPr>
      <w:r>
        <w:rPr>
          <w:rFonts w:ascii="Arial" w:hAnsi="Arial" w:cs="Arial"/>
          <w:lang w:eastAsia="ja-JP"/>
        </w:rPr>
        <w:t xml:space="preserve">We therefore proposed: </w:t>
      </w:r>
    </w:p>
    <w:p w14:paraId="0351F3A3" w14:textId="40091FE3" w:rsidR="00064A89" w:rsidRDefault="00064A89" w:rsidP="00064A89">
      <w:pPr>
        <w:spacing w:before="180" w:after="0"/>
        <w:ind w:left="1170" w:hanging="1170"/>
        <w:jc w:val="both"/>
        <w:rPr>
          <w:rFonts w:ascii="Arial" w:hAnsi="Arial" w:cs="Arial"/>
          <w:b/>
          <w:bCs/>
          <w:lang w:eastAsia="ja-JP"/>
        </w:rPr>
      </w:pPr>
      <w:r w:rsidRPr="00D0590E">
        <w:rPr>
          <w:rFonts w:ascii="Arial" w:hAnsi="Arial" w:cs="Arial"/>
          <w:b/>
          <w:bCs/>
        </w:rPr>
        <w:t xml:space="preserve">Proposal </w:t>
      </w:r>
      <w:r w:rsidR="00AD549C">
        <w:rPr>
          <w:rFonts w:ascii="Arial" w:hAnsi="Arial" w:cs="Arial"/>
          <w:b/>
          <w:bCs/>
        </w:rPr>
        <w:t>3</w:t>
      </w:r>
      <w:r w:rsidRPr="00D0590E">
        <w:rPr>
          <w:rFonts w:ascii="Arial" w:hAnsi="Arial" w:cs="Arial"/>
          <w:b/>
          <w:bCs/>
        </w:rPr>
        <w:t>:</w:t>
      </w:r>
      <w:r>
        <w:rPr>
          <w:rFonts w:ascii="Arial" w:hAnsi="Arial" w:cs="Arial"/>
          <w:b/>
          <w:bCs/>
        </w:rPr>
        <w:t xml:space="preserve"> </w:t>
      </w:r>
      <w:r w:rsidRPr="00CD5C27">
        <w:rPr>
          <w:rFonts w:ascii="Arial" w:hAnsi="Arial" w:cs="Arial"/>
          <w:b/>
          <w:bCs/>
          <w:lang w:eastAsia="ja-JP"/>
        </w:rPr>
        <w:t>For FR1</w:t>
      </w:r>
      <w:r>
        <w:rPr>
          <w:rFonts w:ascii="Arial" w:hAnsi="Arial" w:cs="Arial"/>
          <w:b/>
          <w:bCs/>
          <w:lang w:eastAsia="ja-JP"/>
        </w:rPr>
        <w:t>, u</w:t>
      </w:r>
      <w:r w:rsidRPr="00CD5C27">
        <w:rPr>
          <w:rFonts w:ascii="Arial" w:hAnsi="Arial" w:cs="Arial"/>
          <w:b/>
          <w:bCs/>
          <w:lang w:eastAsia="ja-JP"/>
        </w:rPr>
        <w:t>p to 3 dB coverage recovery for PUSCH and/or Msg3 transmission</w:t>
      </w:r>
      <w:r w:rsidR="00AD549C">
        <w:rPr>
          <w:rFonts w:ascii="Arial" w:hAnsi="Arial" w:cs="Arial"/>
          <w:b/>
          <w:bCs/>
          <w:lang w:eastAsia="ja-JP"/>
        </w:rPr>
        <w:t xml:space="preserve"> should be enhanced</w:t>
      </w:r>
      <w:r>
        <w:rPr>
          <w:rFonts w:ascii="Arial" w:hAnsi="Arial" w:cs="Arial"/>
          <w:b/>
          <w:bCs/>
          <w:lang w:eastAsia="ja-JP"/>
        </w:rPr>
        <w:t xml:space="preserve"> on top of what identified in coverage enhancements for non-Redcap devices</w:t>
      </w:r>
      <w:r w:rsidRPr="00CD5C27">
        <w:rPr>
          <w:rFonts w:ascii="Arial" w:hAnsi="Arial" w:cs="Arial"/>
          <w:b/>
          <w:bCs/>
          <w:lang w:eastAsia="ja-JP"/>
        </w:rPr>
        <w:t xml:space="preserve">.  </w:t>
      </w:r>
    </w:p>
    <w:p w14:paraId="4F22C6AF" w14:textId="77777777" w:rsidR="002D7542" w:rsidRPr="00252F23" w:rsidRDefault="002D7542" w:rsidP="002D7542">
      <w:pPr>
        <w:spacing w:before="180" w:after="0"/>
        <w:ind w:left="1170" w:hanging="1170"/>
        <w:jc w:val="both"/>
        <w:rPr>
          <w:rFonts w:ascii="Arial" w:hAnsi="Arial" w:cs="Arial"/>
          <w:b/>
          <w:bCs/>
          <w:lang w:eastAsia="ja-JP"/>
        </w:rPr>
      </w:pPr>
      <w:r w:rsidRPr="00D0590E">
        <w:rPr>
          <w:rFonts w:ascii="Arial" w:hAnsi="Arial" w:cs="Arial"/>
          <w:b/>
          <w:bCs/>
        </w:rPr>
        <w:t xml:space="preserve">Proposal </w:t>
      </w:r>
      <w:r>
        <w:rPr>
          <w:rFonts w:ascii="Arial" w:hAnsi="Arial" w:cs="Arial"/>
          <w:b/>
          <w:bCs/>
        </w:rPr>
        <w:t>4</w:t>
      </w:r>
      <w:r w:rsidRPr="00D0590E">
        <w:rPr>
          <w:rFonts w:ascii="Arial" w:hAnsi="Arial" w:cs="Arial"/>
          <w:b/>
          <w:bCs/>
        </w:rPr>
        <w:t>:</w:t>
      </w:r>
      <w:r>
        <w:rPr>
          <w:rFonts w:ascii="Arial" w:hAnsi="Arial" w:cs="Arial"/>
          <w:b/>
          <w:bCs/>
        </w:rPr>
        <w:t xml:space="preserve"> PUSCH/Msg3 coverage recovery for Redcap device is to be handled under Rel-17 NR coverage enhancement WI. </w:t>
      </w:r>
    </w:p>
    <w:p w14:paraId="426762D9" w14:textId="0756EFA7" w:rsidR="00793720" w:rsidRDefault="00793720" w:rsidP="00252F23">
      <w:pPr>
        <w:spacing w:before="180"/>
        <w:rPr>
          <w:rFonts w:ascii="Arial" w:hAnsi="Arial" w:cs="Arial"/>
          <w:lang w:eastAsia="ja-JP"/>
        </w:rPr>
      </w:pPr>
    </w:p>
    <w:p w14:paraId="44C8E40D" w14:textId="793B477C" w:rsidR="00623F51" w:rsidRDefault="00623F51" w:rsidP="00623F51">
      <w:pPr>
        <w:pStyle w:val="Heading2"/>
        <w:rPr>
          <w:rFonts w:ascii="Arial" w:eastAsia="SimSun" w:hAnsi="Arial" w:cs="Times New Roman"/>
          <w:color w:val="auto"/>
          <w:sz w:val="32"/>
          <w:szCs w:val="20"/>
          <w:lang w:eastAsia="ja-JP"/>
        </w:rPr>
      </w:pPr>
      <w:r>
        <w:rPr>
          <w:rFonts w:ascii="Arial" w:eastAsia="SimSun" w:hAnsi="Arial" w:cs="Times New Roman"/>
          <w:color w:val="auto"/>
          <w:sz w:val="32"/>
          <w:szCs w:val="20"/>
          <w:lang w:eastAsia="ja-JP"/>
        </w:rPr>
        <w:t xml:space="preserve">2.3 </w:t>
      </w:r>
      <w:r w:rsidRPr="00623F51">
        <w:rPr>
          <w:rFonts w:ascii="Arial" w:eastAsia="SimSun" w:hAnsi="Arial" w:cs="Times New Roman"/>
          <w:color w:val="auto"/>
          <w:sz w:val="32"/>
          <w:szCs w:val="20"/>
          <w:lang w:eastAsia="ja-JP"/>
        </w:rPr>
        <w:t>Power class</w:t>
      </w:r>
    </w:p>
    <w:p w14:paraId="191733BE" w14:textId="77777777" w:rsidR="00623F51" w:rsidRPr="00623F51" w:rsidRDefault="00623F51" w:rsidP="00623F51">
      <w:pPr>
        <w:rPr>
          <w:lang w:eastAsia="ja-JP"/>
        </w:rPr>
      </w:pPr>
    </w:p>
    <w:p w14:paraId="69E19CAA" w14:textId="77777777" w:rsidR="00623F51" w:rsidRDefault="00623F51" w:rsidP="00623F51">
      <w:pPr>
        <w:jc w:val="both"/>
        <w:rPr>
          <w:rFonts w:ascii="Arial" w:hAnsi="Arial" w:cs="Arial"/>
        </w:rPr>
      </w:pPr>
      <w:r>
        <w:rPr>
          <w:rFonts w:ascii="Arial" w:hAnsi="Arial" w:cs="Arial"/>
        </w:rPr>
        <w:t>PC2 and PC1.5 HPUE have been defined for NR TDD bands. And there is also an on-going study item for PC2 HPUE for one NR FDD band. However, in our view HPUE above PC3 would not suit well for FR1 RedCap UE due to the concern of thermal limit inside a small form factor, battery drain, and implementation cost. On the other hand, PC5 or other power class with maximum output power less than PC3 shall be considered for FR1 RedCap UE.</w:t>
      </w:r>
    </w:p>
    <w:p w14:paraId="0F440CB6" w14:textId="0FBD7EEE" w:rsidR="00623F51" w:rsidRPr="00623F51" w:rsidRDefault="00623F51" w:rsidP="00623F51">
      <w:pPr>
        <w:jc w:val="both"/>
        <w:rPr>
          <w:rFonts w:ascii="Arial" w:hAnsi="Arial" w:cs="Arial"/>
          <w:b/>
          <w:bCs/>
        </w:rPr>
      </w:pPr>
      <w:r w:rsidRPr="00623F51">
        <w:rPr>
          <w:rFonts w:ascii="Arial" w:hAnsi="Arial" w:cs="Arial"/>
          <w:b/>
          <w:bCs/>
        </w:rPr>
        <w:t>Proposal 5: HPUE is not considered for FR1 RedCap UE.</w:t>
      </w:r>
    </w:p>
    <w:p w14:paraId="2D3484FA" w14:textId="77777777" w:rsidR="002D7542" w:rsidRPr="00E347E7" w:rsidRDefault="002D7542" w:rsidP="00252F23">
      <w:pPr>
        <w:spacing w:before="180"/>
        <w:rPr>
          <w:rFonts w:ascii="Arial" w:hAnsi="Arial" w:cs="Arial"/>
          <w:lang w:eastAsia="ja-JP"/>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54514BB3" w14:textId="7DA2D6E5" w:rsidR="003E1347"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3E1347">
        <w:rPr>
          <w:rFonts w:ascii="Arial" w:hAnsi="Arial" w:cs="Arial"/>
          <w:lang w:val="en-US"/>
        </w:rPr>
        <w:t xml:space="preserve">with </w:t>
      </w:r>
      <w:r w:rsidR="0010617E" w:rsidRPr="00404C4B">
        <w:rPr>
          <w:rFonts w:ascii="Arial" w:hAnsi="Arial" w:cs="Arial"/>
          <w:lang w:val="en-US"/>
        </w:rPr>
        <w:t xml:space="preserve">the following </w:t>
      </w:r>
      <w:r w:rsidR="003E1347">
        <w:rPr>
          <w:rFonts w:ascii="Arial" w:hAnsi="Arial" w:cs="Arial"/>
          <w:lang w:val="en-US"/>
        </w:rPr>
        <w:t>proposal</w:t>
      </w:r>
      <w:r w:rsidR="00252F23">
        <w:rPr>
          <w:rFonts w:ascii="Arial" w:hAnsi="Arial" w:cs="Arial"/>
          <w:lang w:val="en-US"/>
        </w:rPr>
        <w:t>s</w:t>
      </w:r>
      <w:r w:rsidR="003E1347">
        <w:rPr>
          <w:rFonts w:ascii="Arial" w:hAnsi="Arial" w:cs="Arial"/>
          <w:lang w:val="en-US"/>
        </w:rPr>
        <w:t xml:space="preserve">: </w:t>
      </w:r>
    </w:p>
    <w:p w14:paraId="27EF3EAA" w14:textId="62C3210D" w:rsidR="00B35B00" w:rsidRPr="00B35B00" w:rsidRDefault="008B07DD" w:rsidP="002D7542">
      <w:pPr>
        <w:pStyle w:val="Observation"/>
        <w:ind w:left="1170" w:hanging="1170"/>
        <w:rPr>
          <w:rFonts w:ascii="Arial" w:hAnsi="Arial" w:cs="Arial"/>
          <w:sz w:val="20"/>
          <w:szCs w:val="20"/>
        </w:rPr>
      </w:pPr>
      <w:r w:rsidRPr="00FF2201">
        <w:rPr>
          <w:rFonts w:ascii="Arial" w:hAnsi="Arial" w:cs="Arial"/>
          <w:sz w:val="20"/>
          <w:szCs w:val="20"/>
        </w:rPr>
        <w:t>Proposal</w:t>
      </w:r>
      <w:r>
        <w:rPr>
          <w:rFonts w:ascii="Arial" w:hAnsi="Arial" w:cs="Arial"/>
          <w:sz w:val="20"/>
          <w:szCs w:val="20"/>
        </w:rPr>
        <w:t xml:space="preserve"> 1</w:t>
      </w:r>
      <w:r w:rsidRPr="00FF2201">
        <w:rPr>
          <w:rFonts w:ascii="Arial" w:hAnsi="Arial" w:cs="Arial"/>
          <w:sz w:val="20"/>
          <w:szCs w:val="20"/>
        </w:rPr>
        <w:t xml:space="preserve">: </w:t>
      </w:r>
      <w:r w:rsidRPr="007C0951">
        <w:rPr>
          <w:rFonts w:ascii="Arial" w:hAnsi="Arial" w:cs="Arial"/>
          <w:sz w:val="20"/>
          <w:szCs w:val="20"/>
        </w:rPr>
        <w:t>For frequency bands where a legacy NR UE (other than 2-Rx vehicular UE) is required to be equipped with a minimum of 4 Rx antenna ports</w:t>
      </w:r>
      <w:r w:rsidRPr="00F350A2">
        <w:rPr>
          <w:rFonts w:ascii="Arial" w:hAnsi="Arial" w:cs="Arial"/>
          <w:sz w:val="20"/>
          <w:szCs w:val="20"/>
        </w:rPr>
        <w:t>,</w:t>
      </w:r>
      <w:r>
        <w:rPr>
          <w:rFonts w:ascii="Arial" w:hAnsi="Arial" w:cs="Arial"/>
          <w:sz w:val="20"/>
          <w:szCs w:val="20"/>
        </w:rPr>
        <w:t xml:space="preserve"> </w:t>
      </w:r>
      <w:r w:rsidRPr="00F350A2">
        <w:rPr>
          <w:rFonts w:ascii="Arial" w:hAnsi="Arial" w:cs="Arial"/>
          <w:sz w:val="20"/>
          <w:szCs w:val="20"/>
        </w:rPr>
        <w:t xml:space="preserve">the minimum number of Rx branches supported by specification for a RedCap UE is </w:t>
      </w:r>
      <w:r>
        <w:rPr>
          <w:rFonts w:ascii="Arial" w:hAnsi="Arial" w:cs="Arial"/>
          <w:sz w:val="20"/>
          <w:szCs w:val="20"/>
        </w:rPr>
        <w:t xml:space="preserve">N, where N = 1. N=2 is also supported by specification. </w:t>
      </w:r>
    </w:p>
    <w:p w14:paraId="6207B879" w14:textId="77777777" w:rsidR="003B6141" w:rsidRDefault="009630E7" w:rsidP="002D7542">
      <w:pPr>
        <w:spacing w:before="180" w:after="0"/>
        <w:ind w:left="1170" w:hanging="1170"/>
        <w:jc w:val="both"/>
        <w:rPr>
          <w:rFonts w:ascii="Arial" w:hAnsi="Arial" w:cs="Arial"/>
          <w:b/>
          <w:bCs/>
          <w:color w:val="000000" w:themeColor="text1"/>
          <w:lang w:val="en-US"/>
        </w:rPr>
      </w:pPr>
      <w:r w:rsidRPr="00B01562">
        <w:rPr>
          <w:rFonts w:ascii="Arial" w:hAnsi="Arial" w:cs="Arial"/>
          <w:b/>
          <w:bCs/>
          <w:color w:val="000000" w:themeColor="text1"/>
          <w:lang w:val="en-US"/>
        </w:rPr>
        <w:t xml:space="preserve">Proposal </w:t>
      </w:r>
      <w:r>
        <w:rPr>
          <w:rFonts w:ascii="Arial" w:hAnsi="Arial" w:cs="Arial"/>
          <w:b/>
          <w:bCs/>
          <w:color w:val="000000" w:themeColor="text1"/>
          <w:lang w:val="en-US"/>
        </w:rPr>
        <w:t>2</w:t>
      </w:r>
      <w:r w:rsidRPr="00B01562">
        <w:rPr>
          <w:rFonts w:ascii="Arial" w:hAnsi="Arial" w:cs="Arial"/>
          <w:b/>
          <w:bCs/>
          <w:color w:val="000000" w:themeColor="text1"/>
          <w:lang w:val="en-US"/>
        </w:rPr>
        <w:t xml:space="preserve">: </w:t>
      </w:r>
      <w:r>
        <w:rPr>
          <w:rFonts w:ascii="Arial" w:hAnsi="Arial" w:cs="Arial"/>
          <w:b/>
          <w:bCs/>
          <w:color w:val="000000" w:themeColor="text1"/>
          <w:lang w:val="en-US"/>
        </w:rPr>
        <w:t xml:space="preserve">For devices supporting 150Mbps peak data rate, specification allows device to optionally signal </w:t>
      </w:r>
      <w:r w:rsidRPr="00F23128">
        <w:rPr>
          <w:rFonts w:ascii="Arial" w:hAnsi="Arial" w:cs="Arial"/>
          <w:b/>
          <w:bCs/>
          <w:color w:val="000000" w:themeColor="text1"/>
          <w:lang w:val="en-US"/>
        </w:rPr>
        <w:t>40MHz</w:t>
      </w:r>
      <w:r>
        <w:rPr>
          <w:rFonts w:ascii="Arial" w:hAnsi="Arial" w:cs="Arial"/>
          <w:b/>
          <w:bCs/>
          <w:color w:val="000000" w:themeColor="text1"/>
          <w:lang w:val="en-US"/>
        </w:rPr>
        <w:t xml:space="preserve"> bandwidth with single Rx antenna</w:t>
      </w:r>
      <w:r w:rsidRPr="00F23128">
        <w:rPr>
          <w:rFonts w:ascii="Arial" w:hAnsi="Arial" w:cs="Arial"/>
          <w:b/>
          <w:bCs/>
          <w:color w:val="000000" w:themeColor="text1"/>
          <w:lang w:val="en-US"/>
        </w:rPr>
        <w:t>.</w:t>
      </w:r>
      <w:r w:rsidR="003B6141">
        <w:rPr>
          <w:rFonts w:ascii="Arial" w:hAnsi="Arial" w:cs="Arial"/>
          <w:b/>
          <w:bCs/>
          <w:color w:val="000000" w:themeColor="text1"/>
          <w:lang w:val="en-US"/>
        </w:rPr>
        <w:t xml:space="preserve"> </w:t>
      </w:r>
    </w:p>
    <w:p w14:paraId="531ADA19" w14:textId="482DD303" w:rsidR="006E371C" w:rsidRDefault="006E371C" w:rsidP="002D7542">
      <w:pPr>
        <w:spacing w:before="180" w:after="0"/>
        <w:ind w:left="1170" w:hanging="1170"/>
        <w:jc w:val="both"/>
        <w:rPr>
          <w:rFonts w:ascii="Arial" w:hAnsi="Arial" w:cs="Arial"/>
          <w:b/>
          <w:bCs/>
        </w:rPr>
      </w:pPr>
      <w:r w:rsidRPr="00D0590E">
        <w:rPr>
          <w:rFonts w:ascii="Arial" w:hAnsi="Arial" w:cs="Arial"/>
          <w:b/>
          <w:bCs/>
        </w:rPr>
        <w:t xml:space="preserve">Proposal </w:t>
      </w:r>
      <w:r>
        <w:rPr>
          <w:rFonts w:ascii="Arial" w:hAnsi="Arial" w:cs="Arial"/>
          <w:b/>
          <w:bCs/>
        </w:rPr>
        <w:t>3</w:t>
      </w:r>
      <w:r w:rsidRPr="00D0590E">
        <w:rPr>
          <w:rFonts w:ascii="Arial" w:hAnsi="Arial" w:cs="Arial"/>
          <w:b/>
          <w:bCs/>
        </w:rPr>
        <w:t>:</w:t>
      </w:r>
      <w:r>
        <w:rPr>
          <w:rFonts w:ascii="Arial" w:hAnsi="Arial" w:cs="Arial"/>
          <w:b/>
          <w:bCs/>
        </w:rPr>
        <w:t xml:space="preserve"> </w:t>
      </w:r>
      <w:r w:rsidRPr="00CD5C27">
        <w:rPr>
          <w:rFonts w:ascii="Arial" w:hAnsi="Arial" w:cs="Arial"/>
          <w:b/>
          <w:bCs/>
          <w:lang w:eastAsia="ja-JP"/>
        </w:rPr>
        <w:t>For FR1</w:t>
      </w:r>
      <w:r>
        <w:rPr>
          <w:rFonts w:ascii="Arial" w:hAnsi="Arial" w:cs="Arial"/>
          <w:b/>
          <w:bCs/>
          <w:lang w:eastAsia="ja-JP"/>
        </w:rPr>
        <w:t>, u</w:t>
      </w:r>
      <w:r w:rsidRPr="00CD5C27">
        <w:rPr>
          <w:rFonts w:ascii="Arial" w:hAnsi="Arial" w:cs="Arial"/>
          <w:b/>
          <w:bCs/>
          <w:lang w:eastAsia="ja-JP"/>
        </w:rPr>
        <w:t>p to 3 dB coverage recovery for PUSCH and/or Msg3 transmission</w:t>
      </w:r>
      <w:r>
        <w:rPr>
          <w:rFonts w:ascii="Arial" w:hAnsi="Arial" w:cs="Arial"/>
          <w:b/>
          <w:bCs/>
          <w:lang w:eastAsia="ja-JP"/>
        </w:rPr>
        <w:t xml:space="preserve"> should be enhanced on top of what identified in coverage enhancements for non-Redcap devices</w:t>
      </w:r>
    </w:p>
    <w:p w14:paraId="053FA3D4" w14:textId="5D3CD658" w:rsidR="00623F51" w:rsidRPr="00252F23" w:rsidRDefault="002D7542" w:rsidP="003B6141">
      <w:pPr>
        <w:spacing w:before="180" w:after="120"/>
        <w:ind w:left="1166" w:hanging="1166"/>
        <w:jc w:val="both"/>
        <w:rPr>
          <w:rFonts w:ascii="Arial" w:hAnsi="Arial" w:cs="Arial"/>
          <w:b/>
          <w:bCs/>
        </w:rPr>
      </w:pPr>
      <w:r w:rsidRPr="00D0590E">
        <w:rPr>
          <w:rFonts w:ascii="Arial" w:hAnsi="Arial" w:cs="Arial"/>
          <w:b/>
          <w:bCs/>
        </w:rPr>
        <w:t xml:space="preserve">Proposal </w:t>
      </w:r>
      <w:r>
        <w:rPr>
          <w:rFonts w:ascii="Arial" w:hAnsi="Arial" w:cs="Arial"/>
          <w:b/>
          <w:bCs/>
        </w:rPr>
        <w:t>4</w:t>
      </w:r>
      <w:r w:rsidRPr="00D0590E">
        <w:rPr>
          <w:rFonts w:ascii="Arial" w:hAnsi="Arial" w:cs="Arial"/>
          <w:b/>
          <w:bCs/>
        </w:rPr>
        <w:t>:</w:t>
      </w:r>
      <w:r>
        <w:rPr>
          <w:rFonts w:ascii="Arial" w:hAnsi="Arial" w:cs="Arial"/>
          <w:b/>
          <w:bCs/>
        </w:rPr>
        <w:t xml:space="preserve"> PUSCH/Msg3 coverage recovery for Redcap device is to be handled under Rel-17 NR coverage enhancement WI. </w:t>
      </w:r>
    </w:p>
    <w:p w14:paraId="5688A9F9" w14:textId="3BE533FB" w:rsidR="006E371C" w:rsidRPr="00257883" w:rsidRDefault="00623F51" w:rsidP="006E371C">
      <w:pPr>
        <w:jc w:val="both"/>
        <w:rPr>
          <w:rFonts w:ascii="Arial" w:hAnsi="Arial" w:cs="Arial"/>
          <w:b/>
          <w:bCs/>
        </w:rPr>
      </w:pPr>
      <w:r w:rsidRPr="00623F51">
        <w:rPr>
          <w:rFonts w:ascii="Arial" w:hAnsi="Arial" w:cs="Arial"/>
          <w:b/>
          <w:bCs/>
        </w:rPr>
        <w:t>Proposal 5: HPUE is not considered for FR1 RedCap UE.</w:t>
      </w:r>
    </w:p>
    <w:p w14:paraId="7E2A3AAF" w14:textId="7E94BFF6"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lastRenderedPageBreak/>
        <w:t>References</w:t>
      </w:r>
    </w:p>
    <w:p w14:paraId="5DE1D6C3" w14:textId="77777777" w:rsidR="008E206C" w:rsidRPr="008E206C" w:rsidRDefault="008E206C" w:rsidP="008E206C">
      <w:pPr>
        <w:pStyle w:val="Reference"/>
        <w:rPr>
          <w:rFonts w:ascii="Arial" w:hAnsi="Arial" w:cs="Arial"/>
          <w:sz w:val="20"/>
          <w:szCs w:val="20"/>
        </w:rPr>
      </w:pPr>
      <w:r w:rsidRPr="008E206C">
        <w:rPr>
          <w:rFonts w:ascii="Arial" w:hAnsi="Arial" w:cs="Arial"/>
          <w:sz w:val="20"/>
          <w:szCs w:val="20"/>
        </w:rPr>
        <w:t xml:space="preserve">RP-202933, New WID on support of reduced capability NR devices, Ericsson and Nokia, 3GPP TSG RAN #90e, December 2020. </w:t>
      </w:r>
    </w:p>
    <w:p w14:paraId="6743748F" w14:textId="2901B23F" w:rsidR="00A11735" w:rsidRDefault="007C0951" w:rsidP="00563180">
      <w:pPr>
        <w:pStyle w:val="Reference"/>
        <w:rPr>
          <w:rFonts w:ascii="Arial" w:hAnsi="Arial" w:cs="Arial"/>
          <w:sz w:val="20"/>
          <w:szCs w:val="20"/>
        </w:rPr>
      </w:pPr>
      <w:r>
        <w:rPr>
          <w:rFonts w:ascii="Arial" w:hAnsi="Arial" w:cs="Arial"/>
          <w:sz w:val="20"/>
          <w:szCs w:val="20"/>
        </w:rPr>
        <w:t>3GPP TR 38.875</w:t>
      </w:r>
      <w:r>
        <w:rPr>
          <w:rFonts w:ascii="Arial" w:hAnsi="Arial" w:cs="Arial"/>
          <w:sz w:val="20"/>
          <w:szCs w:val="20"/>
        </w:rPr>
        <w:tab/>
      </w:r>
    </w:p>
    <w:bookmarkStart w:id="8" w:name="_Ref21087754"/>
    <w:p w14:paraId="411FED9C" w14:textId="1C5AC139" w:rsidR="007E4B0D" w:rsidRPr="007E4B0D" w:rsidRDefault="007E4B0D" w:rsidP="007E4B0D">
      <w:pPr>
        <w:pStyle w:val="Reference"/>
        <w:rPr>
          <w:rFonts w:ascii="Arial" w:hAnsi="Arial" w:cs="Arial"/>
          <w:sz w:val="20"/>
          <w:szCs w:val="20"/>
        </w:rPr>
      </w:pPr>
      <w:r w:rsidRPr="00B26D2F">
        <w:rPr>
          <w:rFonts w:ascii="Arial" w:hAnsi="Arial" w:cs="Arial"/>
          <w:sz w:val="20"/>
          <w:szCs w:val="20"/>
        </w:rPr>
        <w:fldChar w:fldCharType="begin"/>
      </w:r>
      <w:r w:rsidRPr="00B26D2F">
        <w:rPr>
          <w:rFonts w:ascii="Arial" w:hAnsi="Arial" w:cs="Arial"/>
          <w:sz w:val="20"/>
          <w:szCs w:val="20"/>
        </w:rPr>
        <w:instrText xml:space="preserve"> HYPERLINK "https://www.3gpp.org/ftp/tsg_ran/TSG_RAN/TSGR_86/Docs/RP-193238.zip" </w:instrText>
      </w:r>
      <w:r w:rsidRPr="00B26D2F">
        <w:rPr>
          <w:rFonts w:ascii="Arial" w:hAnsi="Arial" w:cs="Arial"/>
          <w:sz w:val="20"/>
          <w:szCs w:val="20"/>
        </w:rPr>
        <w:fldChar w:fldCharType="separate"/>
      </w:r>
      <w:r w:rsidRPr="00B26D2F">
        <w:rPr>
          <w:rStyle w:val="Hyperlink"/>
          <w:rFonts w:ascii="Arial" w:hAnsi="Arial" w:cs="Arial"/>
          <w:sz w:val="20"/>
          <w:szCs w:val="20"/>
        </w:rPr>
        <w:t>RP-193238</w:t>
      </w:r>
      <w:r w:rsidRPr="00B26D2F">
        <w:rPr>
          <w:rFonts w:ascii="Arial" w:hAnsi="Arial" w:cs="Arial"/>
          <w:sz w:val="20"/>
          <w:szCs w:val="20"/>
        </w:rPr>
        <w:fldChar w:fldCharType="end"/>
      </w:r>
      <w:r w:rsidRPr="00B26D2F">
        <w:rPr>
          <w:rFonts w:ascii="Arial" w:hAnsi="Arial" w:cs="Arial"/>
          <w:sz w:val="20"/>
          <w:szCs w:val="20"/>
        </w:rPr>
        <w:t>, New SID on support of reduced capability NR devices, RAN#86.</w:t>
      </w:r>
      <w:bookmarkStart w:id="9" w:name="_Hlk30065818"/>
      <w:bookmarkEnd w:id="8"/>
      <w:bookmarkEnd w:id="9"/>
    </w:p>
    <w:sectPr w:rsidR="007E4B0D" w:rsidRPr="007E4B0D"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32FF3" w14:textId="77777777" w:rsidR="007414D2" w:rsidRDefault="007414D2">
      <w:pPr>
        <w:spacing w:after="0"/>
      </w:pPr>
      <w:r>
        <w:separator/>
      </w:r>
    </w:p>
  </w:endnote>
  <w:endnote w:type="continuationSeparator" w:id="0">
    <w:p w14:paraId="541ED5C9" w14:textId="77777777" w:rsidR="007414D2" w:rsidRDefault="007414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52F09" w:rsidRDefault="00052F09"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52F09" w:rsidRDefault="00052F09"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52F09" w:rsidRDefault="00052F09"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5EC2C" w14:textId="77777777" w:rsidR="007414D2" w:rsidRDefault="007414D2">
      <w:pPr>
        <w:spacing w:after="0"/>
      </w:pPr>
      <w:r>
        <w:separator/>
      </w:r>
    </w:p>
  </w:footnote>
  <w:footnote w:type="continuationSeparator" w:id="0">
    <w:p w14:paraId="6D72A625" w14:textId="77777777" w:rsidR="007414D2" w:rsidRDefault="007414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52F09" w:rsidRDefault="00052F0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74437"/>
    <w:multiLevelType w:val="hybridMultilevel"/>
    <w:tmpl w:val="4532F676"/>
    <w:lvl w:ilvl="0" w:tplc="041D0001">
      <w:start w:val="1"/>
      <w:numFmt w:val="bullet"/>
      <w:lvlText w:val=""/>
      <w:lvlJc w:val="left"/>
      <w:pPr>
        <w:ind w:left="360" w:hanging="360"/>
      </w:pPr>
      <w:rPr>
        <w:rFonts w:ascii="Symbol" w:hAnsi="Symbol" w:hint="default"/>
      </w:rPr>
    </w:lvl>
    <w:lvl w:ilvl="1" w:tplc="4E5CA9E4">
      <w:numFmt w:val="bullet"/>
      <w:lvlText w:val="-"/>
      <w:lvlJc w:val="left"/>
      <w:pPr>
        <w:ind w:left="1080" w:hanging="360"/>
      </w:pPr>
      <w:rPr>
        <w:rFonts w:ascii="Times New Roman" w:eastAsia="MS Mincho" w:hAnsi="Times New Roman" w:cs="Times New Roman"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 w15:restartNumberingAfterBreak="0">
    <w:nsid w:val="086B2679"/>
    <w:multiLevelType w:val="hybridMultilevel"/>
    <w:tmpl w:val="3AE85E4C"/>
    <w:lvl w:ilvl="0" w:tplc="5220079E">
      <w:start w:val="6"/>
      <w:numFmt w:val="bullet"/>
      <w:lvlText w:val="-"/>
      <w:lvlJc w:val="left"/>
      <w:pPr>
        <w:ind w:left="720" w:hanging="360"/>
      </w:pPr>
      <w:rPr>
        <w:rFonts w:ascii="Arial" w:eastAsiaTheme="minorHAnsi" w:hAnsi="Arial" w:cs="Aria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E288C"/>
    <w:multiLevelType w:val="hybridMultilevel"/>
    <w:tmpl w:val="5A68CB3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A65CB"/>
    <w:multiLevelType w:val="hybridMultilevel"/>
    <w:tmpl w:val="ACB6564A"/>
    <w:lvl w:ilvl="0" w:tplc="5220079E">
      <w:start w:val="6"/>
      <w:numFmt w:val="bullet"/>
      <w:lvlText w:val="-"/>
      <w:lvlJc w:val="left"/>
      <w:pPr>
        <w:ind w:left="360" w:hanging="360"/>
      </w:pPr>
      <w:rPr>
        <w:rFonts w:ascii="Arial" w:eastAsiaTheme="minorHAns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B02DA2"/>
    <w:multiLevelType w:val="hybridMultilevel"/>
    <w:tmpl w:val="B9544E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B60E5C"/>
    <w:multiLevelType w:val="hybridMultilevel"/>
    <w:tmpl w:val="269223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8D74194"/>
    <w:multiLevelType w:val="hybridMultilevel"/>
    <w:tmpl w:val="FEA82F88"/>
    <w:lvl w:ilvl="0" w:tplc="041D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22F498F"/>
    <w:multiLevelType w:val="multilevel"/>
    <w:tmpl w:val="73FAA3FA"/>
    <w:lvl w:ilvl="0">
      <w:start w:val="9"/>
      <w:numFmt w:val="bullet"/>
      <w:lvlText w:val="-"/>
      <w:lvlJc w:val="left"/>
      <w:pPr>
        <w:ind w:left="720" w:hanging="360"/>
      </w:pPr>
      <w:rPr>
        <w:rFonts w:ascii="Century" w:eastAsia="MS Mincho" w:hAnsi="Century"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9"/>
      <w:numFmt w:val="bullet"/>
      <w:lvlText w:val="-"/>
      <w:lvlJc w:val="left"/>
      <w:pPr>
        <w:ind w:left="2160" w:hanging="360"/>
      </w:pPr>
      <w:rPr>
        <w:rFonts w:ascii="Century" w:eastAsia="MS Mincho" w:hAnsi="Century" w:cs="Times New Roman"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FA4645"/>
    <w:multiLevelType w:val="hybridMultilevel"/>
    <w:tmpl w:val="823251F8"/>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4" w15:restartNumberingAfterBreak="0">
    <w:nsid w:val="4BDF65F6"/>
    <w:multiLevelType w:val="hybridMultilevel"/>
    <w:tmpl w:val="9FF023C0"/>
    <w:lvl w:ilvl="0" w:tplc="FFFFFFFF">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556C0C"/>
    <w:multiLevelType w:val="hybridMultilevel"/>
    <w:tmpl w:val="D936732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51614469"/>
    <w:multiLevelType w:val="hybridMultilevel"/>
    <w:tmpl w:val="5D421652"/>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53164CEC"/>
    <w:multiLevelType w:val="hybridMultilevel"/>
    <w:tmpl w:val="8AC08D7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5D7E65ED"/>
    <w:multiLevelType w:val="hybridMultilevel"/>
    <w:tmpl w:val="DFBA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EE503E"/>
    <w:multiLevelType w:val="hybridMultilevel"/>
    <w:tmpl w:val="4A368128"/>
    <w:lvl w:ilvl="0" w:tplc="5220079E">
      <w:start w:val="6"/>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F5B9C"/>
    <w:multiLevelType w:val="hybridMultilevel"/>
    <w:tmpl w:val="B9382BE8"/>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C2558A"/>
    <w:multiLevelType w:val="hybridMultilevel"/>
    <w:tmpl w:val="B09017D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336475"/>
    <w:multiLevelType w:val="hybridMultilevel"/>
    <w:tmpl w:val="81BC9B56"/>
    <w:lvl w:ilvl="0" w:tplc="4E5CA9E4">
      <w:numFmt w:val="bullet"/>
      <w:lvlText w:val="-"/>
      <w:lvlJc w:val="left"/>
      <w:pPr>
        <w:ind w:left="360" w:hanging="360"/>
      </w:pPr>
      <w:rPr>
        <w:rFonts w:ascii="Times New Roman" w:eastAsia="MS Mincho"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9771456"/>
    <w:multiLevelType w:val="multilevel"/>
    <w:tmpl w:val="2542D9DA"/>
    <w:lvl w:ilvl="0">
      <w:start w:val="9"/>
      <w:numFmt w:val="bullet"/>
      <w:lvlText w:val="-"/>
      <w:lvlJc w:val="left"/>
      <w:pPr>
        <w:ind w:left="720" w:hanging="360"/>
      </w:pPr>
      <w:rPr>
        <w:rFonts w:ascii="Century" w:eastAsia="MS Mincho" w:hAnsi="Century" w:cs="Times New Roman" w:hint="default"/>
        <w:sz w:val="20"/>
      </w:rPr>
    </w:lvl>
    <w:lvl w:ilvl="1">
      <w:start w:val="9"/>
      <w:numFmt w:val="bullet"/>
      <w:lvlText w:val="-"/>
      <w:lvlJc w:val="left"/>
      <w:pPr>
        <w:ind w:left="1440" w:hanging="360"/>
      </w:pPr>
      <w:rPr>
        <w:rFonts w:ascii="Century" w:eastAsia="MS Mincho" w:hAnsi="Century"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DB142B"/>
    <w:multiLevelType w:val="hybridMultilevel"/>
    <w:tmpl w:val="D9EE0436"/>
    <w:lvl w:ilvl="0" w:tplc="5220079E">
      <w:start w:val="6"/>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0"/>
  </w:num>
  <w:num w:numId="3">
    <w:abstractNumId w:val="15"/>
  </w:num>
  <w:num w:numId="4">
    <w:abstractNumId w:val="10"/>
  </w:num>
  <w:num w:numId="5">
    <w:abstractNumId w:val="16"/>
  </w:num>
  <w:num w:numId="6">
    <w:abstractNumId w:val="17"/>
  </w:num>
  <w:num w:numId="7">
    <w:abstractNumId w:val="26"/>
  </w:num>
  <w:num w:numId="8">
    <w:abstractNumId w:val="20"/>
  </w:num>
  <w:num w:numId="9">
    <w:abstractNumId w:val="4"/>
  </w:num>
  <w:num w:numId="10">
    <w:abstractNumId w:val="2"/>
  </w:num>
  <w:num w:numId="11">
    <w:abstractNumId w:val="14"/>
  </w:num>
  <w:num w:numId="12">
    <w:abstractNumId w:val="21"/>
  </w:num>
  <w:num w:numId="13">
    <w:abstractNumId w:val="1"/>
  </w:num>
  <w:num w:numId="14">
    <w:abstractNumId w:val="18"/>
  </w:num>
  <w:num w:numId="15">
    <w:abstractNumId w:val="13"/>
  </w:num>
  <w:num w:numId="16">
    <w:abstractNumId w:val="5"/>
  </w:num>
  <w:num w:numId="17">
    <w:abstractNumId w:val="11"/>
  </w:num>
  <w:num w:numId="18">
    <w:abstractNumId w:val="24"/>
  </w:num>
  <w:num w:numId="19">
    <w:abstractNumId w:val="22"/>
  </w:num>
  <w:num w:numId="20">
    <w:abstractNumId w:val="3"/>
  </w:num>
  <w:num w:numId="21">
    <w:abstractNumId w:val="7"/>
  </w:num>
  <w:num w:numId="22">
    <w:abstractNumId w:val="23"/>
  </w:num>
  <w:num w:numId="23">
    <w:abstractNumId w:val="6"/>
  </w:num>
  <w:num w:numId="24">
    <w:abstractNumId w:val="9"/>
  </w:num>
  <w:num w:numId="25">
    <w:abstractNumId w:val="8"/>
  </w:num>
  <w:num w:numId="26">
    <w:abstractNumId w:val="25"/>
  </w:num>
  <w:num w:numId="2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AD"/>
    <w:rsid w:val="000068C3"/>
    <w:rsid w:val="000069B9"/>
    <w:rsid w:val="00007165"/>
    <w:rsid w:val="00007717"/>
    <w:rsid w:val="00015206"/>
    <w:rsid w:val="000170A1"/>
    <w:rsid w:val="00017A0C"/>
    <w:rsid w:val="00025639"/>
    <w:rsid w:val="00026F2D"/>
    <w:rsid w:val="000402EC"/>
    <w:rsid w:val="00041822"/>
    <w:rsid w:val="00042017"/>
    <w:rsid w:val="00043EA5"/>
    <w:rsid w:val="00045C28"/>
    <w:rsid w:val="0005095F"/>
    <w:rsid w:val="00052F09"/>
    <w:rsid w:val="0005558B"/>
    <w:rsid w:val="00064A89"/>
    <w:rsid w:val="0006735F"/>
    <w:rsid w:val="00067F48"/>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4530"/>
    <w:rsid w:val="000A5AB1"/>
    <w:rsid w:val="000A6B9F"/>
    <w:rsid w:val="000A76C8"/>
    <w:rsid w:val="000B2B28"/>
    <w:rsid w:val="000B3A78"/>
    <w:rsid w:val="000B658A"/>
    <w:rsid w:val="000C0C40"/>
    <w:rsid w:val="000C2B74"/>
    <w:rsid w:val="000C2C4D"/>
    <w:rsid w:val="000C335B"/>
    <w:rsid w:val="000C689C"/>
    <w:rsid w:val="000E190D"/>
    <w:rsid w:val="000E675F"/>
    <w:rsid w:val="000F0511"/>
    <w:rsid w:val="000F2FCE"/>
    <w:rsid w:val="001009F9"/>
    <w:rsid w:val="00102F82"/>
    <w:rsid w:val="00103353"/>
    <w:rsid w:val="00104391"/>
    <w:rsid w:val="00105F6A"/>
    <w:rsid w:val="0010617E"/>
    <w:rsid w:val="00113889"/>
    <w:rsid w:val="0011531B"/>
    <w:rsid w:val="001156E0"/>
    <w:rsid w:val="00116BF5"/>
    <w:rsid w:val="001202FA"/>
    <w:rsid w:val="00120D6A"/>
    <w:rsid w:val="00121F23"/>
    <w:rsid w:val="0012288A"/>
    <w:rsid w:val="00126F4F"/>
    <w:rsid w:val="00133BE9"/>
    <w:rsid w:val="00141351"/>
    <w:rsid w:val="00141FAE"/>
    <w:rsid w:val="00144371"/>
    <w:rsid w:val="00146561"/>
    <w:rsid w:val="00146724"/>
    <w:rsid w:val="00146D20"/>
    <w:rsid w:val="0014704A"/>
    <w:rsid w:val="0014729A"/>
    <w:rsid w:val="001504AD"/>
    <w:rsid w:val="00152571"/>
    <w:rsid w:val="00152B5A"/>
    <w:rsid w:val="00153144"/>
    <w:rsid w:val="00153667"/>
    <w:rsid w:val="00155A71"/>
    <w:rsid w:val="0015788A"/>
    <w:rsid w:val="001607B5"/>
    <w:rsid w:val="00160D18"/>
    <w:rsid w:val="001625DE"/>
    <w:rsid w:val="00164DCB"/>
    <w:rsid w:val="0017286E"/>
    <w:rsid w:val="00173936"/>
    <w:rsid w:val="00177AA3"/>
    <w:rsid w:val="001808A3"/>
    <w:rsid w:val="00180C2B"/>
    <w:rsid w:val="00181D34"/>
    <w:rsid w:val="00183D1D"/>
    <w:rsid w:val="00184909"/>
    <w:rsid w:val="00185856"/>
    <w:rsid w:val="00185D56"/>
    <w:rsid w:val="00187556"/>
    <w:rsid w:val="001949AF"/>
    <w:rsid w:val="00197DDB"/>
    <w:rsid w:val="001A000F"/>
    <w:rsid w:val="001A028F"/>
    <w:rsid w:val="001A1186"/>
    <w:rsid w:val="001A255D"/>
    <w:rsid w:val="001A2635"/>
    <w:rsid w:val="001A67DE"/>
    <w:rsid w:val="001B12E0"/>
    <w:rsid w:val="001B179E"/>
    <w:rsid w:val="001B1DAF"/>
    <w:rsid w:val="001B40E6"/>
    <w:rsid w:val="001C4118"/>
    <w:rsid w:val="001C6663"/>
    <w:rsid w:val="001C72E7"/>
    <w:rsid w:val="001D0F43"/>
    <w:rsid w:val="001D3E2B"/>
    <w:rsid w:val="001D681E"/>
    <w:rsid w:val="001E0BBB"/>
    <w:rsid w:val="001E53B7"/>
    <w:rsid w:val="001E7186"/>
    <w:rsid w:val="001F0DAD"/>
    <w:rsid w:val="001F2095"/>
    <w:rsid w:val="001F406B"/>
    <w:rsid w:val="001F4FB6"/>
    <w:rsid w:val="001F6C99"/>
    <w:rsid w:val="002028B1"/>
    <w:rsid w:val="00203A90"/>
    <w:rsid w:val="002053BF"/>
    <w:rsid w:val="00205715"/>
    <w:rsid w:val="0020711C"/>
    <w:rsid w:val="00210B2D"/>
    <w:rsid w:val="002163BA"/>
    <w:rsid w:val="002259B3"/>
    <w:rsid w:val="00231D54"/>
    <w:rsid w:val="00233D51"/>
    <w:rsid w:val="0023553D"/>
    <w:rsid w:val="00240384"/>
    <w:rsid w:val="00242992"/>
    <w:rsid w:val="00246987"/>
    <w:rsid w:val="00251D91"/>
    <w:rsid w:val="00252F23"/>
    <w:rsid w:val="00254B2F"/>
    <w:rsid w:val="00257883"/>
    <w:rsid w:val="00260B38"/>
    <w:rsid w:val="002623A4"/>
    <w:rsid w:val="00262722"/>
    <w:rsid w:val="00262AD8"/>
    <w:rsid w:val="00266655"/>
    <w:rsid w:val="00271393"/>
    <w:rsid w:val="00272E2E"/>
    <w:rsid w:val="0027381B"/>
    <w:rsid w:val="00275A4E"/>
    <w:rsid w:val="00276FD1"/>
    <w:rsid w:val="002800DE"/>
    <w:rsid w:val="00284187"/>
    <w:rsid w:val="00285995"/>
    <w:rsid w:val="00290461"/>
    <w:rsid w:val="00290E1B"/>
    <w:rsid w:val="00291156"/>
    <w:rsid w:val="00292B97"/>
    <w:rsid w:val="00297FC4"/>
    <w:rsid w:val="002A1CD6"/>
    <w:rsid w:val="002B18C2"/>
    <w:rsid w:val="002C1749"/>
    <w:rsid w:val="002C576D"/>
    <w:rsid w:val="002C7113"/>
    <w:rsid w:val="002D3515"/>
    <w:rsid w:val="002D7542"/>
    <w:rsid w:val="002E05FB"/>
    <w:rsid w:val="002F70F5"/>
    <w:rsid w:val="002F71D5"/>
    <w:rsid w:val="00315D38"/>
    <w:rsid w:val="003203D1"/>
    <w:rsid w:val="00324263"/>
    <w:rsid w:val="00330585"/>
    <w:rsid w:val="0033210C"/>
    <w:rsid w:val="00334BE9"/>
    <w:rsid w:val="0033685C"/>
    <w:rsid w:val="00344210"/>
    <w:rsid w:val="0035381A"/>
    <w:rsid w:val="003542D3"/>
    <w:rsid w:val="003545E1"/>
    <w:rsid w:val="003577A8"/>
    <w:rsid w:val="003615F5"/>
    <w:rsid w:val="00363BBA"/>
    <w:rsid w:val="00365B4A"/>
    <w:rsid w:val="00366323"/>
    <w:rsid w:val="003717CF"/>
    <w:rsid w:val="003731A2"/>
    <w:rsid w:val="003738FB"/>
    <w:rsid w:val="0037444B"/>
    <w:rsid w:val="00377C96"/>
    <w:rsid w:val="00382208"/>
    <w:rsid w:val="00383A43"/>
    <w:rsid w:val="00391B0F"/>
    <w:rsid w:val="00393809"/>
    <w:rsid w:val="003A310B"/>
    <w:rsid w:val="003A38F2"/>
    <w:rsid w:val="003B03BE"/>
    <w:rsid w:val="003B32E0"/>
    <w:rsid w:val="003B6141"/>
    <w:rsid w:val="003B6437"/>
    <w:rsid w:val="003C5D14"/>
    <w:rsid w:val="003C70B9"/>
    <w:rsid w:val="003D074A"/>
    <w:rsid w:val="003D25FE"/>
    <w:rsid w:val="003D2879"/>
    <w:rsid w:val="003D38F9"/>
    <w:rsid w:val="003D5D41"/>
    <w:rsid w:val="003E1347"/>
    <w:rsid w:val="003E1711"/>
    <w:rsid w:val="003E59A3"/>
    <w:rsid w:val="003E603B"/>
    <w:rsid w:val="003E6205"/>
    <w:rsid w:val="003F0EA8"/>
    <w:rsid w:val="003F20AD"/>
    <w:rsid w:val="003F25CC"/>
    <w:rsid w:val="003F2794"/>
    <w:rsid w:val="003F35C9"/>
    <w:rsid w:val="003F40E5"/>
    <w:rsid w:val="00400CE6"/>
    <w:rsid w:val="00404C4B"/>
    <w:rsid w:val="00405A83"/>
    <w:rsid w:val="00407E8A"/>
    <w:rsid w:val="0041001B"/>
    <w:rsid w:val="00411BF4"/>
    <w:rsid w:val="0041403C"/>
    <w:rsid w:val="00420A2E"/>
    <w:rsid w:val="004229CC"/>
    <w:rsid w:val="00424F19"/>
    <w:rsid w:val="00431C40"/>
    <w:rsid w:val="00433863"/>
    <w:rsid w:val="00434497"/>
    <w:rsid w:val="004407F9"/>
    <w:rsid w:val="00443035"/>
    <w:rsid w:val="00443491"/>
    <w:rsid w:val="004458C1"/>
    <w:rsid w:val="00445FFE"/>
    <w:rsid w:val="00447402"/>
    <w:rsid w:val="00450A8C"/>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A0E1C"/>
    <w:rsid w:val="004A26A5"/>
    <w:rsid w:val="004A2B23"/>
    <w:rsid w:val="004A6250"/>
    <w:rsid w:val="004A74FB"/>
    <w:rsid w:val="004B058A"/>
    <w:rsid w:val="004B5169"/>
    <w:rsid w:val="004B6C9A"/>
    <w:rsid w:val="004B6F98"/>
    <w:rsid w:val="004C01A0"/>
    <w:rsid w:val="004C0437"/>
    <w:rsid w:val="004C4071"/>
    <w:rsid w:val="004C49E0"/>
    <w:rsid w:val="004C73D1"/>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226C"/>
    <w:rsid w:val="0055355B"/>
    <w:rsid w:val="00554C6C"/>
    <w:rsid w:val="00555285"/>
    <w:rsid w:val="00560042"/>
    <w:rsid w:val="00563180"/>
    <w:rsid w:val="00563A6D"/>
    <w:rsid w:val="00563D5B"/>
    <w:rsid w:val="0057150E"/>
    <w:rsid w:val="00571994"/>
    <w:rsid w:val="00572F34"/>
    <w:rsid w:val="00573D2B"/>
    <w:rsid w:val="0057644F"/>
    <w:rsid w:val="00576BFF"/>
    <w:rsid w:val="0057736C"/>
    <w:rsid w:val="00580A35"/>
    <w:rsid w:val="00591A47"/>
    <w:rsid w:val="00593163"/>
    <w:rsid w:val="00593B39"/>
    <w:rsid w:val="005970B6"/>
    <w:rsid w:val="005A29B3"/>
    <w:rsid w:val="005A3B69"/>
    <w:rsid w:val="005A4DDC"/>
    <w:rsid w:val="005A65AF"/>
    <w:rsid w:val="005C2A5F"/>
    <w:rsid w:val="005C33CC"/>
    <w:rsid w:val="005C4F14"/>
    <w:rsid w:val="005C60B7"/>
    <w:rsid w:val="005C62C7"/>
    <w:rsid w:val="005D0604"/>
    <w:rsid w:val="005D1CA8"/>
    <w:rsid w:val="005D4FB0"/>
    <w:rsid w:val="005D79A4"/>
    <w:rsid w:val="005E0E1C"/>
    <w:rsid w:val="005E3610"/>
    <w:rsid w:val="005E4196"/>
    <w:rsid w:val="005F2273"/>
    <w:rsid w:val="005F4099"/>
    <w:rsid w:val="005F64D0"/>
    <w:rsid w:val="005F6874"/>
    <w:rsid w:val="005F6AC4"/>
    <w:rsid w:val="0060370C"/>
    <w:rsid w:val="006043EE"/>
    <w:rsid w:val="00606297"/>
    <w:rsid w:val="006124D3"/>
    <w:rsid w:val="006126B4"/>
    <w:rsid w:val="00620B30"/>
    <w:rsid w:val="006217ED"/>
    <w:rsid w:val="00623B95"/>
    <w:rsid w:val="00623F51"/>
    <w:rsid w:val="0062456A"/>
    <w:rsid w:val="00626C07"/>
    <w:rsid w:val="00644D23"/>
    <w:rsid w:val="00644F77"/>
    <w:rsid w:val="00645311"/>
    <w:rsid w:val="006509D1"/>
    <w:rsid w:val="006535AA"/>
    <w:rsid w:val="006550E6"/>
    <w:rsid w:val="0065556E"/>
    <w:rsid w:val="006574AA"/>
    <w:rsid w:val="00667384"/>
    <w:rsid w:val="0067188D"/>
    <w:rsid w:val="006749E4"/>
    <w:rsid w:val="00680A87"/>
    <w:rsid w:val="00682D7B"/>
    <w:rsid w:val="006843A4"/>
    <w:rsid w:val="00685B8E"/>
    <w:rsid w:val="0068700F"/>
    <w:rsid w:val="0069307A"/>
    <w:rsid w:val="00697031"/>
    <w:rsid w:val="00697609"/>
    <w:rsid w:val="00697B95"/>
    <w:rsid w:val="006A2559"/>
    <w:rsid w:val="006A2EE3"/>
    <w:rsid w:val="006A31A3"/>
    <w:rsid w:val="006A41BA"/>
    <w:rsid w:val="006A4734"/>
    <w:rsid w:val="006A6391"/>
    <w:rsid w:val="006A6F9D"/>
    <w:rsid w:val="006A742B"/>
    <w:rsid w:val="006B110E"/>
    <w:rsid w:val="006B5F85"/>
    <w:rsid w:val="006C1DC6"/>
    <w:rsid w:val="006C6DB3"/>
    <w:rsid w:val="006C6F3C"/>
    <w:rsid w:val="006C732E"/>
    <w:rsid w:val="006C79BB"/>
    <w:rsid w:val="006D541A"/>
    <w:rsid w:val="006D7630"/>
    <w:rsid w:val="006D7A1D"/>
    <w:rsid w:val="006E2C0F"/>
    <w:rsid w:val="006E371C"/>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37EA7"/>
    <w:rsid w:val="007414D2"/>
    <w:rsid w:val="0074665C"/>
    <w:rsid w:val="00762821"/>
    <w:rsid w:val="00762E0E"/>
    <w:rsid w:val="00765E1F"/>
    <w:rsid w:val="00770905"/>
    <w:rsid w:val="007718DC"/>
    <w:rsid w:val="00773C7C"/>
    <w:rsid w:val="007752E8"/>
    <w:rsid w:val="00776D62"/>
    <w:rsid w:val="00776FA1"/>
    <w:rsid w:val="007772BD"/>
    <w:rsid w:val="00782E13"/>
    <w:rsid w:val="00783147"/>
    <w:rsid w:val="00786F91"/>
    <w:rsid w:val="00790F4B"/>
    <w:rsid w:val="00793720"/>
    <w:rsid w:val="007953B0"/>
    <w:rsid w:val="007A1147"/>
    <w:rsid w:val="007A2149"/>
    <w:rsid w:val="007A538E"/>
    <w:rsid w:val="007B36BD"/>
    <w:rsid w:val="007B6F3A"/>
    <w:rsid w:val="007C0770"/>
    <w:rsid w:val="007C0951"/>
    <w:rsid w:val="007C0BF2"/>
    <w:rsid w:val="007C1BB7"/>
    <w:rsid w:val="007D05CA"/>
    <w:rsid w:val="007D260A"/>
    <w:rsid w:val="007D33A8"/>
    <w:rsid w:val="007D41A1"/>
    <w:rsid w:val="007E0F81"/>
    <w:rsid w:val="007E190F"/>
    <w:rsid w:val="007E4B0D"/>
    <w:rsid w:val="007F0245"/>
    <w:rsid w:val="007F4D7C"/>
    <w:rsid w:val="007F5D92"/>
    <w:rsid w:val="00800159"/>
    <w:rsid w:val="00800BED"/>
    <w:rsid w:val="008036AB"/>
    <w:rsid w:val="00804EF1"/>
    <w:rsid w:val="00805243"/>
    <w:rsid w:val="00807DA8"/>
    <w:rsid w:val="008108C8"/>
    <w:rsid w:val="00811235"/>
    <w:rsid w:val="00813070"/>
    <w:rsid w:val="00815C15"/>
    <w:rsid w:val="00816571"/>
    <w:rsid w:val="00816C5C"/>
    <w:rsid w:val="00817F95"/>
    <w:rsid w:val="008220E8"/>
    <w:rsid w:val="00827205"/>
    <w:rsid w:val="00832806"/>
    <w:rsid w:val="00842535"/>
    <w:rsid w:val="00842EB6"/>
    <w:rsid w:val="00845654"/>
    <w:rsid w:val="00861141"/>
    <w:rsid w:val="00861BC1"/>
    <w:rsid w:val="00861D03"/>
    <w:rsid w:val="00862ACA"/>
    <w:rsid w:val="0086554A"/>
    <w:rsid w:val="00866DA4"/>
    <w:rsid w:val="008701E7"/>
    <w:rsid w:val="008740A1"/>
    <w:rsid w:val="008748BA"/>
    <w:rsid w:val="0087735E"/>
    <w:rsid w:val="008849E7"/>
    <w:rsid w:val="00893372"/>
    <w:rsid w:val="00897A17"/>
    <w:rsid w:val="00897F13"/>
    <w:rsid w:val="008A0096"/>
    <w:rsid w:val="008A1688"/>
    <w:rsid w:val="008A2B25"/>
    <w:rsid w:val="008A3C44"/>
    <w:rsid w:val="008A420C"/>
    <w:rsid w:val="008A5144"/>
    <w:rsid w:val="008B07DD"/>
    <w:rsid w:val="008B1217"/>
    <w:rsid w:val="008B212E"/>
    <w:rsid w:val="008B2F76"/>
    <w:rsid w:val="008C021C"/>
    <w:rsid w:val="008C5085"/>
    <w:rsid w:val="008C557A"/>
    <w:rsid w:val="008C57DA"/>
    <w:rsid w:val="008D0FBE"/>
    <w:rsid w:val="008D1D46"/>
    <w:rsid w:val="008D2CDB"/>
    <w:rsid w:val="008D2E69"/>
    <w:rsid w:val="008D3320"/>
    <w:rsid w:val="008D3473"/>
    <w:rsid w:val="008D690D"/>
    <w:rsid w:val="008D7057"/>
    <w:rsid w:val="008E0BFA"/>
    <w:rsid w:val="008E206C"/>
    <w:rsid w:val="008F2A4F"/>
    <w:rsid w:val="008F5F51"/>
    <w:rsid w:val="008F6C71"/>
    <w:rsid w:val="00901A73"/>
    <w:rsid w:val="00904608"/>
    <w:rsid w:val="00905742"/>
    <w:rsid w:val="00906300"/>
    <w:rsid w:val="0091084F"/>
    <w:rsid w:val="009171D4"/>
    <w:rsid w:val="00920155"/>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2C2"/>
    <w:rsid w:val="0096275C"/>
    <w:rsid w:val="00962961"/>
    <w:rsid w:val="009630E7"/>
    <w:rsid w:val="00964520"/>
    <w:rsid w:val="00964AA0"/>
    <w:rsid w:val="0096551C"/>
    <w:rsid w:val="009658D8"/>
    <w:rsid w:val="00966D6E"/>
    <w:rsid w:val="00970B58"/>
    <w:rsid w:val="0097411F"/>
    <w:rsid w:val="009858E8"/>
    <w:rsid w:val="009870A7"/>
    <w:rsid w:val="0098759C"/>
    <w:rsid w:val="0099030C"/>
    <w:rsid w:val="00992625"/>
    <w:rsid w:val="00994C9C"/>
    <w:rsid w:val="009971A7"/>
    <w:rsid w:val="009971E2"/>
    <w:rsid w:val="00997B88"/>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2BC5"/>
    <w:rsid w:val="009F34DA"/>
    <w:rsid w:val="009F565C"/>
    <w:rsid w:val="009F660E"/>
    <w:rsid w:val="00A018BE"/>
    <w:rsid w:val="00A04A2F"/>
    <w:rsid w:val="00A06938"/>
    <w:rsid w:val="00A11735"/>
    <w:rsid w:val="00A2067B"/>
    <w:rsid w:val="00A2193B"/>
    <w:rsid w:val="00A24858"/>
    <w:rsid w:val="00A27092"/>
    <w:rsid w:val="00A30C8A"/>
    <w:rsid w:val="00A341DD"/>
    <w:rsid w:val="00A344E7"/>
    <w:rsid w:val="00A34ED7"/>
    <w:rsid w:val="00A40457"/>
    <w:rsid w:val="00A44CD4"/>
    <w:rsid w:val="00A507CF"/>
    <w:rsid w:val="00A50FBA"/>
    <w:rsid w:val="00A51F9A"/>
    <w:rsid w:val="00A5202E"/>
    <w:rsid w:val="00A53ABD"/>
    <w:rsid w:val="00A617F3"/>
    <w:rsid w:val="00A640FA"/>
    <w:rsid w:val="00A70495"/>
    <w:rsid w:val="00A70943"/>
    <w:rsid w:val="00A75941"/>
    <w:rsid w:val="00A84C51"/>
    <w:rsid w:val="00A8681D"/>
    <w:rsid w:val="00A87FD0"/>
    <w:rsid w:val="00A944E3"/>
    <w:rsid w:val="00A95ACD"/>
    <w:rsid w:val="00A969BD"/>
    <w:rsid w:val="00A97BD1"/>
    <w:rsid w:val="00AA12C7"/>
    <w:rsid w:val="00AA231E"/>
    <w:rsid w:val="00AB019B"/>
    <w:rsid w:val="00AB477B"/>
    <w:rsid w:val="00AB5D8D"/>
    <w:rsid w:val="00AB6F25"/>
    <w:rsid w:val="00AC1AA3"/>
    <w:rsid w:val="00AC704E"/>
    <w:rsid w:val="00AD151C"/>
    <w:rsid w:val="00AD19B9"/>
    <w:rsid w:val="00AD549C"/>
    <w:rsid w:val="00AD613D"/>
    <w:rsid w:val="00AE2533"/>
    <w:rsid w:val="00AE3503"/>
    <w:rsid w:val="00AF0E04"/>
    <w:rsid w:val="00AF2D95"/>
    <w:rsid w:val="00B00E51"/>
    <w:rsid w:val="00B01562"/>
    <w:rsid w:val="00B03991"/>
    <w:rsid w:val="00B06301"/>
    <w:rsid w:val="00B07467"/>
    <w:rsid w:val="00B1026D"/>
    <w:rsid w:val="00B12CCF"/>
    <w:rsid w:val="00B147AE"/>
    <w:rsid w:val="00B16646"/>
    <w:rsid w:val="00B26B6B"/>
    <w:rsid w:val="00B26D2F"/>
    <w:rsid w:val="00B27CD6"/>
    <w:rsid w:val="00B300B9"/>
    <w:rsid w:val="00B333FD"/>
    <w:rsid w:val="00B33A1E"/>
    <w:rsid w:val="00B35B00"/>
    <w:rsid w:val="00B40F7F"/>
    <w:rsid w:val="00B45008"/>
    <w:rsid w:val="00B5370C"/>
    <w:rsid w:val="00B56924"/>
    <w:rsid w:val="00B662A1"/>
    <w:rsid w:val="00B66702"/>
    <w:rsid w:val="00B67876"/>
    <w:rsid w:val="00B712E7"/>
    <w:rsid w:val="00B752AA"/>
    <w:rsid w:val="00B75545"/>
    <w:rsid w:val="00B763DA"/>
    <w:rsid w:val="00B7778C"/>
    <w:rsid w:val="00B800B2"/>
    <w:rsid w:val="00B8238D"/>
    <w:rsid w:val="00B842A7"/>
    <w:rsid w:val="00B86A06"/>
    <w:rsid w:val="00B96F00"/>
    <w:rsid w:val="00B975F2"/>
    <w:rsid w:val="00BA19D5"/>
    <w:rsid w:val="00BA3989"/>
    <w:rsid w:val="00BA623B"/>
    <w:rsid w:val="00BA7DD4"/>
    <w:rsid w:val="00BB14E1"/>
    <w:rsid w:val="00BB53A9"/>
    <w:rsid w:val="00BC0F24"/>
    <w:rsid w:val="00BC1FC0"/>
    <w:rsid w:val="00BC2537"/>
    <w:rsid w:val="00BC4662"/>
    <w:rsid w:val="00BD3904"/>
    <w:rsid w:val="00BD43E0"/>
    <w:rsid w:val="00BD6C83"/>
    <w:rsid w:val="00BD7B23"/>
    <w:rsid w:val="00BD7FF5"/>
    <w:rsid w:val="00BE3341"/>
    <w:rsid w:val="00BE481F"/>
    <w:rsid w:val="00BE6A42"/>
    <w:rsid w:val="00BF0F97"/>
    <w:rsid w:val="00BF14BB"/>
    <w:rsid w:val="00C00BF2"/>
    <w:rsid w:val="00C0439C"/>
    <w:rsid w:val="00C058EA"/>
    <w:rsid w:val="00C05926"/>
    <w:rsid w:val="00C071AE"/>
    <w:rsid w:val="00C11223"/>
    <w:rsid w:val="00C12097"/>
    <w:rsid w:val="00C12E5E"/>
    <w:rsid w:val="00C14696"/>
    <w:rsid w:val="00C24439"/>
    <w:rsid w:val="00C3095C"/>
    <w:rsid w:val="00C4000E"/>
    <w:rsid w:val="00C5261A"/>
    <w:rsid w:val="00C54F24"/>
    <w:rsid w:val="00C5563C"/>
    <w:rsid w:val="00C56535"/>
    <w:rsid w:val="00C64D4D"/>
    <w:rsid w:val="00C67171"/>
    <w:rsid w:val="00C71168"/>
    <w:rsid w:val="00C86C6F"/>
    <w:rsid w:val="00C918F6"/>
    <w:rsid w:val="00C928D7"/>
    <w:rsid w:val="00C94115"/>
    <w:rsid w:val="00C95DFB"/>
    <w:rsid w:val="00CA343A"/>
    <w:rsid w:val="00CA399E"/>
    <w:rsid w:val="00CB0389"/>
    <w:rsid w:val="00CB18A1"/>
    <w:rsid w:val="00CB6542"/>
    <w:rsid w:val="00CC5700"/>
    <w:rsid w:val="00CD1BAA"/>
    <w:rsid w:val="00CD256A"/>
    <w:rsid w:val="00CD53AD"/>
    <w:rsid w:val="00CD582A"/>
    <w:rsid w:val="00CD5C27"/>
    <w:rsid w:val="00CE2220"/>
    <w:rsid w:val="00CE2FDF"/>
    <w:rsid w:val="00CE37EB"/>
    <w:rsid w:val="00CE4770"/>
    <w:rsid w:val="00CF40F5"/>
    <w:rsid w:val="00CF7732"/>
    <w:rsid w:val="00D00A54"/>
    <w:rsid w:val="00D03F35"/>
    <w:rsid w:val="00D0590E"/>
    <w:rsid w:val="00D0728A"/>
    <w:rsid w:val="00D139FB"/>
    <w:rsid w:val="00D1459C"/>
    <w:rsid w:val="00D14F9B"/>
    <w:rsid w:val="00D167D2"/>
    <w:rsid w:val="00D16A01"/>
    <w:rsid w:val="00D25F8D"/>
    <w:rsid w:val="00D26D5B"/>
    <w:rsid w:val="00D30C17"/>
    <w:rsid w:val="00D312BB"/>
    <w:rsid w:val="00D3190C"/>
    <w:rsid w:val="00D33100"/>
    <w:rsid w:val="00D35032"/>
    <w:rsid w:val="00D3665A"/>
    <w:rsid w:val="00D461B9"/>
    <w:rsid w:val="00D4670D"/>
    <w:rsid w:val="00D4672A"/>
    <w:rsid w:val="00D46936"/>
    <w:rsid w:val="00D4753A"/>
    <w:rsid w:val="00D508C2"/>
    <w:rsid w:val="00D50A49"/>
    <w:rsid w:val="00D54CE7"/>
    <w:rsid w:val="00D555CF"/>
    <w:rsid w:val="00D67B59"/>
    <w:rsid w:val="00D71C6A"/>
    <w:rsid w:val="00D728BA"/>
    <w:rsid w:val="00D82EFA"/>
    <w:rsid w:val="00D850CB"/>
    <w:rsid w:val="00D85563"/>
    <w:rsid w:val="00D861AD"/>
    <w:rsid w:val="00D867C5"/>
    <w:rsid w:val="00D903E6"/>
    <w:rsid w:val="00D93F7A"/>
    <w:rsid w:val="00D96B91"/>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4913"/>
    <w:rsid w:val="00DF5363"/>
    <w:rsid w:val="00DF7764"/>
    <w:rsid w:val="00E005AD"/>
    <w:rsid w:val="00E060D3"/>
    <w:rsid w:val="00E100E8"/>
    <w:rsid w:val="00E10514"/>
    <w:rsid w:val="00E11FAD"/>
    <w:rsid w:val="00E127DE"/>
    <w:rsid w:val="00E13A0A"/>
    <w:rsid w:val="00E15E34"/>
    <w:rsid w:val="00E17247"/>
    <w:rsid w:val="00E21E5F"/>
    <w:rsid w:val="00E22BCC"/>
    <w:rsid w:val="00E25ABB"/>
    <w:rsid w:val="00E26B06"/>
    <w:rsid w:val="00E340A5"/>
    <w:rsid w:val="00E347E7"/>
    <w:rsid w:val="00E3582A"/>
    <w:rsid w:val="00E40B01"/>
    <w:rsid w:val="00E40B42"/>
    <w:rsid w:val="00E41AAE"/>
    <w:rsid w:val="00E41B41"/>
    <w:rsid w:val="00E44AE2"/>
    <w:rsid w:val="00E461F1"/>
    <w:rsid w:val="00E46E76"/>
    <w:rsid w:val="00E504FB"/>
    <w:rsid w:val="00E55D03"/>
    <w:rsid w:val="00E60B74"/>
    <w:rsid w:val="00E61443"/>
    <w:rsid w:val="00E61983"/>
    <w:rsid w:val="00E61BE6"/>
    <w:rsid w:val="00E70A81"/>
    <w:rsid w:val="00E72B9D"/>
    <w:rsid w:val="00E74FD7"/>
    <w:rsid w:val="00EA0E12"/>
    <w:rsid w:val="00EA2856"/>
    <w:rsid w:val="00EA4955"/>
    <w:rsid w:val="00EA559B"/>
    <w:rsid w:val="00EA6F05"/>
    <w:rsid w:val="00EA7D94"/>
    <w:rsid w:val="00EA7E1E"/>
    <w:rsid w:val="00EB59AE"/>
    <w:rsid w:val="00EC0DE4"/>
    <w:rsid w:val="00EC1A41"/>
    <w:rsid w:val="00EC3AFB"/>
    <w:rsid w:val="00EC3F85"/>
    <w:rsid w:val="00EC628D"/>
    <w:rsid w:val="00ED1A96"/>
    <w:rsid w:val="00ED2DDE"/>
    <w:rsid w:val="00EE14C4"/>
    <w:rsid w:val="00EE1EE4"/>
    <w:rsid w:val="00EE2A33"/>
    <w:rsid w:val="00EE5859"/>
    <w:rsid w:val="00EE5C07"/>
    <w:rsid w:val="00EF16B0"/>
    <w:rsid w:val="00EF3CA6"/>
    <w:rsid w:val="00F01655"/>
    <w:rsid w:val="00F12972"/>
    <w:rsid w:val="00F12E55"/>
    <w:rsid w:val="00F20322"/>
    <w:rsid w:val="00F22F47"/>
    <w:rsid w:val="00F26864"/>
    <w:rsid w:val="00F26B75"/>
    <w:rsid w:val="00F2777A"/>
    <w:rsid w:val="00F27D0B"/>
    <w:rsid w:val="00F350A2"/>
    <w:rsid w:val="00F37427"/>
    <w:rsid w:val="00F37435"/>
    <w:rsid w:val="00F4219B"/>
    <w:rsid w:val="00F56388"/>
    <w:rsid w:val="00F61E59"/>
    <w:rsid w:val="00F6432A"/>
    <w:rsid w:val="00F71400"/>
    <w:rsid w:val="00F76F97"/>
    <w:rsid w:val="00F77593"/>
    <w:rsid w:val="00F8014D"/>
    <w:rsid w:val="00F8032F"/>
    <w:rsid w:val="00F825A1"/>
    <w:rsid w:val="00F826A1"/>
    <w:rsid w:val="00F82EF6"/>
    <w:rsid w:val="00F8597E"/>
    <w:rsid w:val="00F87539"/>
    <w:rsid w:val="00F924B2"/>
    <w:rsid w:val="00FA210D"/>
    <w:rsid w:val="00FA59AE"/>
    <w:rsid w:val="00FA7FC4"/>
    <w:rsid w:val="00FB3F35"/>
    <w:rsid w:val="00FC1498"/>
    <w:rsid w:val="00FC44AE"/>
    <w:rsid w:val="00FD083E"/>
    <w:rsid w:val="00FD1256"/>
    <w:rsid w:val="00FD24A1"/>
    <w:rsid w:val="00FD5292"/>
    <w:rsid w:val="00FD52BD"/>
    <w:rsid w:val="00FD5F95"/>
    <w:rsid w:val="00FE0C05"/>
    <w:rsid w:val="00FE12B6"/>
    <w:rsid w:val="00FE3150"/>
    <w:rsid w:val="00FF2201"/>
    <w:rsid w:val="00FF34BC"/>
    <w:rsid w:val="00FF398F"/>
    <w:rsid w:val="00FF41A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character" w:styleId="Hyperlink">
    <w:name w:val="Hyperlink"/>
    <w:uiPriority w:val="99"/>
    <w:rsid w:val="008C57DA"/>
    <w:rPr>
      <w:color w:val="0000FF"/>
      <w:u w:val="single"/>
    </w:rPr>
  </w:style>
  <w:style w:type="paragraph" w:customStyle="1" w:styleId="Reference">
    <w:name w:val="Reference"/>
    <w:basedOn w:val="BodyText"/>
    <w:rsid w:val="00B26D2F"/>
    <w:pPr>
      <w:numPr>
        <w:numId w:val="11"/>
      </w:numPr>
    </w:pPr>
    <w:rPr>
      <w:rFonts w:asciiTheme="minorHAnsi" w:hAnsiTheme="minorHAnsi"/>
    </w:rPr>
  </w:style>
  <w:style w:type="paragraph" w:customStyle="1" w:styleId="Observation">
    <w:name w:val="Observation"/>
    <w:basedOn w:val="Normal"/>
    <w:qFormat/>
    <w:rsid w:val="00FF2201"/>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paragraph" w:customStyle="1" w:styleId="B1">
    <w:name w:val="B1"/>
    <w:basedOn w:val="List"/>
    <w:link w:val="B1Zchn"/>
    <w:qFormat/>
    <w:rsid w:val="007C0951"/>
    <w:pPr>
      <w:ind w:left="568" w:hanging="284"/>
      <w:contextualSpacing w:val="0"/>
    </w:pPr>
    <w:rPr>
      <w:rFonts w:eastAsia="MS Mincho"/>
    </w:rPr>
  </w:style>
  <w:style w:type="paragraph" w:customStyle="1" w:styleId="B2">
    <w:name w:val="B2"/>
    <w:basedOn w:val="List2"/>
    <w:link w:val="B2Char"/>
    <w:qFormat/>
    <w:rsid w:val="007C0951"/>
    <w:pPr>
      <w:ind w:left="851" w:hanging="284"/>
      <w:contextualSpacing w:val="0"/>
    </w:pPr>
    <w:rPr>
      <w:rFonts w:eastAsia="MS Mincho"/>
    </w:rPr>
  </w:style>
  <w:style w:type="character" w:customStyle="1" w:styleId="B1Zchn">
    <w:name w:val="B1 Zchn"/>
    <w:link w:val="B1"/>
    <w:qFormat/>
    <w:rsid w:val="007C0951"/>
    <w:rPr>
      <w:rFonts w:ascii="Times New Roman" w:eastAsia="MS Mincho" w:hAnsi="Times New Roman" w:cs="Times New Roman"/>
      <w:sz w:val="20"/>
      <w:szCs w:val="20"/>
      <w:lang w:val="en-GB" w:eastAsia="en-US"/>
    </w:rPr>
  </w:style>
  <w:style w:type="character" w:customStyle="1" w:styleId="B2Char">
    <w:name w:val="B2 Char"/>
    <w:link w:val="B2"/>
    <w:qFormat/>
    <w:rsid w:val="007C0951"/>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7C0951"/>
    <w:pPr>
      <w:ind w:left="360" w:hanging="360"/>
      <w:contextualSpacing/>
    </w:pPr>
  </w:style>
  <w:style w:type="paragraph" w:styleId="List2">
    <w:name w:val="List 2"/>
    <w:basedOn w:val="Normal"/>
    <w:uiPriority w:val="99"/>
    <w:semiHidden/>
    <w:unhideWhenUsed/>
    <w:rsid w:val="007C095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9865">
      <w:bodyDiv w:val="1"/>
      <w:marLeft w:val="0"/>
      <w:marRight w:val="0"/>
      <w:marTop w:val="0"/>
      <w:marBottom w:val="0"/>
      <w:divBdr>
        <w:top w:val="none" w:sz="0" w:space="0" w:color="auto"/>
        <w:left w:val="none" w:sz="0" w:space="0" w:color="auto"/>
        <w:bottom w:val="none" w:sz="0" w:space="0" w:color="auto"/>
        <w:right w:val="none" w:sz="0" w:space="0" w:color="auto"/>
      </w:divBdr>
    </w:div>
    <w:div w:id="55128530">
      <w:bodyDiv w:val="1"/>
      <w:marLeft w:val="0"/>
      <w:marRight w:val="0"/>
      <w:marTop w:val="0"/>
      <w:marBottom w:val="0"/>
      <w:divBdr>
        <w:top w:val="none" w:sz="0" w:space="0" w:color="auto"/>
        <w:left w:val="none" w:sz="0" w:space="0" w:color="auto"/>
        <w:bottom w:val="none" w:sz="0" w:space="0" w:color="auto"/>
        <w:right w:val="none" w:sz="0" w:space="0" w:color="auto"/>
      </w:divBdr>
    </w:div>
    <w:div w:id="290476419">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17213720">
      <w:bodyDiv w:val="1"/>
      <w:marLeft w:val="0"/>
      <w:marRight w:val="0"/>
      <w:marTop w:val="0"/>
      <w:marBottom w:val="0"/>
      <w:divBdr>
        <w:top w:val="none" w:sz="0" w:space="0" w:color="auto"/>
        <w:left w:val="none" w:sz="0" w:space="0" w:color="auto"/>
        <w:bottom w:val="none" w:sz="0" w:space="0" w:color="auto"/>
        <w:right w:val="none" w:sz="0" w:space="0" w:color="auto"/>
      </w:divBdr>
    </w:div>
    <w:div w:id="450903339">
      <w:bodyDiv w:val="1"/>
      <w:marLeft w:val="0"/>
      <w:marRight w:val="0"/>
      <w:marTop w:val="0"/>
      <w:marBottom w:val="0"/>
      <w:divBdr>
        <w:top w:val="none" w:sz="0" w:space="0" w:color="auto"/>
        <w:left w:val="none" w:sz="0" w:space="0" w:color="auto"/>
        <w:bottom w:val="none" w:sz="0" w:space="0" w:color="auto"/>
        <w:right w:val="none" w:sz="0" w:space="0" w:color="auto"/>
      </w:divBdr>
      <w:divsChild>
        <w:div w:id="2630415">
          <w:marLeft w:val="0"/>
          <w:marRight w:val="0"/>
          <w:marTop w:val="0"/>
          <w:marBottom w:val="0"/>
          <w:divBdr>
            <w:top w:val="none" w:sz="0" w:space="0" w:color="auto"/>
            <w:left w:val="none" w:sz="0" w:space="0" w:color="auto"/>
            <w:bottom w:val="none" w:sz="0" w:space="0" w:color="auto"/>
            <w:right w:val="none" w:sz="0" w:space="0" w:color="auto"/>
          </w:divBdr>
          <w:divsChild>
            <w:div w:id="1416241891">
              <w:marLeft w:val="0"/>
              <w:marRight w:val="0"/>
              <w:marTop w:val="0"/>
              <w:marBottom w:val="0"/>
              <w:divBdr>
                <w:top w:val="none" w:sz="0" w:space="0" w:color="auto"/>
                <w:left w:val="none" w:sz="0" w:space="0" w:color="auto"/>
                <w:bottom w:val="none" w:sz="0" w:space="0" w:color="auto"/>
                <w:right w:val="none" w:sz="0" w:space="0" w:color="auto"/>
              </w:divBdr>
              <w:divsChild>
                <w:div w:id="16988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346464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384294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99096699">
      <w:bodyDiv w:val="1"/>
      <w:marLeft w:val="0"/>
      <w:marRight w:val="0"/>
      <w:marTop w:val="0"/>
      <w:marBottom w:val="0"/>
      <w:divBdr>
        <w:top w:val="none" w:sz="0" w:space="0" w:color="auto"/>
        <w:left w:val="none" w:sz="0" w:space="0" w:color="auto"/>
        <w:bottom w:val="none" w:sz="0" w:space="0" w:color="auto"/>
        <w:right w:val="none" w:sz="0" w:space="0" w:color="auto"/>
      </w:divBdr>
    </w:div>
    <w:div w:id="1601141381">
      <w:bodyDiv w:val="1"/>
      <w:marLeft w:val="0"/>
      <w:marRight w:val="0"/>
      <w:marTop w:val="0"/>
      <w:marBottom w:val="0"/>
      <w:divBdr>
        <w:top w:val="none" w:sz="0" w:space="0" w:color="auto"/>
        <w:left w:val="none" w:sz="0" w:space="0" w:color="auto"/>
        <w:bottom w:val="none" w:sz="0" w:space="0" w:color="auto"/>
        <w:right w:val="none" w:sz="0" w:space="0" w:color="auto"/>
      </w:divBdr>
    </w:div>
    <w:div w:id="1615669362">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64125223">
      <w:bodyDiv w:val="1"/>
      <w:marLeft w:val="0"/>
      <w:marRight w:val="0"/>
      <w:marTop w:val="0"/>
      <w:marBottom w:val="0"/>
      <w:divBdr>
        <w:top w:val="none" w:sz="0" w:space="0" w:color="auto"/>
        <w:left w:val="none" w:sz="0" w:space="0" w:color="auto"/>
        <w:bottom w:val="none" w:sz="0" w:space="0" w:color="auto"/>
        <w:right w:val="none" w:sz="0" w:space="0" w:color="auto"/>
      </w:divBdr>
    </w:div>
    <w:div w:id="1913200927">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2060</TotalTime>
  <Pages>7</Pages>
  <Words>2519</Words>
  <Characters>14364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103</cp:revision>
  <cp:lastPrinted>2019-01-22T03:27:00Z</cp:lastPrinted>
  <dcterms:created xsi:type="dcterms:W3CDTF">2020-08-06T15:21:00Z</dcterms:created>
  <dcterms:modified xsi:type="dcterms:W3CDTF">2021-03-15T05:50:00Z</dcterms:modified>
</cp:coreProperties>
</file>