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rsidR="00BC6D07" w:rsidRDefault="00BC6D07">
      <w:pPr>
        <w:pStyle w:val="Footer"/>
        <w:jc w:val="both"/>
        <w:rPr>
          <w:rFonts w:ascii="Times New Roman" w:hAnsi="Times New Roman"/>
          <w:i w:val="0"/>
          <w:lang w:val="en-GB"/>
        </w:rPr>
      </w:pPr>
    </w:p>
    <w:p w:rsidR="00BC6D07" w:rsidRDefault="00B808A2">
      <w:pPr>
        <w:tabs>
          <w:tab w:val="left" w:pos="1985"/>
        </w:tabs>
        <w:jc w:val="both"/>
        <w:rPr>
          <w:b/>
          <w:sz w:val="24"/>
        </w:rPr>
      </w:pPr>
      <w:r>
        <w:rPr>
          <w:b/>
          <w:sz w:val="24"/>
        </w:rPr>
        <w:t>Agenda item:</w:t>
      </w:r>
      <w:r>
        <w:rPr>
          <w:b/>
          <w:sz w:val="24"/>
        </w:rPr>
        <w:tab/>
      </w:r>
      <w:bookmarkStart w:id="0" w:name="Source"/>
      <w:bookmarkEnd w:id="0"/>
    </w:p>
    <w:p w:rsidR="00BC6D07" w:rsidRDefault="00B808A2">
      <w:pPr>
        <w:tabs>
          <w:tab w:val="left" w:pos="1985"/>
        </w:tabs>
        <w:jc w:val="both"/>
      </w:pPr>
      <w:r>
        <w:rPr>
          <w:b/>
          <w:sz w:val="24"/>
        </w:rPr>
        <w:t xml:space="preserve">Source: </w:t>
      </w:r>
      <w:r>
        <w:rPr>
          <w:b/>
          <w:sz w:val="24"/>
        </w:rPr>
        <w:tab/>
      </w:r>
      <w:r>
        <w:rPr>
          <w:sz w:val="24"/>
          <w:szCs w:val="24"/>
        </w:rPr>
        <w:t>3GPP TSG RAN1 Chairman</w:t>
      </w:r>
    </w:p>
    <w:p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rsidR="00BC6D07" w:rsidRDefault="00B808A2">
      <w:pPr>
        <w:pStyle w:val="Heading1"/>
        <w:jc w:val="both"/>
        <w:rPr>
          <w:rFonts w:ascii="Times New Roman" w:hAnsi="Times New Roman"/>
        </w:rPr>
      </w:pPr>
      <w:r>
        <w:rPr>
          <w:rFonts w:ascii="Times New Roman" w:hAnsi="Times New Roman"/>
        </w:rPr>
        <w:t>Introduction</w:t>
      </w:r>
    </w:p>
    <w:p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rsidR="00BC6D07" w:rsidRDefault="00B808A2">
      <w:pPr>
        <w:pStyle w:val="ListParagraph"/>
        <w:numPr>
          <w:ilvl w:val="0"/>
          <w:numId w:val="6"/>
        </w:numPr>
        <w:jc w:val="both"/>
      </w:pPr>
      <w:r>
        <w:t>RP-201658</w:t>
      </w:r>
      <w:r>
        <w:tab/>
        <w:t>Handling of overlapping discussion across WI/Sis</w:t>
      </w:r>
      <w:r>
        <w:tab/>
        <w:t>vivo</w:t>
      </w:r>
    </w:p>
    <w:p w:rsidR="00BC6D07" w:rsidRDefault="00B808A2">
      <w:pPr>
        <w:pStyle w:val="ListParagraph"/>
        <w:numPr>
          <w:ilvl w:val="0"/>
          <w:numId w:val="6"/>
        </w:numPr>
        <w:jc w:val="both"/>
      </w:pPr>
      <w:r>
        <w:t>RP-201760</w:t>
      </w:r>
      <w:r>
        <w:tab/>
        <w:t>On overlapping focus of PUCCH repetition enhancements across Rel-17 SI/WIs</w:t>
      </w:r>
      <w:r>
        <w:tab/>
        <w:t>Nokia, Nokia SB</w:t>
      </w:r>
    </w:p>
    <w:p w:rsidR="00BC6D07" w:rsidRDefault="00BC6D07">
      <w:pPr>
        <w:jc w:val="both"/>
        <w:rPr>
          <w:lang w:eastAsia="zh-CN"/>
        </w:rPr>
      </w:pPr>
    </w:p>
    <w:p w:rsidR="00BC6D07" w:rsidRDefault="00B808A2">
      <w:pPr>
        <w:pStyle w:val="Heading1"/>
        <w:jc w:val="both"/>
        <w:rPr>
          <w:rFonts w:ascii="Times New Roman" w:hAnsi="Times New Roman"/>
        </w:rPr>
      </w:pPr>
      <w:r>
        <w:rPr>
          <w:rFonts w:ascii="Times New Roman" w:hAnsi="Times New Roman"/>
        </w:rPr>
        <w:t xml:space="preserve">Proposals </w:t>
      </w:r>
    </w:p>
    <w:p w:rsidR="00BC6D07" w:rsidRDefault="00B808A2">
      <w:pPr>
        <w:rPr>
          <w:lang w:val="en-GB"/>
        </w:rPr>
      </w:pPr>
      <w:r>
        <w:rPr>
          <w:lang w:val="en-GB"/>
        </w:rPr>
        <w:t>In total, there are three proposals presented in RP-201658 and RP-201760, which are discussed below.</w:t>
      </w:r>
    </w:p>
    <w:p w:rsidR="00BC6D07" w:rsidRDefault="00B808A2">
      <w:pPr>
        <w:pStyle w:val="Heading2"/>
        <w:rPr>
          <w:lang w:eastAsia="ja-JP"/>
        </w:rPr>
      </w:pPr>
      <w:r>
        <w:rPr>
          <w:lang w:eastAsia="ja-JP"/>
        </w:rPr>
        <w:t>HARQ-ACK on PUCCH</w:t>
      </w:r>
    </w:p>
    <w:p w:rsidR="00BC6D07" w:rsidRDefault="00B808A2">
      <w:pPr>
        <w:rPr>
          <w:lang w:val="en-GB"/>
        </w:rPr>
      </w:pPr>
      <w:r>
        <w:rPr>
          <w:lang w:val="en-GB"/>
        </w:rPr>
        <w:t>As proposed in RP-201658:</w:t>
      </w:r>
    </w:p>
    <w:p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URLLC/IIOT_enh WI and do not consider them further in Cov_enh item. </w:t>
      </w:r>
    </w:p>
    <w:p w:rsidR="00BC6D07" w:rsidRDefault="00B808A2">
      <w:pPr>
        <w:pStyle w:val="ListParagraph"/>
        <w:numPr>
          <w:ilvl w:val="1"/>
          <w:numId w:val="7"/>
        </w:numPr>
        <w:rPr>
          <w:i/>
          <w:iCs/>
        </w:rPr>
      </w:pPr>
      <w:r>
        <w:rPr>
          <w:i/>
          <w:iCs/>
        </w:rPr>
        <w:t>UCI size reduction for HARQ-ACK on PUCCH</w:t>
      </w:r>
    </w:p>
    <w:p w:rsidR="00BC6D07" w:rsidRDefault="00B808A2">
      <w:pPr>
        <w:pStyle w:val="ListParagraph"/>
        <w:numPr>
          <w:ilvl w:val="1"/>
          <w:numId w:val="7"/>
        </w:numPr>
        <w:rPr>
          <w:i/>
          <w:iCs/>
        </w:rPr>
      </w:pPr>
      <w:r>
        <w:rPr>
          <w:i/>
          <w:iCs/>
        </w:rPr>
        <w:t>Rel-16 PUSCH-repetition-Type-B like PUCCH repetition</w:t>
      </w:r>
    </w:p>
    <w:p w:rsidR="00BC6D07" w:rsidRDefault="00B808A2">
      <w:pPr>
        <w:pStyle w:val="ListParagraph"/>
        <w:numPr>
          <w:ilvl w:val="1"/>
          <w:numId w:val="7"/>
        </w:numPr>
        <w:rPr>
          <w:i/>
          <w:iCs/>
        </w:rPr>
      </w:pPr>
      <w:r>
        <w:rPr>
          <w:i/>
          <w:iCs/>
        </w:rPr>
        <w:t>Short/mini-slot/sub-slot based PUCCH repetition</w:t>
      </w:r>
    </w:p>
    <w:p w:rsidR="00BC6D07" w:rsidRDefault="00B808A2">
      <w:pPr>
        <w:pStyle w:val="ListParagraph"/>
        <w:numPr>
          <w:ilvl w:val="1"/>
          <w:numId w:val="7"/>
        </w:numPr>
        <w:rPr>
          <w:i/>
          <w:iCs/>
        </w:rPr>
      </w:pPr>
      <w:r>
        <w:rPr>
          <w:i/>
          <w:iCs/>
        </w:rPr>
        <w:t>Dynamic PUCCH repetition factor indication</w:t>
      </w:r>
    </w:p>
    <w:p w:rsidR="00BC6D07" w:rsidRDefault="00B808A2">
      <w:pPr>
        <w:pStyle w:val="ListParagraph"/>
        <w:numPr>
          <w:ilvl w:val="1"/>
          <w:numId w:val="7"/>
        </w:numPr>
        <w:rPr>
          <w:i/>
          <w:iCs/>
        </w:rPr>
      </w:pPr>
      <w:r>
        <w:rPr>
          <w:i/>
          <w:iCs/>
        </w:rPr>
        <w:t>Power control enhancements for PUCCH carrying HARQ-ACK</w:t>
      </w:r>
    </w:p>
    <w:p w:rsidR="00BC6D07" w:rsidRDefault="00BC6D07"/>
    <w:p w:rsidR="00BC6D07" w:rsidRDefault="00B808A2">
      <w:pPr>
        <w:rPr>
          <w:lang w:val="en-GB" w:eastAsia="ja-JP"/>
        </w:rPr>
      </w:pPr>
      <w:r>
        <w:rPr>
          <w:lang w:val="en-GB" w:eastAsia="ja-JP"/>
        </w:rPr>
        <w:t>In RP-201760, it was observed that:</w:t>
      </w:r>
    </w:p>
    <w:p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rsidR="00BC6D07" w:rsidRDefault="00BC6D07">
      <w:pPr>
        <w:rPr>
          <w:lang w:eastAsia="ja-JP"/>
        </w:rPr>
      </w:pPr>
    </w:p>
    <w:p w:rsidR="00BC6D07" w:rsidRDefault="00B808A2">
      <w:pPr>
        <w:rPr>
          <w:lang w:eastAsia="ja-JP"/>
        </w:rPr>
      </w:pPr>
      <w:r>
        <w:rPr>
          <w:lang w:eastAsia="ja-JP"/>
        </w:rPr>
        <w:t>Conseqeuently, it was proposed that:</w:t>
      </w:r>
    </w:p>
    <w:p w:rsidR="00BC6D07" w:rsidRDefault="00B808A2">
      <w:pPr>
        <w:pStyle w:val="ListParagraph"/>
        <w:numPr>
          <w:ilvl w:val="0"/>
          <w:numId w:val="8"/>
        </w:numPr>
        <w:rPr>
          <w:i/>
          <w:iCs/>
        </w:rPr>
      </w:pPr>
      <w:r>
        <w:rPr>
          <w:b/>
          <w:bCs/>
          <w:i/>
          <w:iCs/>
        </w:rPr>
        <w:t>Proposal 2:</w:t>
      </w:r>
      <w:r>
        <w:rPr>
          <w:i/>
          <w:iCs/>
        </w:rPr>
        <w:t xml:space="preserve"> Studies on TDMed PUCCH (i.e. PUCCH repetition) to be continued for the multi-TRP case based on RAN1#102-e agreements in the Rel-17 feMIMO WI, with the aim that if specified to also support the special case of having only a single TRP. </w:t>
      </w:r>
    </w:p>
    <w:p w:rsidR="00BC6D07" w:rsidRDefault="00B808A2">
      <w:pPr>
        <w:pStyle w:val="ListParagraph"/>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rsidR="00BC6D07" w:rsidRDefault="00BC6D07"/>
    <w:p w:rsidR="00BC6D07" w:rsidRDefault="00B808A2">
      <w:r>
        <w:t xml:space="preserve">Questions: </w:t>
      </w:r>
    </w:p>
    <w:p w:rsidR="00BC6D07" w:rsidRDefault="00B808A2">
      <w:pPr>
        <w:pStyle w:val="ListParagraph"/>
        <w:numPr>
          <w:ilvl w:val="0"/>
          <w:numId w:val="8"/>
        </w:numPr>
      </w:pPr>
      <w:r>
        <w:t xml:space="preserve">Do you agree with proposal 1 and proposal 2? </w:t>
      </w:r>
    </w:p>
    <w:p w:rsidR="00BC6D07" w:rsidRDefault="00B808A2">
      <w:pPr>
        <w:pStyle w:val="ListParagraph"/>
        <w:numPr>
          <w:ilvl w:val="1"/>
          <w:numId w:val="8"/>
        </w:numPr>
      </w:pPr>
      <w:r>
        <w:t>Please elaborate the detailed thoughts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We support proposal 2 for the reasons described in RP-201670 (Nokia).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Between proposal 1 and 2, we prefer proposal 1. Furthermore, in FeMIMO WI, the related work should be on mTRP perspective and not on generic PUCCH repetition work.</w:t>
            </w:r>
          </w:p>
        </w:tc>
      </w:tr>
      <w:tr w:rsidR="00BC6D07">
        <w:tc>
          <w:tcPr>
            <w:tcW w:w="2605" w:type="dxa"/>
          </w:tcPr>
          <w:p w:rsidR="00BC6D07" w:rsidRDefault="00B808A2">
            <w:r>
              <w:t>Intel</w:t>
            </w:r>
          </w:p>
        </w:tc>
        <w:tc>
          <w:tcPr>
            <w:tcW w:w="6390" w:type="dxa"/>
          </w:tcPr>
          <w:p w:rsidR="00BC6D07" w:rsidRDefault="00B808A2">
            <w:pPr>
              <w:rPr>
                <w:color w:val="00B050"/>
                <w:lang w:val="en-GB" w:eastAsia="ko-KR"/>
              </w:rPr>
            </w:pPr>
            <w:r>
              <w:rPr>
                <w:color w:val="00B050"/>
                <w:lang w:val="en-GB"/>
              </w:rPr>
              <w:t>&lt;On Proposal 1&gt;</w:t>
            </w:r>
          </w:p>
          <w:p w:rsidR="00BC6D07" w:rsidRDefault="00B808A2">
            <w:pPr>
              <w:rPr>
                <w:color w:val="00B050"/>
                <w:lang w:val="en-GB"/>
              </w:rPr>
            </w:pPr>
            <w:r>
              <w:rPr>
                <w:color w:val="00B050"/>
                <w:lang w:val="en-GB"/>
              </w:rPr>
              <w:t>We don’t support proposal 1 for the following reason.</w:t>
            </w:r>
          </w:p>
          <w:p w:rsidR="00BC6D07" w:rsidRDefault="00B808A2">
            <w:pPr>
              <w:rPr>
                <w:color w:val="00B050"/>
                <w:lang w:val="en-GB"/>
              </w:rPr>
            </w:pPr>
            <w:r>
              <w:rPr>
                <w:color w:val="00B050"/>
                <w:lang w:val="en-GB"/>
              </w:rPr>
              <w:t>There should be no issue with keeping the potential overlap between URLLC and CovEnh since the overlaps happen in the study phase and it may be important to look into the potential enhancements in the appropriate assumptions of a given WI/SI.</w:t>
            </w:r>
          </w:p>
          <w:p w:rsidR="00BC6D07" w:rsidRDefault="00BC6D07">
            <w:pPr>
              <w:rPr>
                <w:color w:val="00B050"/>
                <w:lang w:val="en-GB"/>
              </w:rPr>
            </w:pPr>
          </w:p>
          <w:p w:rsidR="00BC6D07" w:rsidRDefault="00B808A2">
            <w:pPr>
              <w:rPr>
                <w:color w:val="00B050"/>
                <w:lang w:val="en-GB"/>
              </w:rPr>
            </w:pPr>
            <w:r>
              <w:rPr>
                <w:color w:val="00B050"/>
                <w:lang w:val="en-GB"/>
              </w:rPr>
              <w:t>&lt;On Proposal 2&gt;</w:t>
            </w:r>
          </w:p>
          <w:p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rsidR="00BC6D07" w:rsidRDefault="00B808A2">
            <w:pPr>
              <w:rPr>
                <w:lang w:val="en-GB"/>
              </w:rPr>
            </w:pPr>
            <w:r>
              <w:rPr>
                <w:color w:val="00B050"/>
                <w:lang w:val="en-GB"/>
              </w:rPr>
              <w:t>We tend to agree with the analyses in RP-201670. Basically, it is identified that the agreements on TDMed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tc>
          <w:tcPr>
            <w:tcW w:w="2605" w:type="dxa"/>
          </w:tcPr>
          <w:p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URLLC/IIOT_enh WI because of the latency and it should be covered by Coverage Enhancements SI.</w:t>
            </w:r>
          </w:p>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URLLC/IIOT_enh WI.</w:t>
            </w:r>
          </w:p>
          <w:p w:rsidR="00BC6D07" w:rsidRDefault="00B808A2">
            <w:pPr>
              <w:rPr>
                <w:rFonts w:eastAsia="MS Mincho"/>
                <w:lang w:val="en-GB" w:eastAsia="ja-JP"/>
              </w:rPr>
            </w:pPr>
            <w:r>
              <w:rPr>
                <w:rFonts w:eastAsia="MS Mincho"/>
                <w:lang w:val="en-GB" w:eastAsia="ja-JP"/>
              </w:rPr>
              <w:t>- the interaction with PUSCH related to processing time and the processing order</w:t>
            </w:r>
          </w:p>
          <w:p w:rsidR="00BC6D07" w:rsidRDefault="00B808A2">
            <w:pPr>
              <w:rPr>
                <w:rFonts w:eastAsia="MS Mincho"/>
                <w:lang w:val="en-GB" w:eastAsia="ja-JP"/>
              </w:rPr>
            </w:pPr>
            <w:r>
              <w:rPr>
                <w:rFonts w:eastAsia="MS Mincho"/>
                <w:lang w:val="en-GB" w:eastAsia="ja-JP"/>
              </w:rPr>
              <w:t>- the priority handling</w:t>
            </w:r>
          </w:p>
          <w:p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URLLC/IIOT_enh WI and its extension to multpile TRP operation should be carried out in feMIMO WI.</w:t>
            </w:r>
          </w:p>
        </w:tc>
      </w:tr>
      <w:tr w:rsidR="00BC6D07">
        <w:tc>
          <w:tcPr>
            <w:tcW w:w="2605" w:type="dxa"/>
          </w:tcPr>
          <w:p w:rsidR="00BC6D07" w:rsidRDefault="00B808A2">
            <w:pPr>
              <w:rPr>
                <w:rFonts w:eastAsia="MS Mincho"/>
                <w:lang w:eastAsia="ja-JP"/>
              </w:rPr>
            </w:pPr>
            <w:r>
              <w:rPr>
                <w:rFonts w:hint="eastAsia"/>
                <w:lang w:eastAsia="zh-CN"/>
              </w:rPr>
              <w:lastRenderedPageBreak/>
              <w:t>ZTE</w:t>
            </w:r>
          </w:p>
        </w:tc>
        <w:tc>
          <w:tcPr>
            <w:tcW w:w="6390" w:type="dxa"/>
          </w:tcPr>
          <w:p w:rsidR="00BC6D07" w:rsidRDefault="00B808A2">
            <w:pPr>
              <w:pStyle w:val="ListParagraph"/>
              <w:ind w:left="0"/>
              <w:rPr>
                <w:b/>
                <w:bCs/>
                <w:lang w:eastAsia="zh-CN"/>
              </w:rPr>
            </w:pPr>
            <w:r>
              <w:rPr>
                <w:rFonts w:hint="eastAsia"/>
                <w:b/>
                <w:bCs/>
                <w:lang w:eastAsia="zh-CN"/>
              </w:rPr>
              <w:t xml:space="preserve">On Proposal 1: </w:t>
            </w:r>
          </w:p>
          <w:p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rsidR="00BC6D07" w:rsidRDefault="00B808A2">
            <w:pPr>
              <w:pStyle w:val="ListParagraph"/>
              <w:ind w:left="0"/>
              <w:rPr>
                <w:b/>
                <w:bCs/>
                <w:lang w:eastAsia="zh-CN"/>
              </w:rPr>
            </w:pPr>
            <w:r>
              <w:rPr>
                <w:rFonts w:hint="eastAsia"/>
                <w:b/>
                <w:bCs/>
                <w:lang w:eastAsia="zh-CN"/>
              </w:rPr>
              <w:t>On Proposal 2:</w:t>
            </w:r>
          </w:p>
          <w:p w:rsidR="00BC6D07" w:rsidRDefault="00B808A2">
            <w:pPr>
              <w:rPr>
                <w:lang w:eastAsia="zh-CN"/>
              </w:rPr>
            </w:pPr>
            <w:r>
              <w:rPr>
                <w:rFonts w:hint="eastAsia"/>
                <w:lang w:eastAsia="zh-CN"/>
              </w:rPr>
              <w:t>The focus in FeMIMO WI should be on enhancements for multiple TRP rather than single TRP. This should not only apply to PUCCH repetition but also other enhancements for PUCCH and also enhancements to PUSCH/PDCCH as in FeMIMO WI scope.</w:t>
            </w:r>
          </w:p>
          <w:p w:rsidR="00BC6D07" w:rsidRDefault="00B808A2">
            <w:pPr>
              <w:rPr>
                <w:b/>
                <w:bCs/>
                <w:lang w:eastAsia="zh-CN"/>
              </w:rPr>
            </w:pPr>
            <w:r>
              <w:rPr>
                <w:rFonts w:hint="eastAsia"/>
                <w:b/>
                <w:bCs/>
                <w:lang w:eastAsia="zh-CN"/>
              </w:rPr>
              <w:t>Other:</w:t>
            </w:r>
          </w:p>
          <w:p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F30F8E">
            <w:pPr>
              <w:rPr>
                <w:lang w:eastAsia="zh-CN"/>
              </w:rPr>
            </w:pPr>
            <w:r w:rsidRPr="00F30F8E">
              <w:rPr>
                <w:lang w:eastAsia="zh-CN"/>
              </w:rPr>
              <w:t xml:space="preserve">We do not support either proposal 1 or proposal 2. </w:t>
            </w:r>
          </w:p>
          <w:p w:rsidR="00F30F8E" w:rsidRDefault="00F30F8E" w:rsidP="00F30F8E">
            <w:pPr>
              <w:rPr>
                <w:lang w:eastAsia="zh-CN"/>
              </w:rPr>
            </w:pPr>
            <w:r w:rsidRPr="00F30F8E">
              <w:rPr>
                <w:lang w:eastAsia="zh-CN"/>
              </w:rPr>
              <w:t xml:space="preserve">Proposal 1 focuses only on HARQ-ACK and includes aspects that seem irrelevant to the URLLC WI. </w:t>
            </w:r>
          </w:p>
          <w:p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rsidR="00F30F8E" w:rsidRDefault="00F30F8E" w:rsidP="00F30F8E">
            <w:pPr>
              <w:rPr>
                <w:lang w:eastAsia="zh-CN"/>
              </w:rPr>
            </w:pPr>
            <w:r w:rsidRPr="00F30F8E">
              <w:rPr>
                <w:lang w:eastAsia="zh-CN"/>
              </w:rPr>
              <w:t xml:space="preserve">CovEnh should remain the WI dealing with coverage enhancements, including for PUCCH. There is no reason to modify WIDs. Some overlapping of issues among WIs is not without precedent and can be handled in RAN1 as in past cases. </w:t>
            </w:r>
          </w:p>
          <w:p w:rsidR="00F30F8E" w:rsidRDefault="00F30F8E" w:rsidP="00F30F8E">
            <w:pPr>
              <w:rPr>
                <w:b/>
                <w:bCs/>
                <w:lang w:eastAsia="zh-CN"/>
              </w:rPr>
            </w:pPr>
            <w:r w:rsidRPr="00F30F8E">
              <w:rPr>
                <w:lang w:eastAsia="zh-CN"/>
              </w:rPr>
              <w:lastRenderedPageBreak/>
              <w:t>MIMO should handle only TDM aspects related to M-TRP. URLCC should handle only ‘sub-slot’ related aspects or they can also be handled in CovEnh.</w:t>
            </w:r>
          </w:p>
        </w:tc>
      </w:tr>
      <w:tr w:rsidR="000E29CC">
        <w:tc>
          <w:tcPr>
            <w:tcW w:w="2605" w:type="dxa"/>
          </w:tcPr>
          <w:p w:rsidR="000E29CC" w:rsidRDefault="000E29CC" w:rsidP="000E29CC">
            <w:pPr>
              <w:rPr>
                <w:lang w:eastAsia="zh-CN"/>
              </w:rPr>
            </w:pPr>
            <w:r>
              <w:rPr>
                <w:lang w:eastAsia="zh-CN"/>
              </w:rPr>
              <w:lastRenderedPageBreak/>
              <w:t>vivo</w:t>
            </w:r>
          </w:p>
        </w:tc>
        <w:tc>
          <w:tcPr>
            <w:tcW w:w="6390" w:type="dxa"/>
          </w:tcPr>
          <w:p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became too much as discussed in both 1658 and 1760 especially considering the e-meeting efficiency, so some management action is required. </w:t>
            </w:r>
          </w:p>
          <w:p w:rsidR="000E29CC" w:rsidRDefault="000E29CC" w:rsidP="000E29CC">
            <w:pPr>
              <w:rPr>
                <w:lang w:eastAsia="zh-CN"/>
              </w:rPr>
            </w:pPr>
            <w:r>
              <w:rPr>
                <w:rFonts w:hint="eastAsia"/>
                <w:lang w:eastAsia="zh-CN"/>
              </w:rPr>
              <w:t>U</w:t>
            </w:r>
            <w:r>
              <w:rPr>
                <w:lang w:eastAsia="zh-CN"/>
              </w:rPr>
              <w:t>RLLC is work item and coverage enhancement is now still study item. To evaluating PUCCH coverage problem is importantt for coverage study, however, if we are going to discuss the details of each proposed enhanced schemes (as feature leads had already trying to discuss), it would be good to have a single place to talk about a particular enhancement to avoid duplicated design.</w:t>
            </w:r>
          </w:p>
          <w:p w:rsidR="000E29CC" w:rsidRPr="00F30F8E" w:rsidRDefault="000E29CC" w:rsidP="000E29CC">
            <w:pPr>
              <w:rPr>
                <w:lang w:eastAsia="zh-CN"/>
              </w:rPr>
            </w:pPr>
            <w:r>
              <w:rPr>
                <w:lang w:eastAsia="zh-CN"/>
              </w:rPr>
              <w:t>We support proposal 1 as the resolution of overlapping between coverage enh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FeMIMO WI. </w:t>
            </w:r>
          </w:p>
        </w:tc>
      </w:tr>
      <w:tr w:rsidR="00927863">
        <w:tc>
          <w:tcPr>
            <w:tcW w:w="2605" w:type="dxa"/>
          </w:tcPr>
          <w:p w:rsidR="00927863" w:rsidRDefault="00927863" w:rsidP="000E29CC">
            <w:pPr>
              <w:rPr>
                <w:lang w:eastAsia="zh-CN"/>
              </w:rPr>
            </w:pPr>
            <w:r>
              <w:rPr>
                <w:rFonts w:hint="eastAsia"/>
                <w:lang w:eastAsia="zh-CN"/>
              </w:rPr>
              <w:t>CATT</w:t>
            </w:r>
          </w:p>
        </w:tc>
        <w:tc>
          <w:tcPr>
            <w:tcW w:w="6390" w:type="dxa"/>
          </w:tcPr>
          <w:p w:rsidR="00927863" w:rsidRDefault="00BC2599" w:rsidP="00BC2599">
            <w:pPr>
              <w:rPr>
                <w:lang w:eastAsia="zh-CN"/>
              </w:rPr>
            </w:pPr>
            <w:r>
              <w:rPr>
                <w:rFonts w:hint="eastAsia"/>
                <w:lang w:eastAsia="zh-CN"/>
              </w:rPr>
              <w:t>Between proposal 1 and proposal 2, we prefer proposal 2. Both IIoT/URLLC and FeMIMO are Rel-17 WIs. It is desirable to maximize the commonality between the solutions for single-TRP and multi-TRPs cases.</w:t>
            </w:r>
          </w:p>
        </w:tc>
      </w:tr>
      <w:tr w:rsidR="00394F98" w:rsidRPr="00DD0110" w:rsidTr="00394F98">
        <w:tc>
          <w:tcPr>
            <w:tcW w:w="2605" w:type="dxa"/>
          </w:tcPr>
          <w:p w:rsidR="00394F98" w:rsidRDefault="00394F98" w:rsidP="00F1665B">
            <w:r>
              <w:t>OPPO</w:t>
            </w:r>
          </w:p>
        </w:tc>
        <w:tc>
          <w:tcPr>
            <w:tcW w:w="6390" w:type="dxa"/>
          </w:tcPr>
          <w:p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Studies on TDMed PUCCH (i.e. PUCCH repetition) to be continued for the multi-TRP case based on RAN1#102-e agreements in the Rel-17 feMIMO WI, with the aim that if specified to also support the special case of having only a single TRP.</w:t>
            </w:r>
          </w:p>
          <w:p w:rsidR="00394F98" w:rsidRPr="00B16572" w:rsidRDefault="00394F98" w:rsidP="00394F98">
            <w:pPr>
              <w:pStyle w:val="ListParagraph"/>
              <w:numPr>
                <w:ilvl w:val="0"/>
                <w:numId w:val="11"/>
              </w:numPr>
              <w:rPr>
                <w:i/>
                <w:iCs/>
              </w:rPr>
            </w:pPr>
            <w:r w:rsidRPr="00B16572">
              <w:rPr>
                <w:i/>
                <w:iCs/>
              </w:rPr>
              <w:t>Studies involving the same solutions in Rel-17 IIoT &amp; URLLC WI and Coverage Enhancements SI should take this into account</w:t>
            </w:r>
          </w:p>
          <w:p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rsidR="00394F98" w:rsidRDefault="00394F98" w:rsidP="00394F98">
            <w:pPr>
              <w:pStyle w:val="ListParagraph"/>
              <w:numPr>
                <w:ilvl w:val="0"/>
                <w:numId w:val="10"/>
              </w:numPr>
              <w:rPr>
                <w:lang w:val="en-GB"/>
              </w:rPr>
            </w:pPr>
            <w:r w:rsidRPr="002C6DF8">
              <w:rPr>
                <w:lang w:val="en-GB"/>
              </w:rPr>
              <w:t>UCI size reduction</w:t>
            </w:r>
            <w:r>
              <w:rPr>
                <w:lang w:val="en-GB"/>
              </w:rPr>
              <w:t>,i.e. HARQ-ACK compression/compaction,</w:t>
            </w:r>
            <w:r w:rsidRPr="002C6DF8">
              <w:rPr>
                <w:lang w:val="en-GB"/>
              </w:rPr>
              <w:t xml:space="preserve"> has been discussed in Intra-UE multiplexing/prioritization and captured in agreement in RAN1 102e. </w:t>
            </w:r>
          </w:p>
          <w:p w:rsidR="00394F98" w:rsidRDefault="00394F98" w:rsidP="00394F98">
            <w:pPr>
              <w:pStyle w:val="ListParagraph"/>
              <w:numPr>
                <w:ilvl w:val="0"/>
                <w:numId w:val="10"/>
              </w:numPr>
              <w:rPr>
                <w:lang w:val="en-GB"/>
              </w:rPr>
            </w:pPr>
            <w:r>
              <w:rPr>
                <w:lang w:val="en-GB"/>
              </w:rPr>
              <w:lastRenderedPageBreak/>
              <w:t>It could cover</w:t>
            </w:r>
            <w:r w:rsidRPr="002C6DF8">
              <w:rPr>
                <w:lang w:val="en-GB"/>
              </w:rPr>
              <w:t xml:space="preserve"> </w:t>
            </w:r>
            <w:r>
              <w:rPr>
                <w:lang w:val="en-GB"/>
              </w:rPr>
              <w:t xml:space="preserve"> both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can not be covered in coverage enhancement, but it is important to ensure URLLC reliability. </w:t>
            </w:r>
          </w:p>
          <w:p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 xml:space="preserve">URLLC/IIOT_enh WI and do not consider them further in Cov_enh item. </w:t>
            </w:r>
          </w:p>
          <w:p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rsidTr="00247037">
        <w:tc>
          <w:tcPr>
            <w:tcW w:w="2605" w:type="dxa"/>
          </w:tcPr>
          <w:p w:rsidR="00247037" w:rsidRDefault="00247037" w:rsidP="001E2D08">
            <w:pPr>
              <w:rPr>
                <w:lang w:eastAsia="zh-CN"/>
              </w:rPr>
            </w:pPr>
            <w:r>
              <w:rPr>
                <w:rFonts w:hint="eastAsia"/>
                <w:lang w:eastAsia="zh-CN"/>
              </w:rPr>
              <w:lastRenderedPageBreak/>
              <w:t>N</w:t>
            </w:r>
            <w:r>
              <w:rPr>
                <w:lang w:eastAsia="zh-CN"/>
              </w:rPr>
              <w:t>EC</w:t>
            </w:r>
          </w:p>
        </w:tc>
        <w:tc>
          <w:tcPr>
            <w:tcW w:w="6390" w:type="dxa"/>
          </w:tcPr>
          <w:p w:rsidR="00247037" w:rsidRDefault="00247037" w:rsidP="001E2D08">
            <w:pPr>
              <w:rPr>
                <w:lang w:eastAsia="zh-CN"/>
              </w:rPr>
            </w:pPr>
            <w:r>
              <w:rPr>
                <w:rFonts w:hint="eastAsia"/>
                <w:lang w:eastAsia="zh-CN"/>
              </w:rPr>
              <w:t>W</w:t>
            </w:r>
            <w:r>
              <w:rPr>
                <w:lang w:eastAsia="zh-CN"/>
              </w:rPr>
              <w:t>e don’t support proposal 1 or 2.</w:t>
            </w:r>
          </w:p>
          <w:p w:rsidR="00247037" w:rsidRDefault="00247037" w:rsidP="001E2D08">
            <w:pPr>
              <w:rPr>
                <w:lang w:eastAsia="zh-CN"/>
              </w:rPr>
            </w:pPr>
            <w:r>
              <w:rPr>
                <w:lang w:eastAsia="zh-CN"/>
              </w:rPr>
              <w:t xml:space="preserve">For proposal 1, if the conclusion in </w:t>
            </w:r>
            <w:r w:rsidRPr="003C6270">
              <w:rPr>
                <w:lang w:eastAsia="zh-CN"/>
              </w:rPr>
              <w:t>URLLC/IIOT_enh</w:t>
            </w:r>
            <w:r>
              <w:rPr>
                <w:lang w:eastAsia="zh-CN"/>
              </w:rPr>
              <w:t xml:space="preserve"> WI can be used in coverage enhancement, this will be reflected in the coverage WID preparation. Theres is no need to make the proposal 1 right now.</w:t>
            </w:r>
          </w:p>
          <w:p w:rsidR="00247037" w:rsidRPr="00F30F8E" w:rsidRDefault="00247037" w:rsidP="001E2D08">
            <w:pPr>
              <w:rPr>
                <w:lang w:eastAsia="zh-CN"/>
              </w:rPr>
            </w:pPr>
            <w:r>
              <w:rPr>
                <w:lang w:eastAsia="zh-CN"/>
              </w:rPr>
              <w:t xml:space="preserve">For proposal 2, the overlapping issue for </w:t>
            </w:r>
            <w:r w:rsidRPr="003C6270">
              <w:rPr>
                <w:lang w:eastAsia="zh-CN"/>
              </w:rPr>
              <w:t xml:space="preserve">feMIMO </w:t>
            </w:r>
            <w:r>
              <w:rPr>
                <w:lang w:eastAsia="zh-CN"/>
              </w:rPr>
              <w:t xml:space="preserve">and </w:t>
            </w:r>
            <w:r w:rsidRPr="003C6270">
              <w:rPr>
                <w:lang w:eastAsia="zh-CN"/>
              </w:rPr>
              <w:t>IIoT &amp; URLLC</w:t>
            </w:r>
            <w:r>
              <w:rPr>
                <w:lang w:eastAsia="zh-CN"/>
              </w:rPr>
              <w:t xml:space="preserve"> is different. If there is contradiction in the futhre meetings, RAN1 can handle it. So no RAN conclusion is needed.</w:t>
            </w:r>
          </w:p>
        </w:tc>
      </w:tr>
    </w:tbl>
    <w:p w:rsidR="00BC6D07" w:rsidRDefault="00BC6D07"/>
    <w:p w:rsidR="00BC6D07" w:rsidRDefault="00B808A2">
      <w:pPr>
        <w:rPr>
          <w:highlight w:val="yellow"/>
        </w:rPr>
      </w:pPr>
      <w:r>
        <w:rPr>
          <w:highlight w:val="yellow"/>
        </w:rPr>
        <w:t>Propoals:</w:t>
      </w:r>
    </w:p>
    <w:p w:rsidR="00BC6D07" w:rsidRDefault="00B808A2">
      <w:pPr>
        <w:pStyle w:val="ListParagraph"/>
        <w:numPr>
          <w:ilvl w:val="0"/>
          <w:numId w:val="8"/>
        </w:numPr>
        <w:rPr>
          <w:highlight w:val="yellow"/>
        </w:rPr>
      </w:pPr>
      <w:r>
        <w:rPr>
          <w:highlight w:val="yellow"/>
        </w:rPr>
        <w:t>TBD</w:t>
      </w:r>
    </w:p>
    <w:p w:rsidR="00BC6D07" w:rsidRDefault="00BC6D07">
      <w:pPr>
        <w:rPr>
          <w:lang w:eastAsia="ja-JP"/>
        </w:rPr>
      </w:pPr>
    </w:p>
    <w:p w:rsidR="00BC6D07" w:rsidRDefault="00B808A2">
      <w:pPr>
        <w:pStyle w:val="Heading2"/>
        <w:rPr>
          <w:lang w:eastAsia="ja-JP"/>
        </w:rPr>
      </w:pPr>
      <w:r>
        <w:rPr>
          <w:lang w:eastAsia="ja-JP"/>
        </w:rPr>
        <w:t>Coverage enhancement features involving Rel-17 RedCap and CovEnh SIs</w:t>
      </w:r>
    </w:p>
    <w:p w:rsidR="00BC6D07" w:rsidRDefault="00B808A2">
      <w:pPr>
        <w:rPr>
          <w:lang w:val="en-GB"/>
        </w:rPr>
      </w:pPr>
      <w:r>
        <w:rPr>
          <w:lang w:val="en-GB"/>
        </w:rPr>
        <w:t>As proposed in RP-201658:</w:t>
      </w:r>
    </w:p>
    <w:p w:rsidR="00BC6D07" w:rsidRDefault="00B808A2">
      <w:pPr>
        <w:pStyle w:val="ListParagraph"/>
        <w:numPr>
          <w:ilvl w:val="0"/>
          <w:numId w:val="8"/>
        </w:numPr>
        <w:rPr>
          <w:i/>
          <w:iCs/>
        </w:rPr>
      </w:pPr>
      <w:r>
        <w:rPr>
          <w:b/>
          <w:bCs/>
          <w:i/>
          <w:iCs/>
        </w:rPr>
        <w:t>Proposal 3</w:t>
      </w:r>
      <w:r>
        <w:rPr>
          <w:i/>
          <w:iCs/>
        </w:rPr>
        <w:t>: we suggest the following work split between Cov_enh and RedCap item for coverage enhancement features</w:t>
      </w:r>
    </w:p>
    <w:p w:rsidR="00BC6D07" w:rsidRDefault="00B808A2">
      <w:pPr>
        <w:pStyle w:val="ListParagraph"/>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rsidR="00BC6D07" w:rsidRDefault="00B808A2">
      <w:pPr>
        <w:pStyle w:val="ListParagraph"/>
        <w:numPr>
          <w:ilvl w:val="1"/>
          <w:numId w:val="8"/>
        </w:numPr>
        <w:rPr>
          <w:i/>
          <w:iCs/>
        </w:rPr>
      </w:pPr>
      <w:r>
        <w:rPr>
          <w:i/>
          <w:iCs/>
        </w:rPr>
        <w:t>During the “technical enhancement” process</w:t>
      </w:r>
    </w:p>
    <w:p w:rsidR="00BC6D07" w:rsidRDefault="00B808A2">
      <w:pPr>
        <w:pStyle w:val="ListParagraph"/>
        <w:numPr>
          <w:ilvl w:val="2"/>
          <w:numId w:val="8"/>
        </w:numPr>
        <w:rPr>
          <w:i/>
          <w:iCs/>
        </w:rPr>
      </w:pPr>
      <w:r>
        <w:rPr>
          <w:i/>
          <w:iCs/>
        </w:rPr>
        <w:t>To discuss UL channel relate enhancement techniques (if any) in Cov_enh for both normal UE and RedCap UEs</w:t>
      </w:r>
    </w:p>
    <w:p w:rsidR="00BC6D07" w:rsidRDefault="00B808A2">
      <w:pPr>
        <w:pStyle w:val="ListParagraph"/>
        <w:numPr>
          <w:ilvl w:val="2"/>
          <w:numId w:val="8"/>
        </w:numPr>
        <w:rPr>
          <w:i/>
          <w:iCs/>
        </w:rPr>
      </w:pPr>
      <w:r>
        <w:rPr>
          <w:i/>
          <w:iCs/>
        </w:rPr>
        <w:t>To discuss DL channel related enhancement techniques (if any) in RedCap for both normal UE (if applicable) and RedCap UEs.</w:t>
      </w:r>
    </w:p>
    <w:p w:rsidR="00BC6D07" w:rsidRDefault="00BC6D07"/>
    <w:p w:rsidR="00BC6D07" w:rsidRDefault="00B808A2">
      <w:r>
        <w:t xml:space="preserve">Questions: </w:t>
      </w:r>
    </w:p>
    <w:p w:rsidR="00BC6D07" w:rsidRDefault="00B808A2">
      <w:pPr>
        <w:pStyle w:val="ListParagraph"/>
        <w:numPr>
          <w:ilvl w:val="0"/>
          <w:numId w:val="8"/>
        </w:numPr>
      </w:pPr>
      <w:r>
        <w:t xml:space="preserve">Do you agree with proposal 3? </w:t>
      </w:r>
    </w:p>
    <w:p w:rsidR="00BC6D07" w:rsidRDefault="00B808A2">
      <w:pPr>
        <w:pStyle w:val="ListParagraph"/>
        <w:numPr>
          <w:ilvl w:val="1"/>
          <w:numId w:val="8"/>
        </w:numPr>
      </w:pPr>
      <w:r>
        <w:t>Please elaborate the detailed thoughts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lastRenderedPageBreak/>
              <w:t>Nokia, NSB</w:t>
            </w:r>
          </w:p>
        </w:tc>
        <w:tc>
          <w:tcPr>
            <w:tcW w:w="6390" w:type="dxa"/>
          </w:tcPr>
          <w:p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sinergies can be further considered when moving to a WID phase.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The proposal is not needed at this point. We can discuss how to align the normative work when converting them to WIs.</w:t>
            </w:r>
          </w:p>
        </w:tc>
      </w:tr>
      <w:tr w:rsidR="00BC6D07">
        <w:tc>
          <w:tcPr>
            <w:tcW w:w="2605" w:type="dxa"/>
          </w:tcPr>
          <w:p w:rsidR="00BC6D07" w:rsidRDefault="00B808A2">
            <w:pPr>
              <w:rPr>
                <w:lang w:val="en-GB"/>
              </w:rPr>
            </w:pPr>
            <w:r>
              <w:rPr>
                <w:lang w:val="en-GB"/>
              </w:rPr>
              <w:t>Intel</w:t>
            </w:r>
          </w:p>
        </w:tc>
        <w:tc>
          <w:tcPr>
            <w:tcW w:w="6390" w:type="dxa"/>
          </w:tcPr>
          <w:p w:rsidR="00BC6D07" w:rsidRDefault="00B808A2">
            <w:pPr>
              <w:rPr>
                <w:lang w:val="en-GB"/>
              </w:rPr>
            </w:pPr>
            <w:r>
              <w:rPr>
                <w:color w:val="00B050"/>
                <w:lang w:val="en-GB"/>
              </w:rPr>
              <w:t>Such work-split is not necessary at this stage. Evaluation methodology and assumptions in RedCap SI for studies on coverage performance for RedCap UEs are already being maximally aligned with CE SI approaches. Thus, we may not need to decide on any scoping now. We also agree with Nokia that potential overlaps on normative work can be avoided with proper scoping of the WIs.</w:t>
            </w:r>
          </w:p>
        </w:tc>
      </w:tr>
      <w:tr w:rsidR="00BC6D07">
        <w:tc>
          <w:tcPr>
            <w:tcW w:w="2605" w:type="dxa"/>
          </w:tcPr>
          <w:p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A</w:t>
            </w:r>
            <w:r>
              <w:rPr>
                <w:rFonts w:eastAsia="MS Mincho"/>
                <w:lang w:val="en-GB" w:eastAsia="ja-JP"/>
              </w:rPr>
              <w:t>lthough work item split can be proposed direction depending on the outcome of study item, at this momemnt of SI, it is not required to agree proposal 3 for now.</w:t>
            </w:r>
          </w:p>
        </w:tc>
      </w:tr>
      <w:tr w:rsidR="00BC6D07">
        <w:tc>
          <w:tcPr>
            <w:tcW w:w="2605" w:type="dxa"/>
          </w:tcPr>
          <w:p w:rsidR="00BC6D07" w:rsidRDefault="00B808A2">
            <w:pPr>
              <w:rPr>
                <w:lang w:eastAsia="zh-CN"/>
              </w:rPr>
            </w:pPr>
            <w:r>
              <w:rPr>
                <w:rFonts w:hint="eastAsia"/>
                <w:lang w:eastAsia="zh-CN"/>
              </w:rPr>
              <w:t>ZTE</w:t>
            </w:r>
          </w:p>
        </w:tc>
        <w:tc>
          <w:tcPr>
            <w:tcW w:w="6390" w:type="dxa"/>
          </w:tcPr>
          <w:p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WIs. </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tc>
          <w:tcPr>
            <w:tcW w:w="2605" w:type="dxa"/>
          </w:tcPr>
          <w:p w:rsidR="00BD2975" w:rsidRDefault="00BD2975">
            <w:pPr>
              <w:rPr>
                <w:lang w:eastAsia="zh-CN"/>
              </w:rPr>
            </w:pPr>
            <w:r>
              <w:rPr>
                <w:rFonts w:hint="eastAsia"/>
                <w:lang w:eastAsia="zh-CN"/>
              </w:rPr>
              <w:t>C</w:t>
            </w:r>
            <w:r>
              <w:rPr>
                <w:lang w:eastAsia="zh-CN"/>
              </w:rPr>
              <w:t>hina Telecom</w:t>
            </w:r>
          </w:p>
        </w:tc>
        <w:tc>
          <w:tcPr>
            <w:tcW w:w="6390" w:type="dxa"/>
          </w:tcPr>
          <w:p w:rsidR="00BD2975" w:rsidRDefault="001174C7" w:rsidP="000D749A">
            <w:pPr>
              <w:rPr>
                <w:lang w:eastAsia="zh-CN"/>
              </w:rPr>
            </w:pPr>
            <w:r w:rsidRPr="001174C7">
              <w:rPr>
                <w:rFonts w:hint="eastAsia"/>
                <w:lang w:eastAsia="zh-CN"/>
              </w:rPr>
              <w:t>S</w:t>
            </w:r>
            <w:r w:rsidRPr="001174C7">
              <w:rPr>
                <w:lang w:eastAsia="zh-CN"/>
              </w:rPr>
              <w:t>ince both CovEnh and RedCap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tc>
          <w:tcPr>
            <w:tcW w:w="2605" w:type="dxa"/>
          </w:tcPr>
          <w:p w:rsidR="000E29CC" w:rsidRDefault="000E29CC" w:rsidP="000E29CC">
            <w:pPr>
              <w:rPr>
                <w:lang w:eastAsia="zh-CN"/>
              </w:rPr>
            </w:pPr>
            <w:r>
              <w:rPr>
                <w:rFonts w:hint="eastAsia"/>
                <w:lang w:eastAsia="zh-CN"/>
              </w:rPr>
              <w:t>v</w:t>
            </w:r>
            <w:r>
              <w:rPr>
                <w:lang w:eastAsia="zh-CN"/>
              </w:rPr>
              <w:t>ivo</w:t>
            </w:r>
          </w:p>
        </w:tc>
        <w:tc>
          <w:tcPr>
            <w:tcW w:w="6390" w:type="dxa"/>
          </w:tcPr>
          <w:p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tc>
          <w:tcPr>
            <w:tcW w:w="2605" w:type="dxa"/>
          </w:tcPr>
          <w:p w:rsidR="00BC2599" w:rsidRDefault="00BC2599" w:rsidP="000E29CC">
            <w:pPr>
              <w:rPr>
                <w:lang w:eastAsia="zh-CN"/>
              </w:rPr>
            </w:pPr>
            <w:r>
              <w:rPr>
                <w:rFonts w:hint="eastAsia"/>
                <w:lang w:eastAsia="zh-CN"/>
              </w:rPr>
              <w:t>CATT</w:t>
            </w:r>
          </w:p>
        </w:tc>
        <w:tc>
          <w:tcPr>
            <w:tcW w:w="6390" w:type="dxa"/>
          </w:tcPr>
          <w:p w:rsidR="00BC2599" w:rsidRDefault="00BC2599" w:rsidP="000E29CC">
            <w:pPr>
              <w:rPr>
                <w:lang w:eastAsia="zh-CN"/>
              </w:rPr>
            </w:pPr>
            <w:r>
              <w:rPr>
                <w:rFonts w:hint="eastAsia"/>
                <w:lang w:eastAsia="zh-CN"/>
              </w:rPr>
              <w:t>We agree with the comments above that proposal 3 is not needed for now. We can further discuss how to split the work across different items when moving to WIs.</w:t>
            </w:r>
          </w:p>
        </w:tc>
      </w:tr>
      <w:tr w:rsidR="00394F98" w:rsidRPr="00F77312" w:rsidTr="00394F98">
        <w:tc>
          <w:tcPr>
            <w:tcW w:w="2605" w:type="dxa"/>
          </w:tcPr>
          <w:p w:rsidR="00394F98" w:rsidRPr="00F77312" w:rsidRDefault="00394F98" w:rsidP="00F1665B">
            <w:pPr>
              <w:rPr>
                <w:lang w:val="en-GB"/>
              </w:rPr>
            </w:pPr>
            <w:r w:rsidRPr="00F77312">
              <w:rPr>
                <w:rFonts w:hint="eastAsia"/>
                <w:lang w:val="en-GB" w:eastAsia="zh-CN"/>
              </w:rPr>
              <w:t>OPPO</w:t>
            </w:r>
          </w:p>
        </w:tc>
        <w:tc>
          <w:tcPr>
            <w:tcW w:w="6390" w:type="dxa"/>
          </w:tcPr>
          <w:p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reduced the possible duplicated work further. If we can agree how to differenciate the works, we can do it. For simply divding the task by UL and DL, we are hesitate in this stage as the evalutation assumption </w:t>
            </w:r>
            <w:r w:rsidRPr="00F77312">
              <w:rPr>
                <w:lang w:val="en-GB" w:eastAsia="zh-CN"/>
              </w:rPr>
              <w:lastRenderedPageBreak/>
              <w:t xml:space="preserve">and enhancement target are different in 2 </w:t>
            </w:r>
            <w:r w:rsidRPr="00F77312">
              <w:rPr>
                <w:rFonts w:hint="eastAsia"/>
                <w:lang w:val="en-GB" w:eastAsia="zh-CN"/>
              </w:rPr>
              <w:t>SI</w:t>
            </w:r>
            <w:r w:rsidRPr="00F77312">
              <w:rPr>
                <w:lang w:val="en-GB" w:eastAsia="zh-CN"/>
              </w:rPr>
              <w:t>. Then, this means we should take 2 approachs in each SI.</w:t>
            </w:r>
          </w:p>
          <w:p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rsidTr="00394F98">
        <w:tc>
          <w:tcPr>
            <w:tcW w:w="2605" w:type="dxa"/>
          </w:tcPr>
          <w:p w:rsidR="00473D96" w:rsidRDefault="00473D96" w:rsidP="00473D96">
            <w:pPr>
              <w:rPr>
                <w:lang w:eastAsia="zh-CN"/>
              </w:rPr>
            </w:pPr>
            <w:r>
              <w:rPr>
                <w:lang w:eastAsia="zh-CN"/>
              </w:rPr>
              <w:lastRenderedPageBreak/>
              <w:t>Spreadtrum</w:t>
            </w:r>
          </w:p>
        </w:tc>
        <w:tc>
          <w:tcPr>
            <w:tcW w:w="6390" w:type="dxa"/>
          </w:tcPr>
          <w:p w:rsidR="00473D96" w:rsidRDefault="00473D96" w:rsidP="00473D96">
            <w:pPr>
              <w:rPr>
                <w:lang w:eastAsia="zh-CN"/>
              </w:rPr>
            </w:pPr>
            <w:r>
              <w:rPr>
                <w:lang w:eastAsia="zh-CN"/>
              </w:rPr>
              <w:t>We agree the Proposal 3.</w:t>
            </w:r>
          </w:p>
          <w:p w:rsidR="00473D96" w:rsidRDefault="00473D96" w:rsidP="00473D96">
            <w:pPr>
              <w:rPr>
                <w:lang w:eastAsia="zh-CN"/>
              </w:rPr>
            </w:pPr>
            <w:r>
              <w:rPr>
                <w:lang w:eastAsia="zh-CN"/>
              </w:rPr>
              <w:t xml:space="preserve">As mentioned by vivo, it is related to “coverage problem” idinfication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bookmarkStart w:id="2" w:name="_GoBack"/>
        <w:bookmarkEnd w:id="2"/>
      </w:tr>
      <w:tr w:rsidR="00247037" w:rsidRPr="00F77312" w:rsidTr="00394F98">
        <w:tc>
          <w:tcPr>
            <w:tcW w:w="2605" w:type="dxa"/>
          </w:tcPr>
          <w:p w:rsidR="00247037" w:rsidRDefault="00247037" w:rsidP="00247037">
            <w:pPr>
              <w:rPr>
                <w:lang w:eastAsia="zh-CN"/>
              </w:rPr>
            </w:pPr>
            <w:r>
              <w:rPr>
                <w:rFonts w:hint="eastAsia"/>
                <w:lang w:eastAsia="zh-CN"/>
              </w:rPr>
              <w:t>N</w:t>
            </w:r>
            <w:r>
              <w:rPr>
                <w:lang w:eastAsia="zh-CN"/>
              </w:rPr>
              <w:t>EC</w:t>
            </w:r>
          </w:p>
        </w:tc>
        <w:tc>
          <w:tcPr>
            <w:tcW w:w="6390" w:type="dxa"/>
          </w:tcPr>
          <w:p w:rsidR="00247037" w:rsidRDefault="00247037" w:rsidP="00247037">
            <w:pPr>
              <w:rPr>
                <w:lang w:eastAsia="zh-CN"/>
              </w:rPr>
            </w:pPr>
            <w:r>
              <w:rPr>
                <w:lang w:eastAsia="zh-CN"/>
              </w:rPr>
              <w:t>We don’t agree with proposal 3. The work split can be handled in WID preparation.</w:t>
            </w:r>
          </w:p>
        </w:tc>
      </w:tr>
    </w:tbl>
    <w:p w:rsidR="00BC6D07" w:rsidRPr="00394F98" w:rsidRDefault="00BC6D07">
      <w:pPr>
        <w:rPr>
          <w:lang w:val="en-GB"/>
        </w:rPr>
      </w:pPr>
    </w:p>
    <w:p w:rsidR="00BC6D07" w:rsidRDefault="00B808A2">
      <w:pPr>
        <w:rPr>
          <w:highlight w:val="yellow"/>
        </w:rPr>
      </w:pPr>
      <w:r>
        <w:rPr>
          <w:highlight w:val="yellow"/>
        </w:rPr>
        <w:t>Propoals:</w:t>
      </w:r>
    </w:p>
    <w:p w:rsidR="00BC6D07" w:rsidRDefault="00B808A2">
      <w:pPr>
        <w:pStyle w:val="ListParagraph"/>
        <w:numPr>
          <w:ilvl w:val="0"/>
          <w:numId w:val="8"/>
        </w:numPr>
        <w:rPr>
          <w:highlight w:val="yellow"/>
        </w:rPr>
      </w:pPr>
      <w:r>
        <w:rPr>
          <w:highlight w:val="yellow"/>
        </w:rPr>
        <w:t>TBD</w:t>
      </w:r>
    </w:p>
    <w:p w:rsidR="00BC6D07" w:rsidRDefault="00BC6D07">
      <w:pPr>
        <w:rPr>
          <w:lang w:eastAsia="ja-JP"/>
        </w:rPr>
      </w:pPr>
    </w:p>
    <w:p w:rsidR="00BC6D07" w:rsidRDefault="00B808A2">
      <w:pPr>
        <w:pStyle w:val="Heading2"/>
      </w:pPr>
      <w:r>
        <w:t>Other Aspects</w:t>
      </w:r>
    </w:p>
    <w:p w:rsidR="00BC6D07" w:rsidRDefault="00B808A2">
      <w:r>
        <w:t>Questions: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C6D07">
            <w:pPr>
              <w:rPr>
                <w:lang w:val="en-GB"/>
              </w:rPr>
            </w:pPr>
          </w:p>
        </w:tc>
        <w:tc>
          <w:tcPr>
            <w:tcW w:w="6390" w:type="dxa"/>
          </w:tcPr>
          <w:p w:rsidR="00BC6D07" w:rsidRDefault="00BC6D07">
            <w:pPr>
              <w:rPr>
                <w:lang w:val="en-GB"/>
              </w:rPr>
            </w:pPr>
          </w:p>
        </w:tc>
      </w:tr>
    </w:tbl>
    <w:p w:rsidR="00BC6D07" w:rsidRDefault="00BC6D07"/>
    <w:p w:rsidR="00BC6D07" w:rsidRDefault="00B808A2">
      <w:pPr>
        <w:rPr>
          <w:highlight w:val="yellow"/>
        </w:rPr>
      </w:pPr>
      <w:r>
        <w:rPr>
          <w:highlight w:val="yellow"/>
        </w:rPr>
        <w:t>Propoals:</w:t>
      </w:r>
    </w:p>
    <w:p w:rsidR="00BC6D07" w:rsidRDefault="00B808A2">
      <w:pPr>
        <w:pStyle w:val="ListParagraph"/>
        <w:numPr>
          <w:ilvl w:val="0"/>
          <w:numId w:val="8"/>
        </w:numPr>
        <w:rPr>
          <w:highlight w:val="yellow"/>
        </w:rPr>
      </w:pPr>
      <w:r>
        <w:rPr>
          <w:highlight w:val="yellow"/>
        </w:rPr>
        <w:t>TBD</w:t>
      </w:r>
    </w:p>
    <w:p w:rsidR="00BC6D07" w:rsidRDefault="00BC6D07"/>
    <w:p w:rsidR="00BC6D07" w:rsidRDefault="00B808A2">
      <w:pPr>
        <w:pStyle w:val="Heading1"/>
        <w:jc w:val="both"/>
        <w:rPr>
          <w:rFonts w:ascii="Times New Roman" w:hAnsi="Times New Roman"/>
        </w:rPr>
      </w:pPr>
      <w:r>
        <w:rPr>
          <w:rFonts w:ascii="Times New Roman" w:hAnsi="Times New Roman"/>
        </w:rPr>
        <w:t>Conclusion</w:t>
      </w:r>
    </w:p>
    <w:p w:rsidR="00BC6D07" w:rsidRDefault="00B808A2">
      <w:pPr>
        <w:pStyle w:val="Caption"/>
        <w:jc w:val="both"/>
        <w:rPr>
          <w:b w:val="0"/>
          <w:szCs w:val="22"/>
        </w:rPr>
      </w:pPr>
      <w:bookmarkStart w:id="3" w:name="_Ref450583331"/>
      <w:bookmarkEnd w:id="3"/>
      <w:r>
        <w:rPr>
          <w:b w:val="0"/>
          <w:szCs w:val="22"/>
        </w:rPr>
        <w:t>Based on the email discussion, the following are proposed:</w:t>
      </w:r>
    </w:p>
    <w:p w:rsidR="00BC6D07" w:rsidRDefault="00B808A2">
      <w:pPr>
        <w:pStyle w:val="ListParagraph"/>
        <w:numPr>
          <w:ilvl w:val="0"/>
          <w:numId w:val="9"/>
        </w:numPr>
        <w:rPr>
          <w:highlight w:val="yellow"/>
        </w:rPr>
      </w:pPr>
      <w:r>
        <w:rPr>
          <w:highlight w:val="yellow"/>
        </w:rPr>
        <w:t>TBD</w:t>
      </w:r>
    </w:p>
    <w:p w:rsidR="00BC6D07" w:rsidRDefault="00BC6D07">
      <w:pPr>
        <w:rPr>
          <w:lang w:val="en-GB"/>
        </w:rPr>
      </w:pPr>
    </w:p>
    <w:p w:rsidR="00BC6D07" w:rsidRDefault="00B808A2">
      <w:pPr>
        <w:pStyle w:val="Heading1"/>
        <w:jc w:val="both"/>
        <w:rPr>
          <w:rFonts w:ascii="Times New Roman" w:hAnsi="Times New Roman"/>
        </w:rPr>
      </w:pPr>
      <w:r>
        <w:rPr>
          <w:rFonts w:ascii="Times New Roman" w:hAnsi="Times New Roman"/>
        </w:rPr>
        <w:lastRenderedPageBreak/>
        <w:t>References</w:t>
      </w:r>
    </w:p>
    <w:p w:rsidR="00BC6D07" w:rsidRDefault="00B808A2">
      <w:r>
        <w:t>RP-201658</w:t>
      </w:r>
      <w:r>
        <w:tab/>
        <w:t>Handling of overlapping discussion across WI/Sis</w:t>
      </w:r>
      <w:r>
        <w:tab/>
        <w:t>vivo</w:t>
      </w:r>
    </w:p>
    <w:p w:rsidR="00BC6D07" w:rsidRDefault="00B808A2">
      <w:r>
        <w:t>RP-201760</w:t>
      </w:r>
      <w:r>
        <w:tab/>
        <w:t>On overlapping focus of PUCCH repetition enhancements across Rel-17 SI/WIs</w:t>
      </w:r>
      <w:r>
        <w:tab/>
        <w:t>Nokia, Nokia SB</w:t>
      </w:r>
    </w:p>
    <w:p w:rsidR="00BC6D07" w:rsidRDefault="00BC6D07"/>
    <w:p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F57" w:rsidRDefault="00306F57">
      <w:pPr>
        <w:spacing w:after="0"/>
      </w:pPr>
      <w:r>
        <w:separator/>
      </w:r>
    </w:p>
  </w:endnote>
  <w:endnote w:type="continuationSeparator" w:id="0">
    <w:p w:rsidR="00306F57" w:rsidRDefault="00306F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247037">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7037">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F57" w:rsidRDefault="00306F57">
      <w:pPr>
        <w:spacing w:after="0"/>
      </w:pPr>
      <w:r>
        <w:separator/>
      </w:r>
    </w:p>
  </w:footnote>
  <w:footnote w:type="continuationSeparator" w:id="0">
    <w:p w:rsidR="00306F57" w:rsidRDefault="00306F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10"/>
  </w:num>
  <w:num w:numId="5">
    <w:abstractNumId w:val="7"/>
  </w:num>
  <w:num w:numId="6">
    <w:abstractNumId w:val="1"/>
  </w:num>
  <w:num w:numId="7">
    <w:abstractNumId w:val="6"/>
  </w:num>
  <w:num w:numId="8">
    <w:abstractNumId w:val="4"/>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24568F-1673-45E2-B6BC-4673D295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0</TotalTime>
  <Pages>8</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Hans van der Veen</cp:lastModifiedBy>
  <cp:revision>4</cp:revision>
  <cp:lastPrinted>2014-11-07T05:38:00Z</cp:lastPrinted>
  <dcterms:created xsi:type="dcterms:W3CDTF">2020-09-15T06:27:00Z</dcterms:created>
  <dcterms:modified xsi:type="dcterms:W3CDTF">2020-09-15T07:22:00Z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