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DB3" w:rsidRPr="00A24896" w:rsidRDefault="00070DB3" w:rsidP="00070DB3">
      <w:pPr>
        <w:pStyle w:val="Header"/>
        <w:tabs>
          <w:tab w:val="right" w:pos="9639"/>
        </w:tabs>
        <w:rPr>
          <w:bCs/>
          <w:noProof w:val="0"/>
          <w:sz w:val="24"/>
          <w:szCs w:val="28"/>
        </w:rPr>
      </w:pPr>
      <w:r w:rsidRPr="00A24896">
        <w:rPr>
          <w:bCs/>
          <w:noProof w:val="0"/>
          <w:sz w:val="24"/>
          <w:szCs w:val="28"/>
        </w:rPr>
        <w:t>3GPP T</w:t>
      </w:r>
      <w:bookmarkStart w:id="0" w:name="_Ref452454252"/>
      <w:bookmarkEnd w:id="0"/>
      <w:r w:rsidR="00D024FF">
        <w:rPr>
          <w:bCs/>
          <w:noProof w:val="0"/>
          <w:sz w:val="24"/>
          <w:szCs w:val="28"/>
        </w:rPr>
        <w:t>SG RAN</w:t>
      </w:r>
      <w:r w:rsidR="00245669" w:rsidRPr="00A24896">
        <w:rPr>
          <w:noProof w:val="0"/>
          <w:sz w:val="24"/>
          <w:szCs w:val="28"/>
        </w:rPr>
        <w:t>#</w:t>
      </w:r>
      <w:r w:rsidR="00C9453A" w:rsidRPr="00A24896">
        <w:rPr>
          <w:noProof w:val="0"/>
          <w:sz w:val="24"/>
          <w:szCs w:val="28"/>
        </w:rPr>
        <w:t>8</w:t>
      </w:r>
      <w:r w:rsidR="00416961">
        <w:rPr>
          <w:noProof w:val="0"/>
          <w:sz w:val="24"/>
          <w:szCs w:val="28"/>
        </w:rPr>
        <w:t>9</w:t>
      </w:r>
      <w:r w:rsidRPr="00A24896">
        <w:rPr>
          <w:bCs/>
          <w:noProof w:val="0"/>
          <w:sz w:val="24"/>
          <w:szCs w:val="28"/>
        </w:rPr>
        <w:tab/>
        <w:t>R</w:t>
      </w:r>
      <w:r w:rsidR="00245669" w:rsidRPr="00A24896">
        <w:rPr>
          <w:bCs/>
          <w:noProof w:val="0"/>
          <w:sz w:val="24"/>
          <w:szCs w:val="28"/>
        </w:rPr>
        <w:t>P</w:t>
      </w:r>
      <w:r w:rsidRPr="00A24896">
        <w:rPr>
          <w:bCs/>
          <w:noProof w:val="0"/>
          <w:sz w:val="24"/>
          <w:szCs w:val="28"/>
        </w:rPr>
        <w:t>-</w:t>
      </w:r>
      <w:r w:rsidR="00416961">
        <w:rPr>
          <w:bCs/>
          <w:noProof w:val="0"/>
          <w:sz w:val="24"/>
          <w:szCs w:val="28"/>
        </w:rPr>
        <w:t>201</w:t>
      </w:r>
      <w:r w:rsidR="004C0A85">
        <w:rPr>
          <w:bCs/>
          <w:noProof w:val="0"/>
          <w:sz w:val="24"/>
          <w:szCs w:val="28"/>
        </w:rPr>
        <w:t>xxx</w:t>
      </w:r>
    </w:p>
    <w:p w:rsidR="00070DB3" w:rsidRPr="00A24896" w:rsidRDefault="00416961" w:rsidP="00070DB3">
      <w:pPr>
        <w:pStyle w:val="Header"/>
        <w:tabs>
          <w:tab w:val="right" w:pos="9639"/>
        </w:tabs>
        <w:rPr>
          <w:bCs/>
          <w:noProof w:val="0"/>
          <w:sz w:val="24"/>
          <w:szCs w:val="28"/>
        </w:rPr>
      </w:pPr>
      <w:r>
        <w:rPr>
          <w:noProof w:val="0"/>
          <w:sz w:val="24"/>
          <w:szCs w:val="28"/>
          <w:lang w:eastAsia="zh-CN"/>
        </w:rPr>
        <w:t>Virtual</w:t>
      </w:r>
      <w:r w:rsidR="00070DB3" w:rsidRPr="00A24896">
        <w:rPr>
          <w:noProof w:val="0"/>
          <w:sz w:val="24"/>
          <w:szCs w:val="28"/>
          <w:lang w:eastAsia="zh-CN"/>
        </w:rPr>
        <w:t xml:space="preserve">, </w:t>
      </w:r>
      <w:r>
        <w:rPr>
          <w:noProof w:val="0"/>
          <w:sz w:val="24"/>
          <w:szCs w:val="28"/>
          <w:lang w:eastAsia="zh-CN"/>
        </w:rPr>
        <w:t>14</w:t>
      </w:r>
      <w:r w:rsidR="00070DB3" w:rsidRPr="00A24896">
        <w:rPr>
          <w:noProof w:val="0"/>
          <w:sz w:val="24"/>
          <w:szCs w:val="28"/>
          <w:vertAlign w:val="superscript"/>
          <w:lang w:eastAsia="zh-CN"/>
        </w:rPr>
        <w:t>th</w:t>
      </w:r>
      <w:r w:rsidR="00070DB3" w:rsidRPr="00A24896">
        <w:rPr>
          <w:noProof w:val="0"/>
          <w:sz w:val="24"/>
          <w:szCs w:val="28"/>
          <w:lang w:eastAsia="zh-CN"/>
        </w:rPr>
        <w:t xml:space="preserve"> </w:t>
      </w:r>
      <w:r w:rsidR="00245669" w:rsidRPr="00A24896">
        <w:rPr>
          <w:noProof w:val="0"/>
          <w:sz w:val="24"/>
          <w:szCs w:val="28"/>
          <w:lang w:eastAsia="zh-CN"/>
        </w:rPr>
        <w:t>–</w:t>
      </w:r>
      <w:r w:rsidR="00070DB3" w:rsidRPr="00A24896">
        <w:rPr>
          <w:noProof w:val="0"/>
          <w:sz w:val="24"/>
          <w:szCs w:val="28"/>
          <w:lang w:eastAsia="zh-CN"/>
        </w:rPr>
        <w:t xml:space="preserve"> </w:t>
      </w:r>
      <w:r w:rsidR="00D024FF">
        <w:rPr>
          <w:noProof w:val="0"/>
          <w:sz w:val="24"/>
          <w:szCs w:val="28"/>
          <w:lang w:eastAsia="zh-CN"/>
        </w:rPr>
        <w:t>1</w:t>
      </w:r>
      <w:r>
        <w:rPr>
          <w:noProof w:val="0"/>
          <w:sz w:val="24"/>
          <w:szCs w:val="28"/>
          <w:lang w:eastAsia="zh-CN"/>
        </w:rPr>
        <w:t>8</w:t>
      </w:r>
      <w:r w:rsidR="00BC575E" w:rsidRPr="00A24896">
        <w:rPr>
          <w:noProof w:val="0"/>
          <w:sz w:val="24"/>
          <w:szCs w:val="28"/>
          <w:vertAlign w:val="superscript"/>
          <w:lang w:eastAsia="zh-CN"/>
        </w:rPr>
        <w:t>th</w:t>
      </w:r>
      <w:r w:rsidR="00BC575E" w:rsidRPr="00A24896">
        <w:rPr>
          <w:noProof w:val="0"/>
          <w:sz w:val="24"/>
          <w:szCs w:val="28"/>
          <w:lang w:eastAsia="zh-CN"/>
        </w:rPr>
        <w:t xml:space="preserve"> </w:t>
      </w:r>
      <w:r>
        <w:rPr>
          <w:noProof w:val="0"/>
          <w:sz w:val="24"/>
          <w:szCs w:val="28"/>
          <w:lang w:eastAsia="zh-CN"/>
        </w:rPr>
        <w:t>September 2020</w:t>
      </w:r>
    </w:p>
    <w:p w:rsidR="00070DB3" w:rsidRPr="003E7281" w:rsidRDefault="00070DB3" w:rsidP="00070DB3">
      <w:pPr>
        <w:pStyle w:val="CRCoverPage"/>
        <w:tabs>
          <w:tab w:val="right" w:pos="9638"/>
        </w:tabs>
        <w:spacing w:after="0"/>
        <w:outlineLvl w:val="0"/>
        <w:rPr>
          <w:rFonts w:cs="Arial"/>
          <w:b/>
          <w:noProof/>
          <w:sz w:val="28"/>
          <w:szCs w:val="28"/>
        </w:rPr>
      </w:pPr>
    </w:p>
    <w:p w:rsidR="00070DB3" w:rsidRPr="004C0A85" w:rsidRDefault="006D59A1" w:rsidP="005D3B2C">
      <w:pPr>
        <w:rPr>
          <w:rFonts w:ascii="Arial" w:hAnsi="Arial" w:cs="Arial"/>
          <w:i/>
          <w:sz w:val="22"/>
        </w:rPr>
      </w:pPr>
      <w:r w:rsidRPr="004C0A85">
        <w:rPr>
          <w:rFonts w:ascii="Arial" w:hAnsi="Arial" w:cs="Arial"/>
          <w:sz w:val="22"/>
        </w:rPr>
        <w:t xml:space="preserve">Title: </w:t>
      </w:r>
      <w:r w:rsidRPr="004C0A85">
        <w:rPr>
          <w:rFonts w:ascii="Arial" w:hAnsi="Arial" w:cs="Arial"/>
          <w:sz w:val="22"/>
        </w:rPr>
        <w:tab/>
      </w:r>
      <w:r w:rsidR="004C0A85" w:rsidRPr="004C0A85">
        <w:rPr>
          <w:rFonts w:ascii="Arial" w:hAnsi="Arial" w:cs="Arial"/>
          <w:sz w:val="22"/>
        </w:rPr>
        <w:tab/>
      </w:r>
      <w:r w:rsidR="00B9038D" w:rsidRPr="004C0A85">
        <w:rPr>
          <w:rFonts w:ascii="Arial" w:hAnsi="Arial" w:cs="Arial"/>
          <w:sz w:val="22"/>
        </w:rPr>
        <w:t>[89E</w:t>
      </w:r>
      <w:proofErr w:type="gramStart"/>
      <w:r w:rsidR="00B9038D" w:rsidRPr="004C0A85">
        <w:rPr>
          <w:rFonts w:ascii="Arial" w:hAnsi="Arial" w:cs="Arial"/>
          <w:sz w:val="22"/>
        </w:rPr>
        <w:t>][</w:t>
      </w:r>
      <w:proofErr w:type="gramEnd"/>
      <w:r w:rsidR="00B9038D" w:rsidRPr="004C0A85">
        <w:rPr>
          <w:rFonts w:ascii="Arial" w:hAnsi="Arial" w:cs="Arial"/>
          <w:sz w:val="22"/>
        </w:rPr>
        <w:t xml:space="preserve">32][38_n38_sharing] initial round </w:t>
      </w:r>
      <w:r w:rsidRPr="004C0A85">
        <w:rPr>
          <w:rFonts w:ascii="Arial" w:hAnsi="Arial" w:cs="Arial"/>
          <w:sz w:val="22"/>
        </w:rPr>
        <w:t>–</w:t>
      </w:r>
      <w:r w:rsidR="00B9038D" w:rsidRPr="004C0A85">
        <w:rPr>
          <w:rFonts w:ascii="Arial" w:hAnsi="Arial" w:cs="Arial"/>
          <w:sz w:val="22"/>
        </w:rPr>
        <w:t xml:space="preserve"> Moderator</w:t>
      </w:r>
      <w:r w:rsidRPr="004C0A85">
        <w:rPr>
          <w:rFonts w:ascii="Arial" w:hAnsi="Arial" w:cs="Arial"/>
          <w:sz w:val="22"/>
        </w:rPr>
        <w:t xml:space="preserve"> </w:t>
      </w:r>
      <w:r w:rsidR="00B9038D" w:rsidRPr="004C0A85">
        <w:rPr>
          <w:rFonts w:ascii="Arial" w:hAnsi="Arial" w:cs="Arial"/>
          <w:sz w:val="22"/>
        </w:rPr>
        <w:t xml:space="preserve">summary initial round </w:t>
      </w:r>
    </w:p>
    <w:p w:rsidR="00070DB3" w:rsidRPr="004C0A85" w:rsidRDefault="00070DB3" w:rsidP="005D3B2C">
      <w:pPr>
        <w:rPr>
          <w:rFonts w:ascii="Arial" w:hAnsi="Arial" w:cs="Arial"/>
          <w:sz w:val="22"/>
        </w:rPr>
      </w:pPr>
      <w:r w:rsidRPr="004C0A85">
        <w:rPr>
          <w:rFonts w:ascii="Arial" w:hAnsi="Arial" w:cs="Arial"/>
          <w:sz w:val="22"/>
        </w:rPr>
        <w:t>Source:</w:t>
      </w:r>
      <w:r w:rsidRPr="004C0A85">
        <w:rPr>
          <w:rFonts w:ascii="Arial" w:hAnsi="Arial" w:cs="Arial"/>
          <w:sz w:val="22"/>
        </w:rPr>
        <w:tab/>
      </w:r>
      <w:r w:rsidR="003F0F6F" w:rsidRPr="004C0A85">
        <w:rPr>
          <w:rFonts w:ascii="Arial" w:hAnsi="Arial" w:cs="Arial"/>
          <w:sz w:val="22"/>
        </w:rPr>
        <w:t xml:space="preserve">Moderator - </w:t>
      </w:r>
      <w:r w:rsidR="00175E61" w:rsidRPr="004C0A85">
        <w:rPr>
          <w:rFonts w:ascii="Arial" w:hAnsi="Arial" w:cs="Arial"/>
          <w:sz w:val="22"/>
        </w:rPr>
        <w:t>Vodafone</w:t>
      </w:r>
    </w:p>
    <w:p w:rsidR="00070DB3" w:rsidRPr="004C0A85" w:rsidRDefault="00070DB3" w:rsidP="005D3B2C">
      <w:pPr>
        <w:rPr>
          <w:rFonts w:ascii="Arial" w:hAnsi="Arial" w:cs="Arial"/>
          <w:i/>
          <w:sz w:val="22"/>
        </w:rPr>
      </w:pPr>
      <w:r w:rsidRPr="004C0A85">
        <w:rPr>
          <w:rFonts w:ascii="Arial" w:hAnsi="Arial" w:cs="Arial"/>
          <w:sz w:val="22"/>
        </w:rPr>
        <w:t xml:space="preserve">Agenda: </w:t>
      </w:r>
      <w:r w:rsidRPr="004C0A85">
        <w:rPr>
          <w:rFonts w:ascii="Arial" w:hAnsi="Arial" w:cs="Arial"/>
          <w:sz w:val="22"/>
        </w:rPr>
        <w:tab/>
      </w:r>
      <w:r w:rsidR="00D024FF" w:rsidRPr="004C0A85">
        <w:rPr>
          <w:rFonts w:ascii="Arial" w:hAnsi="Arial" w:cs="Arial"/>
          <w:sz w:val="22"/>
        </w:rPr>
        <w:t>9.</w:t>
      </w:r>
      <w:r w:rsidR="00C90AB9" w:rsidRPr="004C0A85">
        <w:rPr>
          <w:rFonts w:ascii="Arial" w:hAnsi="Arial" w:cs="Arial"/>
          <w:sz w:val="22"/>
        </w:rPr>
        <w:t>9</w:t>
      </w:r>
      <w:r w:rsidR="00D024FF" w:rsidRPr="004C0A85">
        <w:rPr>
          <w:rFonts w:ascii="Arial" w:hAnsi="Arial" w:cs="Arial"/>
          <w:sz w:val="22"/>
        </w:rPr>
        <w:t>.1</w:t>
      </w:r>
      <w:r w:rsidR="00C90AB9" w:rsidRPr="004C0A85">
        <w:rPr>
          <w:rFonts w:ascii="Arial" w:hAnsi="Arial" w:cs="Arial"/>
          <w:sz w:val="22"/>
        </w:rPr>
        <w:t>2</w:t>
      </w:r>
    </w:p>
    <w:p w:rsidR="00070DB3" w:rsidRPr="004C0A85" w:rsidRDefault="006D59A1" w:rsidP="005D3B2C">
      <w:pPr>
        <w:rPr>
          <w:rFonts w:ascii="Arial" w:hAnsi="Arial" w:cs="Arial"/>
          <w:sz w:val="36"/>
        </w:rPr>
      </w:pPr>
      <w:r w:rsidRPr="004C0A85">
        <w:rPr>
          <w:rFonts w:ascii="Arial" w:hAnsi="Arial" w:cs="Arial"/>
          <w:sz w:val="22"/>
        </w:rPr>
        <w:t>For:</w:t>
      </w:r>
      <w:r w:rsidRPr="004C0A85">
        <w:rPr>
          <w:rFonts w:ascii="Arial" w:hAnsi="Arial" w:cs="Arial"/>
          <w:sz w:val="22"/>
        </w:rPr>
        <w:tab/>
      </w:r>
      <w:r w:rsidR="004C0A85" w:rsidRPr="004C0A85">
        <w:rPr>
          <w:rFonts w:ascii="Arial" w:hAnsi="Arial" w:cs="Arial"/>
          <w:sz w:val="22"/>
        </w:rPr>
        <w:tab/>
      </w:r>
      <w:r w:rsidRPr="004C0A85">
        <w:rPr>
          <w:rFonts w:ascii="Arial" w:hAnsi="Arial" w:cs="Arial"/>
          <w:sz w:val="22"/>
        </w:rPr>
        <w:t>Approval</w:t>
      </w:r>
      <w:r w:rsidR="00070DB3" w:rsidRPr="004C0A85">
        <w:rPr>
          <w:rFonts w:ascii="Arial" w:hAnsi="Arial" w:cs="Arial"/>
          <w:sz w:val="36"/>
        </w:rPr>
        <w:t xml:space="preserve"> </w:t>
      </w:r>
    </w:p>
    <w:p w:rsidR="00D024FF" w:rsidRPr="006D59A1" w:rsidRDefault="00D024FF" w:rsidP="005D3B2C"/>
    <w:p w:rsidR="00070DB3" w:rsidRPr="006D59A1" w:rsidRDefault="00070DB3" w:rsidP="005D3B2C">
      <w:pPr>
        <w:pStyle w:val="Heading1"/>
        <w:numPr>
          <w:ilvl w:val="0"/>
          <w:numId w:val="1"/>
        </w:numPr>
      </w:pPr>
      <w:r w:rsidRPr="006D59A1">
        <w:t>Introduction</w:t>
      </w:r>
    </w:p>
    <w:p w:rsidR="003B1D30" w:rsidRPr="006D59A1" w:rsidRDefault="003B1D30" w:rsidP="005D3B2C"/>
    <w:p w:rsidR="00BC575E" w:rsidRPr="006D59A1" w:rsidRDefault="00FA6013" w:rsidP="005D3B2C">
      <w:r w:rsidRPr="006D59A1">
        <w:t xml:space="preserve">This </w:t>
      </w:r>
      <w:r w:rsidR="00C90AB9" w:rsidRPr="006D59A1">
        <w:t xml:space="preserve">document summarises </w:t>
      </w:r>
      <w:r w:rsidR="003F0F6F" w:rsidRPr="006D59A1">
        <w:t>the initial round of email discussion</w:t>
      </w:r>
      <w:r w:rsidR="00231D35" w:rsidRPr="006D59A1">
        <w:t>.</w:t>
      </w:r>
    </w:p>
    <w:p w:rsidR="004E4FBC" w:rsidRPr="006D59A1" w:rsidRDefault="004E4FBC" w:rsidP="005D3B2C"/>
    <w:p w:rsidR="00E82F90" w:rsidRPr="006D59A1" w:rsidRDefault="003F0F6F" w:rsidP="005D3B2C">
      <w:pPr>
        <w:pStyle w:val="Heading1"/>
        <w:numPr>
          <w:ilvl w:val="0"/>
          <w:numId w:val="1"/>
        </w:numPr>
      </w:pPr>
      <w:r w:rsidRPr="006D59A1">
        <w:t>Objective</w:t>
      </w:r>
    </w:p>
    <w:p w:rsidR="003F0F6F" w:rsidRPr="006D59A1" w:rsidRDefault="003F0F6F" w:rsidP="005D3B2C">
      <w:pPr>
        <w:rPr>
          <w:lang w:val="en-US"/>
        </w:rPr>
      </w:pPr>
    </w:p>
    <w:p w:rsidR="003F0F6F" w:rsidRPr="006D59A1" w:rsidRDefault="003F0F6F" w:rsidP="005D3B2C">
      <w:pPr>
        <w:rPr>
          <w:rFonts w:eastAsiaTheme="minorHAnsi"/>
          <w:lang w:val="en-US" w:eastAsia="en-GB"/>
        </w:rPr>
      </w:pPr>
      <w:r w:rsidRPr="006D59A1">
        <w:rPr>
          <w:b/>
          <w:lang w:val="en-US"/>
        </w:rPr>
        <w:t>Goal:</w:t>
      </w:r>
      <w:r w:rsidRPr="006D59A1">
        <w:rPr>
          <w:lang w:val="en-US"/>
        </w:rPr>
        <w:t xml:space="preserve"> Find a way forward on the 2 sets of CRs highlighted in 1907</w:t>
      </w:r>
    </w:p>
    <w:p w:rsidR="003F0F6F" w:rsidRPr="006D59A1" w:rsidRDefault="003F0F6F" w:rsidP="005D3B2C">
      <w:pPr>
        <w:rPr>
          <w:lang w:val="en-US"/>
        </w:rPr>
      </w:pPr>
    </w:p>
    <w:p w:rsidR="006D59A1" w:rsidRPr="006D59A1" w:rsidRDefault="003F0F6F" w:rsidP="005D3B2C">
      <w:pPr>
        <w:rPr>
          <w:lang w:val="en-US"/>
        </w:rPr>
      </w:pPr>
      <w:r w:rsidRPr="006D59A1">
        <w:rPr>
          <w:b/>
          <w:lang w:val="en-US"/>
        </w:rPr>
        <w:t>Input documents covered:</w:t>
      </w:r>
      <w:r w:rsidRPr="006D59A1">
        <w:rPr>
          <w:lang w:val="en-US"/>
        </w:rPr>
        <w:t xml:space="preserve"> 1892, 1897, 1898, 1899, 1900, 1901, 1906, 1907, </w:t>
      </w:r>
      <w:proofErr w:type="gramStart"/>
      <w:r w:rsidRPr="006D59A1">
        <w:rPr>
          <w:lang w:val="en-US"/>
        </w:rPr>
        <w:t>1864</w:t>
      </w:r>
      <w:proofErr w:type="gramEnd"/>
      <w:r w:rsidRPr="006D59A1">
        <w:rPr>
          <w:lang w:val="en-US"/>
        </w:rPr>
        <w:t>.</w:t>
      </w:r>
    </w:p>
    <w:p w:rsidR="006D59A1" w:rsidRPr="006D59A1" w:rsidRDefault="006D59A1" w:rsidP="005D3B2C">
      <w:pPr>
        <w:rPr>
          <w:lang w:val="en-US"/>
        </w:rPr>
      </w:pPr>
    </w:p>
    <w:p w:rsidR="003F0F6F" w:rsidRPr="006D59A1" w:rsidRDefault="003F0F6F" w:rsidP="005D3B2C">
      <w:r w:rsidRPr="006D59A1">
        <w:t>Structure of initial discussion</w:t>
      </w:r>
      <w:r w:rsidR="00A10007" w:rsidRPr="006D59A1">
        <w:t>:</w:t>
      </w:r>
      <w:r w:rsidRPr="006D59A1">
        <w:t xml:space="preserve"> Moderator requested feedback on 3 aspects in the context of the 2 sets of CRs proposed:</w:t>
      </w:r>
    </w:p>
    <w:p w:rsidR="003F0F6F" w:rsidRPr="006D59A1" w:rsidRDefault="003F0F6F" w:rsidP="005D3B2C">
      <w:pPr>
        <w:pStyle w:val="ListParagraph"/>
        <w:numPr>
          <w:ilvl w:val="0"/>
          <w:numId w:val="19"/>
        </w:numPr>
      </w:pPr>
      <w:r w:rsidRPr="006D59A1">
        <w:t xml:space="preserve">Feedback on whether there really is a “practical” non-backwards compatibility issue, given that this requirement is specifically for </w:t>
      </w:r>
      <w:proofErr w:type="gramStart"/>
      <w:r w:rsidRPr="006D59A1">
        <w:t>15kHz</w:t>
      </w:r>
      <w:proofErr w:type="gramEnd"/>
      <w:r w:rsidRPr="006D59A1">
        <w:t xml:space="preserve"> SCS in n38.</w:t>
      </w:r>
      <w:r w:rsidRPr="006D59A1">
        <w:rPr>
          <w:rStyle w:val="apple-converted-space"/>
          <w:szCs w:val="22"/>
        </w:rPr>
        <w:t> </w:t>
      </w:r>
      <w:r w:rsidRPr="006D59A1">
        <w:rPr>
          <w:i/>
        </w:rPr>
        <w:t>Note that we discussed this in May RAN4 meeting and June RAN plenary meeting when we started this Work Item, and no issues were raised at that time.</w:t>
      </w:r>
    </w:p>
    <w:p w:rsidR="003F0F6F" w:rsidRPr="006D59A1" w:rsidRDefault="003F0F6F" w:rsidP="005D3B2C">
      <w:pPr>
        <w:pStyle w:val="ListParagraph"/>
        <w:numPr>
          <w:ilvl w:val="0"/>
          <w:numId w:val="19"/>
        </w:numPr>
      </w:pPr>
      <w:r w:rsidRPr="006D59A1">
        <w:t>While the “original” CRs seem quite straightforward (if bullet 1 is not an issue), feedback requested on the “alternative” CR approach.</w:t>
      </w:r>
    </w:p>
    <w:p w:rsidR="003F0F6F" w:rsidRPr="006D59A1" w:rsidRDefault="003F0F6F" w:rsidP="005D3B2C">
      <w:pPr>
        <w:pStyle w:val="ListParagraph"/>
        <w:numPr>
          <w:ilvl w:val="1"/>
          <w:numId w:val="19"/>
        </w:numPr>
      </w:pPr>
      <w:r w:rsidRPr="006D59A1">
        <w:t>Moderator wondered if there could be a better compromise where we make the requirement in the original CR a “should” (recommendation), and we add the NOTE from the alternative approach.</w:t>
      </w:r>
    </w:p>
    <w:p w:rsidR="003F0F6F" w:rsidRPr="006D59A1" w:rsidRDefault="003F0F6F" w:rsidP="005D3B2C">
      <w:pPr>
        <w:pStyle w:val="ListParagraph"/>
        <w:numPr>
          <w:ilvl w:val="0"/>
          <w:numId w:val="19"/>
        </w:numPr>
      </w:pPr>
      <w:r w:rsidRPr="006D59A1">
        <w:rPr>
          <w:rStyle w:val="apple-converted-space"/>
          <w:sz w:val="12"/>
          <w:szCs w:val="14"/>
        </w:rPr>
        <w:t> </w:t>
      </w:r>
      <w:r w:rsidRPr="006D59A1">
        <w:t>From 1864, feedback on the 2 proposals for DSS in new TDD bands requested – moderator understands the aim is to avoid having a new discussion every time we introduce DSS in a particular TDD band.</w:t>
      </w:r>
    </w:p>
    <w:p w:rsidR="000B0DCF" w:rsidRPr="006D59A1" w:rsidRDefault="000B0DCF" w:rsidP="005D3B2C"/>
    <w:p w:rsidR="00D31427" w:rsidRPr="006D59A1" w:rsidRDefault="00D31427" w:rsidP="005D3B2C"/>
    <w:p w:rsidR="00D31427" w:rsidRPr="006D59A1" w:rsidRDefault="006D59A1" w:rsidP="005D3B2C">
      <w:pPr>
        <w:pStyle w:val="Heading1"/>
        <w:numPr>
          <w:ilvl w:val="0"/>
          <w:numId w:val="1"/>
        </w:numPr>
      </w:pPr>
      <w:r w:rsidRPr="006D59A1">
        <w:t>Company feedback</w:t>
      </w:r>
    </w:p>
    <w:p w:rsidR="00D31427" w:rsidRPr="006D59A1" w:rsidRDefault="00D31427" w:rsidP="005D3B2C"/>
    <w:p w:rsidR="006D59A1" w:rsidRPr="004763D1" w:rsidRDefault="006D59A1" w:rsidP="005D3B2C">
      <w:pPr>
        <w:rPr>
          <w:u w:val="single"/>
        </w:rPr>
      </w:pPr>
      <w:r w:rsidRPr="004763D1">
        <w:rPr>
          <w:u w:val="single"/>
        </w:rPr>
        <w:t>Point 1</w:t>
      </w:r>
    </w:p>
    <w:p w:rsidR="006D59A1" w:rsidRPr="006D59A1" w:rsidRDefault="006D59A1" w:rsidP="005D3B2C"/>
    <w:tbl>
      <w:tblPr>
        <w:tblStyle w:val="TableGrid"/>
        <w:tblW w:w="0" w:type="auto"/>
        <w:tblLook w:val="04A0" w:firstRow="1" w:lastRow="0" w:firstColumn="1" w:lastColumn="0" w:noHBand="0" w:noVBand="1"/>
      </w:tblPr>
      <w:tblGrid>
        <w:gridCol w:w="1555"/>
        <w:gridCol w:w="7222"/>
      </w:tblGrid>
      <w:tr w:rsidR="006D59A1" w:rsidTr="006D59A1">
        <w:tc>
          <w:tcPr>
            <w:tcW w:w="1555" w:type="dxa"/>
          </w:tcPr>
          <w:p w:rsidR="006D59A1" w:rsidRPr="006D59A1" w:rsidRDefault="006D59A1" w:rsidP="005D3B2C">
            <w:r w:rsidRPr="006D59A1">
              <w:t>Qualcomm</w:t>
            </w:r>
          </w:p>
        </w:tc>
        <w:tc>
          <w:tcPr>
            <w:tcW w:w="7222" w:type="dxa"/>
          </w:tcPr>
          <w:p w:rsidR="006D59A1" w:rsidRPr="005D3B2C" w:rsidRDefault="006D59A1" w:rsidP="005D3B2C">
            <w:pPr>
              <w:rPr>
                <w:rFonts w:eastAsiaTheme="minorHAnsi"/>
                <w:lang w:val="en-US" w:eastAsia="en-GB"/>
              </w:rPr>
            </w:pPr>
            <w:r w:rsidRPr="005D3B2C">
              <w:rPr>
                <w:lang w:val="en-US"/>
              </w:rPr>
              <w:t>1)</w:t>
            </w:r>
            <w:r w:rsidRPr="005D3B2C">
              <w:rPr>
                <w:sz w:val="14"/>
                <w:szCs w:val="14"/>
                <w:lang w:val="en-US"/>
              </w:rPr>
              <w:t>   </w:t>
            </w:r>
            <w:r w:rsidRPr="005D3B2C">
              <w:rPr>
                <w:rStyle w:val="apple-converted-space"/>
                <w:sz w:val="14"/>
                <w:szCs w:val="14"/>
                <w:lang w:val="en-US"/>
              </w:rPr>
              <w:t> </w:t>
            </w:r>
            <w:r w:rsidRPr="005D3B2C">
              <w:rPr>
                <w:lang w:val="en-US"/>
              </w:rPr>
              <w:t>From our side there is no issue with the current proposal of mandating the shift from Rel.15 for 15kHz SCS.</w:t>
            </w:r>
          </w:p>
        </w:tc>
      </w:tr>
      <w:tr w:rsidR="006D59A1" w:rsidTr="006D59A1">
        <w:tc>
          <w:tcPr>
            <w:tcW w:w="1555" w:type="dxa"/>
          </w:tcPr>
          <w:p w:rsidR="006D59A1" w:rsidRDefault="006D59A1" w:rsidP="005D3B2C">
            <w:r>
              <w:t>Huawei</w:t>
            </w:r>
          </w:p>
        </w:tc>
        <w:tc>
          <w:tcPr>
            <w:tcW w:w="7222" w:type="dxa"/>
          </w:tcPr>
          <w:p w:rsidR="006D59A1" w:rsidRPr="005D3B2C" w:rsidRDefault="006D59A1" w:rsidP="005D3B2C">
            <w:r w:rsidRPr="005D3B2C">
              <w:t>According to our understanding, there would be no “practical” NBC issue currently. But we do hope that 3GPP can made decision as quick as possible and thus the requirement for implementation can be stable.</w:t>
            </w:r>
          </w:p>
        </w:tc>
      </w:tr>
      <w:tr w:rsidR="006D59A1" w:rsidTr="006D59A1">
        <w:tc>
          <w:tcPr>
            <w:tcW w:w="1555" w:type="dxa"/>
          </w:tcPr>
          <w:p w:rsidR="006D59A1" w:rsidRDefault="006D59A1" w:rsidP="005D3B2C">
            <w:r>
              <w:t>Nokia</w:t>
            </w:r>
          </w:p>
        </w:tc>
        <w:tc>
          <w:tcPr>
            <w:tcW w:w="7222" w:type="dxa"/>
          </w:tcPr>
          <w:p w:rsidR="006D59A1" w:rsidRPr="005D3B2C" w:rsidRDefault="006D59A1" w:rsidP="005D3B2C">
            <w:pPr>
              <w:rPr>
                <w:rFonts w:eastAsiaTheme="minorHAnsi"/>
                <w:lang w:eastAsia="en-GB"/>
              </w:rPr>
            </w:pPr>
            <w:r w:rsidRPr="005D3B2C">
              <w:t>Taking into account the latest Rel’15 changes to n38 system parameters, we do not see the issue to mandate the shift from Rel’15.</w:t>
            </w:r>
          </w:p>
        </w:tc>
      </w:tr>
      <w:tr w:rsidR="006D59A1" w:rsidTr="006D59A1">
        <w:tc>
          <w:tcPr>
            <w:tcW w:w="1555" w:type="dxa"/>
          </w:tcPr>
          <w:p w:rsidR="006D59A1" w:rsidRDefault="006D59A1" w:rsidP="005D3B2C">
            <w:r>
              <w:t>Apple</w:t>
            </w:r>
          </w:p>
        </w:tc>
        <w:tc>
          <w:tcPr>
            <w:tcW w:w="7222" w:type="dxa"/>
          </w:tcPr>
          <w:p w:rsidR="006D59A1" w:rsidRPr="005D3B2C" w:rsidRDefault="006D59A1" w:rsidP="005D3B2C">
            <w:r w:rsidRPr="005D3B2C">
              <w:t>As a UE vendor company we do have a big concern with mandating UL shift functionality for Rel-15 band n38 for the reasons we have explained during our previous discussions. We obviously do not want to create a precedent of introducing some changes to the specification that will/might create a discrepancy between what the specifications says and what a UE actually supports.</w:t>
            </w:r>
          </w:p>
        </w:tc>
      </w:tr>
      <w:tr w:rsidR="006D59A1" w:rsidTr="006D59A1">
        <w:tc>
          <w:tcPr>
            <w:tcW w:w="1555" w:type="dxa"/>
          </w:tcPr>
          <w:p w:rsidR="006D59A1" w:rsidRDefault="006D59A1" w:rsidP="005D3B2C">
            <w:r>
              <w:t>Vodafone</w:t>
            </w:r>
          </w:p>
        </w:tc>
        <w:tc>
          <w:tcPr>
            <w:tcW w:w="7222" w:type="dxa"/>
          </w:tcPr>
          <w:p w:rsidR="006D59A1" w:rsidRPr="005D3B2C" w:rsidRDefault="006D59A1" w:rsidP="005D3B2C">
            <w:pPr>
              <w:rPr>
                <w:lang w:eastAsia="en-US"/>
              </w:rPr>
            </w:pPr>
            <w:r w:rsidRPr="005D3B2C">
              <w:rPr>
                <w:lang w:eastAsia="en-US"/>
              </w:rPr>
              <w:t>We understood there was no practical issue when this WI was agreed, but a timely decision is important to ensure vendors do not begin implementing n38 devices without the required shift.</w:t>
            </w:r>
          </w:p>
          <w:p w:rsidR="006D59A1" w:rsidRPr="005D3B2C" w:rsidRDefault="006D59A1" w:rsidP="005D3B2C"/>
        </w:tc>
      </w:tr>
      <w:tr w:rsidR="006D59A1" w:rsidTr="006D59A1">
        <w:tc>
          <w:tcPr>
            <w:tcW w:w="1555" w:type="dxa"/>
          </w:tcPr>
          <w:p w:rsidR="006D59A1" w:rsidRDefault="006D59A1" w:rsidP="005D3B2C">
            <w:r>
              <w:t>Ericsson</w:t>
            </w:r>
          </w:p>
        </w:tc>
        <w:tc>
          <w:tcPr>
            <w:tcW w:w="7222" w:type="dxa"/>
          </w:tcPr>
          <w:p w:rsidR="006D59A1" w:rsidRPr="005D3B2C" w:rsidRDefault="006D59A1" w:rsidP="005D3B2C">
            <w:r w:rsidRPr="005D3B2C">
              <w:rPr>
                <w:lang w:val="en-US" w:eastAsia="en-US"/>
              </w:rPr>
              <w:t>First of all, we also support the rel-15 CR approach. We don’t fully understand why there is an issue in this case given that the SSB change was only recent and the rel-15 change was agreed in the WID.</w:t>
            </w:r>
          </w:p>
        </w:tc>
      </w:tr>
    </w:tbl>
    <w:p w:rsidR="00B112FE" w:rsidRDefault="00B112FE" w:rsidP="005D3B2C"/>
    <w:p w:rsidR="006D59A1" w:rsidRPr="004763D1" w:rsidRDefault="006D59A1" w:rsidP="005D3B2C">
      <w:pPr>
        <w:rPr>
          <w:u w:val="single"/>
        </w:rPr>
      </w:pPr>
      <w:r w:rsidRPr="004763D1">
        <w:rPr>
          <w:u w:val="single"/>
        </w:rPr>
        <w:t>Point 2:</w:t>
      </w:r>
    </w:p>
    <w:p w:rsidR="005D3B2C" w:rsidRDefault="005D3B2C" w:rsidP="005D3B2C"/>
    <w:tbl>
      <w:tblPr>
        <w:tblStyle w:val="TableGrid"/>
        <w:tblW w:w="0" w:type="auto"/>
        <w:tblLook w:val="04A0" w:firstRow="1" w:lastRow="0" w:firstColumn="1" w:lastColumn="0" w:noHBand="0" w:noVBand="1"/>
      </w:tblPr>
      <w:tblGrid>
        <w:gridCol w:w="1555"/>
        <w:gridCol w:w="7222"/>
      </w:tblGrid>
      <w:tr w:rsidR="006D59A1" w:rsidRPr="006D59A1" w:rsidTr="00630503">
        <w:tc>
          <w:tcPr>
            <w:tcW w:w="1555" w:type="dxa"/>
          </w:tcPr>
          <w:p w:rsidR="006D59A1" w:rsidRPr="006D59A1" w:rsidRDefault="006D59A1" w:rsidP="005D3B2C">
            <w:r w:rsidRPr="006D59A1">
              <w:t>Qualcomm</w:t>
            </w:r>
          </w:p>
        </w:tc>
        <w:tc>
          <w:tcPr>
            <w:tcW w:w="7222" w:type="dxa"/>
          </w:tcPr>
          <w:p w:rsidR="006D59A1" w:rsidRPr="004763D1" w:rsidRDefault="006D59A1" w:rsidP="005D3B2C">
            <w:pPr>
              <w:rPr>
                <w:rFonts w:eastAsiaTheme="minorHAnsi"/>
                <w:lang w:val="en-US" w:eastAsia="en-GB"/>
              </w:rPr>
            </w:pPr>
            <w:r w:rsidRPr="005D3B2C">
              <w:rPr>
                <w:lang w:val="en-US"/>
              </w:rPr>
              <w:t>We strongly prefer the original approach with changes from Rel.15. No strong view on the note for the alternative approach</w:t>
            </w:r>
          </w:p>
        </w:tc>
      </w:tr>
      <w:tr w:rsidR="006D59A1" w:rsidTr="00630503">
        <w:tc>
          <w:tcPr>
            <w:tcW w:w="1555" w:type="dxa"/>
          </w:tcPr>
          <w:p w:rsidR="006D59A1" w:rsidRDefault="006D59A1" w:rsidP="005D3B2C">
            <w:r>
              <w:t>Huawei</w:t>
            </w:r>
          </w:p>
        </w:tc>
        <w:tc>
          <w:tcPr>
            <w:tcW w:w="7222" w:type="dxa"/>
          </w:tcPr>
          <w:p w:rsidR="006D59A1" w:rsidRPr="005D3B2C" w:rsidRDefault="005D3B2C" w:rsidP="005D3B2C">
            <w:pPr>
              <w:rPr>
                <w:rFonts w:eastAsiaTheme="minorHAnsi"/>
                <w:lang w:eastAsia="en-GB"/>
              </w:rPr>
            </w:pPr>
            <w:r w:rsidRPr="005D3B2C">
              <w:t>W</w:t>
            </w:r>
            <w:r w:rsidR="006D59A1" w:rsidRPr="005D3B2C">
              <w:t>e prefer the original CRs from network perspective. We are fine with the idea to add the note on top of the original CR just to allow some exception for UE which supports 7.5KHz uplink shift and is already in the market. The current wording in 1900 seems meet the goal, i.e., A Release 15 UE not supporting this require</w:t>
            </w:r>
            <w:r>
              <w:t>ment will not be able to access.</w:t>
            </w:r>
          </w:p>
        </w:tc>
      </w:tr>
      <w:tr w:rsidR="006D59A1" w:rsidRPr="006D59A1" w:rsidTr="00630503">
        <w:tc>
          <w:tcPr>
            <w:tcW w:w="1555" w:type="dxa"/>
          </w:tcPr>
          <w:p w:rsidR="006D59A1" w:rsidRDefault="006D59A1" w:rsidP="005D3B2C">
            <w:r>
              <w:t>Nokia</w:t>
            </w:r>
          </w:p>
        </w:tc>
        <w:tc>
          <w:tcPr>
            <w:tcW w:w="7222" w:type="dxa"/>
          </w:tcPr>
          <w:p w:rsidR="006D59A1" w:rsidRPr="005D3B2C" w:rsidRDefault="005D3B2C" w:rsidP="005D3B2C">
            <w:pPr>
              <w:rPr>
                <w:rFonts w:eastAsiaTheme="minorHAnsi"/>
                <w:lang w:eastAsia="en-GB"/>
              </w:rPr>
            </w:pPr>
            <w:r w:rsidRPr="005D3B2C">
              <w:t>We prefer original proposal but would be open to discuss the note in case some companies believe it is necessary.</w:t>
            </w:r>
          </w:p>
        </w:tc>
      </w:tr>
      <w:tr w:rsidR="006D59A1" w:rsidTr="00630503">
        <w:tc>
          <w:tcPr>
            <w:tcW w:w="1555" w:type="dxa"/>
          </w:tcPr>
          <w:p w:rsidR="006D59A1" w:rsidRDefault="006D59A1" w:rsidP="005D3B2C">
            <w:r>
              <w:t>Apple</w:t>
            </w:r>
          </w:p>
        </w:tc>
        <w:tc>
          <w:tcPr>
            <w:tcW w:w="7222" w:type="dxa"/>
          </w:tcPr>
          <w:p w:rsidR="006D59A1" w:rsidRPr="005D3B2C" w:rsidRDefault="005D3B2C" w:rsidP="005D3B2C">
            <w:r w:rsidRPr="005D3B2C">
              <w:t>We are of course more than open to consider compromised or alternative approaches that will enable UL shift for Rel-15 for UE that will come to the market later. If we follow the same process for all the bands, then the simplest way is to make changes similar to what we did for band n40 as nobody has really explained what is wrong with it. Adding further clarifications/NOTE to the Rel-15 specification is another option, which in fact does not conflict with the spirit of release independent changes we applied for e.g. band n40.</w:t>
            </w:r>
          </w:p>
        </w:tc>
      </w:tr>
      <w:tr w:rsidR="006D59A1" w:rsidTr="00630503">
        <w:tc>
          <w:tcPr>
            <w:tcW w:w="1555" w:type="dxa"/>
          </w:tcPr>
          <w:p w:rsidR="006D59A1" w:rsidRDefault="006D59A1" w:rsidP="005D3B2C">
            <w:r>
              <w:t>Vodafone</w:t>
            </w:r>
          </w:p>
        </w:tc>
        <w:tc>
          <w:tcPr>
            <w:tcW w:w="7222" w:type="dxa"/>
          </w:tcPr>
          <w:p w:rsidR="005D3B2C" w:rsidRPr="005D3B2C" w:rsidRDefault="005D3B2C" w:rsidP="005D3B2C">
            <w:pPr>
              <w:rPr>
                <w:lang w:eastAsia="en-US"/>
              </w:rPr>
            </w:pPr>
            <w:r w:rsidRPr="005D3B2C">
              <w:rPr>
                <w:lang w:eastAsia="en-US"/>
              </w:rPr>
              <w:t>We strongly prefer the original proposal with mandatory changes from Rel-15. In our opinion this is still the cleanest option with the least ambiguity. But we would be willing to discuss the alternative CRs or the “better compromise” proposed by the moderator if necessary.</w:t>
            </w:r>
          </w:p>
          <w:p w:rsidR="006D59A1" w:rsidRPr="005D3B2C" w:rsidRDefault="006D59A1" w:rsidP="005D3B2C"/>
        </w:tc>
      </w:tr>
      <w:tr w:rsidR="006D59A1" w:rsidTr="00630503">
        <w:tc>
          <w:tcPr>
            <w:tcW w:w="1555" w:type="dxa"/>
          </w:tcPr>
          <w:p w:rsidR="006D59A1" w:rsidRDefault="006D59A1" w:rsidP="005D3B2C">
            <w:r>
              <w:t>Ericsson</w:t>
            </w:r>
          </w:p>
        </w:tc>
        <w:tc>
          <w:tcPr>
            <w:tcW w:w="7222" w:type="dxa"/>
          </w:tcPr>
          <w:p w:rsidR="006D59A1" w:rsidRPr="005D3B2C" w:rsidRDefault="005D3B2C" w:rsidP="005D3B2C">
            <w:r w:rsidRPr="005D3B2C">
              <w:rPr>
                <w:lang w:val="en-US" w:eastAsia="en-US"/>
              </w:rPr>
              <w:t>Assuming it is only a very small amount of UEs that may have an issue and since there are no other issues for legacy UEs, we could potentially consider the note.</w:t>
            </w:r>
          </w:p>
        </w:tc>
      </w:tr>
    </w:tbl>
    <w:p w:rsidR="006D59A1" w:rsidRDefault="006D59A1" w:rsidP="005D3B2C"/>
    <w:p w:rsidR="005D3B2C" w:rsidRPr="004763D1" w:rsidRDefault="005D3B2C" w:rsidP="005D3B2C">
      <w:pPr>
        <w:rPr>
          <w:u w:val="single"/>
        </w:rPr>
      </w:pPr>
      <w:r w:rsidRPr="004763D1">
        <w:rPr>
          <w:u w:val="single"/>
        </w:rPr>
        <w:t>Point 3:</w:t>
      </w:r>
    </w:p>
    <w:p w:rsidR="005D3B2C" w:rsidRDefault="005D3B2C" w:rsidP="005D3B2C"/>
    <w:tbl>
      <w:tblPr>
        <w:tblStyle w:val="TableGrid"/>
        <w:tblW w:w="0" w:type="auto"/>
        <w:tblLook w:val="04A0" w:firstRow="1" w:lastRow="0" w:firstColumn="1" w:lastColumn="0" w:noHBand="0" w:noVBand="1"/>
      </w:tblPr>
      <w:tblGrid>
        <w:gridCol w:w="1555"/>
        <w:gridCol w:w="7222"/>
      </w:tblGrid>
      <w:tr w:rsidR="005D3B2C" w:rsidRPr="005D3B2C" w:rsidTr="00630503">
        <w:tc>
          <w:tcPr>
            <w:tcW w:w="1555" w:type="dxa"/>
          </w:tcPr>
          <w:p w:rsidR="005D3B2C" w:rsidRPr="005D3B2C" w:rsidRDefault="005D3B2C" w:rsidP="005D3B2C">
            <w:r w:rsidRPr="005D3B2C">
              <w:t>Qualcomm</w:t>
            </w:r>
          </w:p>
        </w:tc>
        <w:tc>
          <w:tcPr>
            <w:tcW w:w="7222" w:type="dxa"/>
          </w:tcPr>
          <w:p w:rsidR="005D3B2C" w:rsidRPr="005D3B2C" w:rsidRDefault="005D3B2C" w:rsidP="005D3B2C">
            <w:pPr>
              <w:rPr>
                <w:rFonts w:eastAsiaTheme="minorHAnsi"/>
                <w:lang w:eastAsia="en-GB"/>
              </w:rPr>
            </w:pPr>
            <w:r w:rsidRPr="005D3B2C">
              <w:rPr>
                <w:lang w:val="en-US"/>
              </w:rPr>
              <w:t>We still believe a band by band approach is needed as there could be NBC issues. Which bands would be under discussion?</w:t>
            </w:r>
          </w:p>
        </w:tc>
      </w:tr>
      <w:tr w:rsidR="005D3B2C" w:rsidRPr="005D3B2C" w:rsidTr="00630503">
        <w:tc>
          <w:tcPr>
            <w:tcW w:w="1555" w:type="dxa"/>
          </w:tcPr>
          <w:p w:rsidR="005D3B2C" w:rsidRPr="005D3B2C" w:rsidRDefault="005D3B2C" w:rsidP="005D3B2C">
            <w:r w:rsidRPr="005D3B2C">
              <w:t>Huawei</w:t>
            </w:r>
          </w:p>
        </w:tc>
        <w:tc>
          <w:tcPr>
            <w:tcW w:w="7222" w:type="dxa"/>
          </w:tcPr>
          <w:p w:rsidR="005D3B2C" w:rsidRPr="005D3B2C" w:rsidRDefault="005D3B2C" w:rsidP="005D3B2C">
            <w:pPr>
              <w:rPr>
                <w:rFonts w:eastAsiaTheme="minorHAnsi"/>
                <w:lang w:eastAsia="en-GB"/>
              </w:rPr>
            </w:pPr>
            <w:r w:rsidRPr="005D3B2C">
              <w:t>We do not support those proposals if they are comment approach applicable to the existing TDD bands. Definitely the UEs supporting certain TDD bands have already been in the market. If the common approaches applies for the new re-farming bands, we are open.</w:t>
            </w:r>
          </w:p>
        </w:tc>
      </w:tr>
      <w:tr w:rsidR="005D3B2C" w:rsidRPr="005D3B2C" w:rsidTr="00630503">
        <w:tc>
          <w:tcPr>
            <w:tcW w:w="1555" w:type="dxa"/>
          </w:tcPr>
          <w:p w:rsidR="005D3B2C" w:rsidRPr="005D3B2C" w:rsidRDefault="005D3B2C" w:rsidP="005D3B2C">
            <w:r w:rsidRPr="005D3B2C">
              <w:t>Nokia</w:t>
            </w:r>
          </w:p>
        </w:tc>
        <w:tc>
          <w:tcPr>
            <w:tcW w:w="7222" w:type="dxa"/>
          </w:tcPr>
          <w:p w:rsidR="005D3B2C" w:rsidRPr="005D3B2C" w:rsidRDefault="005D3B2C" w:rsidP="005D3B2C">
            <w:pPr>
              <w:rPr>
                <w:rFonts w:eastAsiaTheme="minorHAnsi"/>
                <w:lang w:eastAsia="en-GB"/>
              </w:rPr>
            </w:pPr>
            <w:r w:rsidRPr="005D3B2C">
              <w:t xml:space="preserve">Clarification is needed which additional TDD band(s) </w:t>
            </w:r>
            <w:proofErr w:type="gramStart"/>
            <w:r w:rsidRPr="005D3B2C">
              <w:t>is(</w:t>
            </w:r>
            <w:proofErr w:type="gramEnd"/>
            <w:r w:rsidRPr="005D3B2C">
              <w:t>are) in question, prefer case by case  approach to be on the safe side.</w:t>
            </w:r>
          </w:p>
        </w:tc>
      </w:tr>
      <w:tr w:rsidR="005D3B2C" w:rsidRPr="005D3B2C" w:rsidTr="00630503">
        <w:tc>
          <w:tcPr>
            <w:tcW w:w="1555" w:type="dxa"/>
          </w:tcPr>
          <w:p w:rsidR="005D3B2C" w:rsidRPr="005D3B2C" w:rsidRDefault="005D3B2C" w:rsidP="005D3B2C">
            <w:r w:rsidRPr="005D3B2C">
              <w:t>T-Mobile US</w:t>
            </w:r>
          </w:p>
        </w:tc>
        <w:tc>
          <w:tcPr>
            <w:tcW w:w="7222" w:type="dxa"/>
          </w:tcPr>
          <w:p w:rsidR="005D3B2C" w:rsidRPr="005D3B2C" w:rsidRDefault="005D3B2C" w:rsidP="005D3B2C">
            <w:pPr>
              <w:rPr>
                <w:rFonts w:eastAsiaTheme="minorHAnsi"/>
                <w:lang w:eastAsia="en-GB"/>
              </w:rPr>
            </w:pPr>
            <w:r w:rsidRPr="005D3B2C">
              <w:t>Since the issue of adding the 7.5 kHz UL shift for TDD bands and potential NBC issues has been discussed over and over for the last year and a half, we’d like to propose a solution to this issue so that we don’t have to have the same discussion every time there is interest in DSS in a TDD band.</w:t>
            </w:r>
          </w:p>
          <w:p w:rsidR="005D3B2C" w:rsidRPr="005D3B2C" w:rsidRDefault="005D3B2C" w:rsidP="005D3B2C">
            <w:r w:rsidRPr="005D3B2C">
              <w:t> </w:t>
            </w:r>
          </w:p>
          <w:p w:rsidR="005D3B2C" w:rsidRPr="005D3B2C" w:rsidRDefault="005D3B2C" w:rsidP="005D3B2C">
            <w:r w:rsidRPr="005D3B2C">
              <w:t xml:space="preserve">Our understanding is that the potential NBC issue is that the UE </w:t>
            </w:r>
            <w:proofErr w:type="spellStart"/>
            <w:r w:rsidRPr="005D3B2C">
              <w:t>behavior</w:t>
            </w:r>
            <w:proofErr w:type="spellEnd"/>
            <w:r w:rsidRPr="005D3B2C">
              <w:t xml:space="preserve"> is undefined in 38.331 for the condition where a UE receives the 7.5 kHz UL Shift IE in the SIB, but the UE does not support the 7.5 kHz UL shift for the band. The UE may attempt to transmit without the shift which could cause problems serious interference or on the uplink. If there are no legacy UEs that support the 15 kHz SCS but not the 7.5 kHz UL shift for the band, there is no problem. But if there are legacy UEs that support the 15 kHz SCS but not the 7.5 kHz UL shift, then there is a problem.</w:t>
            </w:r>
          </w:p>
          <w:p w:rsidR="005D3B2C" w:rsidRPr="005D3B2C" w:rsidRDefault="005D3B2C" w:rsidP="005D3B2C">
            <w:r w:rsidRPr="005D3B2C">
              <w:t> </w:t>
            </w:r>
          </w:p>
          <w:p w:rsidR="005D3B2C" w:rsidRPr="005D3B2C" w:rsidRDefault="005D3B2C" w:rsidP="005D3B2C">
            <w:r w:rsidRPr="005D3B2C">
              <w:t>One way to solve this problem is to bar legacy UEs that do not support the UL shift from transmitting by using new NS values that a legacy UE does not support. 38.331 is clear that a UE shall consider a cell to be barred if it does not support any of the NS values in the SIB.</w:t>
            </w:r>
            <w:r w:rsidRPr="005D3B2C">
              <w:rPr>
                <w:rStyle w:val="apple-converted-space"/>
              </w:rPr>
              <w:t> </w:t>
            </w:r>
          </w:p>
          <w:p w:rsidR="005D3B2C" w:rsidRPr="005D3B2C" w:rsidRDefault="005D3B2C" w:rsidP="005D3B2C">
            <w:r w:rsidRPr="005D3B2C">
              <w:t> </w:t>
            </w:r>
          </w:p>
          <w:p w:rsidR="005D3B2C" w:rsidRPr="005D3B2C" w:rsidRDefault="005D3B2C" w:rsidP="004763D1">
            <w:r w:rsidRPr="005D3B2C">
              <w:t>We drafted a contribution for this meeting on this topic, but didn’t submit it because we thought this might be more of a RAN4 topic. Since there is interest in finding a common approach, we would like to propose the solution</w:t>
            </w:r>
            <w:r w:rsidR="004763D1">
              <w:t xml:space="preserve"> described above in more detail</w:t>
            </w:r>
          </w:p>
        </w:tc>
      </w:tr>
      <w:tr w:rsidR="005D3B2C" w:rsidRPr="005D3B2C" w:rsidTr="00630503">
        <w:tc>
          <w:tcPr>
            <w:tcW w:w="1555" w:type="dxa"/>
          </w:tcPr>
          <w:p w:rsidR="005D3B2C" w:rsidRPr="005D3B2C" w:rsidRDefault="005D3B2C" w:rsidP="005D3B2C">
            <w:r w:rsidRPr="005D3B2C">
              <w:t>Apple</w:t>
            </w:r>
          </w:p>
        </w:tc>
        <w:tc>
          <w:tcPr>
            <w:tcW w:w="7222" w:type="dxa"/>
          </w:tcPr>
          <w:p w:rsidR="005D3B2C" w:rsidRPr="005D3B2C" w:rsidRDefault="005D3B2C" w:rsidP="005D3B2C">
            <w:pPr>
              <w:rPr>
                <w:rFonts w:eastAsiaTheme="minorHAnsi"/>
                <w:lang w:eastAsia="en-GB"/>
              </w:rPr>
            </w:pPr>
            <w:r w:rsidRPr="005D3B2C">
              <w:t xml:space="preserve">Answering first bullet 3, we encourage companies to consider a common solution/approach for enabling UL shift for NR TDD bands so that we do not have same </w:t>
            </w:r>
            <w:r w:rsidRPr="005D3B2C">
              <w:lastRenderedPageBreak/>
              <w:t xml:space="preserve">painful discussions over and over again, as also commented by T-Mobile. If this approach works for all FDD and SUL bands saving a lot of time, we could not help but wonder why it would not work for NR TDD bands and why we need to enter case-by-case mode. Somewhat answering Huawei concern, our intention is of course not to mandate UL shift </w:t>
            </w:r>
            <w:proofErr w:type="spellStart"/>
            <w:r w:rsidRPr="005D3B2C">
              <w:t>fo</w:t>
            </w:r>
            <w:proofErr w:type="spellEnd"/>
            <w:r w:rsidRPr="005D3B2C">
              <w:t xml:space="preserve"> NR TDD bands starting from Rel-15, but consider instead mandating this functionality from e.g. Rel-16/17 for all TDD bands. Even if we conclude that case-by-case approach is inevitable, which we would like to avoid as commented earlier, then it would be nice to agree at least a common approach how to enable UL shift, e.g. mandating it starting from </w:t>
            </w:r>
            <w:proofErr w:type="spellStart"/>
            <w:r w:rsidRPr="005D3B2C">
              <w:t>Rel</w:t>
            </w:r>
            <w:proofErr w:type="spellEnd"/>
            <w:r w:rsidRPr="005D3B2C">
              <w:t>-X and consider a release independent approach and/or a NOTE for earlier releases.  Accounting for what we did for band n40, the easiest approach would be to follow the same way of doing things because it will align the specification changes (see also our comments below).</w:t>
            </w:r>
          </w:p>
          <w:p w:rsidR="005D3B2C" w:rsidRPr="005D3B2C" w:rsidRDefault="005D3B2C" w:rsidP="005D3B2C">
            <w:r w:rsidRPr="005D3B2C">
              <w:t>Referring to the T-Mobile comment, TS 38.331 indeed does not say anything about UE behaviour when it does not support UL shift but camps on a cell broadcasting UL shift.</w:t>
            </w:r>
          </w:p>
        </w:tc>
      </w:tr>
      <w:tr w:rsidR="005D3B2C" w:rsidRPr="005D3B2C" w:rsidTr="00630503">
        <w:tc>
          <w:tcPr>
            <w:tcW w:w="1555" w:type="dxa"/>
          </w:tcPr>
          <w:p w:rsidR="005D3B2C" w:rsidRPr="005D3B2C" w:rsidRDefault="005D3B2C" w:rsidP="005D3B2C">
            <w:r w:rsidRPr="005D3B2C">
              <w:lastRenderedPageBreak/>
              <w:t>Vodafone</w:t>
            </w:r>
          </w:p>
        </w:tc>
        <w:tc>
          <w:tcPr>
            <w:tcW w:w="7222" w:type="dxa"/>
          </w:tcPr>
          <w:p w:rsidR="005D3B2C" w:rsidRPr="005D3B2C" w:rsidRDefault="005D3B2C" w:rsidP="005D3B2C">
            <w:pPr>
              <w:rPr>
                <w:lang w:eastAsia="en-US"/>
              </w:rPr>
            </w:pPr>
            <w:r w:rsidRPr="005D3B2C">
              <w:rPr>
                <w:lang w:eastAsia="en-US"/>
              </w:rPr>
              <w:t>We think this should be discussed for future bands (not including n38), given that completing the DSS work in a timely manner is important. Maybe some principles could be put in place for different scenarios.</w:t>
            </w:r>
          </w:p>
        </w:tc>
      </w:tr>
      <w:tr w:rsidR="005D3B2C" w:rsidRPr="005D3B2C" w:rsidTr="00630503">
        <w:tc>
          <w:tcPr>
            <w:tcW w:w="1555" w:type="dxa"/>
          </w:tcPr>
          <w:p w:rsidR="005D3B2C" w:rsidRPr="005D3B2C" w:rsidRDefault="005D3B2C" w:rsidP="005D3B2C">
            <w:r w:rsidRPr="005D3B2C">
              <w:t>Ericsson</w:t>
            </w:r>
          </w:p>
        </w:tc>
        <w:tc>
          <w:tcPr>
            <w:tcW w:w="7222" w:type="dxa"/>
          </w:tcPr>
          <w:p w:rsidR="005D3B2C" w:rsidRPr="005D3B2C" w:rsidRDefault="005D3B2C" w:rsidP="005D3B2C">
            <w:pPr>
              <w:rPr>
                <w:lang w:val="en-US" w:eastAsia="en-US"/>
              </w:rPr>
            </w:pPr>
            <w:r w:rsidRPr="005D3B2C">
              <w:rPr>
                <w:lang w:val="en-US" w:eastAsia="en-US"/>
              </w:rPr>
              <w:t xml:space="preserve">Regarding the future, think case by case is probably better as it depends on the situation with legacy. Regarding the proposal to use NS values to bar UEs, one question what happens then if more than one NS value is </w:t>
            </w:r>
            <w:r w:rsidR="004763D1">
              <w:rPr>
                <w:lang w:val="en-US" w:eastAsia="en-US"/>
              </w:rPr>
              <w:t>signaled</w:t>
            </w:r>
            <w:r w:rsidRPr="005D3B2C">
              <w:rPr>
                <w:lang w:val="en-US" w:eastAsia="en-US"/>
              </w:rPr>
              <w:t>? Isn’t the behavior to follow the first N</w:t>
            </w:r>
            <w:r w:rsidR="004763D1">
              <w:rPr>
                <w:lang w:val="en-US" w:eastAsia="en-US"/>
              </w:rPr>
              <w:t>S it supports and ignore others</w:t>
            </w:r>
            <w:r w:rsidRPr="005D3B2C">
              <w:rPr>
                <w:lang w:val="en-US" w:eastAsia="en-US"/>
              </w:rPr>
              <w:t>?</w:t>
            </w:r>
          </w:p>
        </w:tc>
      </w:tr>
      <w:tr w:rsidR="005D3B2C" w:rsidRPr="005D3B2C" w:rsidTr="00630503">
        <w:tc>
          <w:tcPr>
            <w:tcW w:w="1555" w:type="dxa"/>
          </w:tcPr>
          <w:p w:rsidR="005D3B2C" w:rsidRDefault="005D3B2C" w:rsidP="005D3B2C">
            <w:r>
              <w:t xml:space="preserve">Moderator </w:t>
            </w:r>
          </w:p>
        </w:tc>
        <w:tc>
          <w:tcPr>
            <w:tcW w:w="7222" w:type="dxa"/>
          </w:tcPr>
          <w:p w:rsidR="005D3B2C" w:rsidRDefault="005D3B2C" w:rsidP="005D3B2C">
            <w:pPr>
              <w:rPr>
                <w:lang w:val="en-US" w:eastAsia="en-US"/>
              </w:rPr>
            </w:pPr>
            <w:r>
              <w:rPr>
                <w:lang w:val="en-US" w:eastAsia="en-US"/>
              </w:rPr>
              <w:t xml:space="preserve">Response to T-Mobile that there is already </w:t>
            </w:r>
            <w:proofErr w:type="spellStart"/>
            <w:r>
              <w:rPr>
                <w:lang w:val="en-US" w:eastAsia="en-US"/>
              </w:rPr>
              <w:t>signalling</w:t>
            </w:r>
            <w:proofErr w:type="spellEnd"/>
            <w:r>
              <w:rPr>
                <w:lang w:val="en-US" w:eastAsia="en-US"/>
              </w:rPr>
              <w:t xml:space="preserve"> in the system info to indicate whether the shift is configured, so unclear why we need a new </w:t>
            </w:r>
            <w:proofErr w:type="spellStart"/>
            <w:r>
              <w:rPr>
                <w:lang w:val="en-US" w:eastAsia="en-US"/>
              </w:rPr>
              <w:t>signalling</w:t>
            </w:r>
            <w:proofErr w:type="spellEnd"/>
            <w:r>
              <w:rPr>
                <w:lang w:val="en-US" w:eastAsia="en-US"/>
              </w:rPr>
              <w:t xml:space="preserve"> mechanism.</w:t>
            </w:r>
          </w:p>
        </w:tc>
      </w:tr>
    </w:tbl>
    <w:p w:rsidR="005D3B2C" w:rsidRDefault="005D3B2C" w:rsidP="005D3B2C"/>
    <w:p w:rsidR="004763D1" w:rsidRDefault="004763D1" w:rsidP="005D3B2C"/>
    <w:p w:rsidR="004763D1" w:rsidRDefault="00314685" w:rsidP="004763D1">
      <w:pPr>
        <w:pStyle w:val="Heading1"/>
        <w:numPr>
          <w:ilvl w:val="0"/>
          <w:numId w:val="1"/>
        </w:numPr>
      </w:pPr>
      <w:r>
        <w:t>Conclusions</w:t>
      </w:r>
    </w:p>
    <w:p w:rsidR="004763D1" w:rsidRDefault="004763D1" w:rsidP="004763D1">
      <w:pPr>
        <w:rPr>
          <w:lang w:val="en-US"/>
        </w:rPr>
      </w:pPr>
    </w:p>
    <w:p w:rsidR="004763D1" w:rsidRDefault="004763D1" w:rsidP="004763D1">
      <w:pPr>
        <w:rPr>
          <w:lang w:val="en-US"/>
        </w:rPr>
      </w:pPr>
      <w:r>
        <w:rPr>
          <w:lang w:val="en-US"/>
        </w:rPr>
        <w:t>Clear preference stated for Original CRs with 1 company opposing. The issue from the opposing company seems to be more about potential compliance from a UE not supporting</w:t>
      </w:r>
      <w:r w:rsidR="00630948">
        <w:rPr>
          <w:lang w:val="en-US"/>
        </w:rPr>
        <w:t xml:space="preserve"> and the principle</w:t>
      </w:r>
      <w:r>
        <w:rPr>
          <w:lang w:val="en-US"/>
        </w:rPr>
        <w:t xml:space="preserve">, but still unclear that </w:t>
      </w:r>
      <w:r w:rsidR="00630948">
        <w:rPr>
          <w:lang w:val="en-US"/>
        </w:rPr>
        <w:t>there is actually a practical deployment issue</w:t>
      </w:r>
      <w:r>
        <w:rPr>
          <w:lang w:val="en-US"/>
        </w:rPr>
        <w:t>.</w:t>
      </w:r>
      <w:r w:rsidR="00314685">
        <w:rPr>
          <w:lang w:val="en-US"/>
        </w:rPr>
        <w:t xml:space="preserve"> Moderator would prefer to agree those CRs.</w:t>
      </w:r>
      <w:bookmarkStart w:id="1" w:name="_GoBack"/>
      <w:bookmarkEnd w:id="1"/>
    </w:p>
    <w:p w:rsidR="00630948" w:rsidRDefault="00630948" w:rsidP="004763D1">
      <w:pPr>
        <w:rPr>
          <w:lang w:val="en-US"/>
        </w:rPr>
      </w:pPr>
    </w:p>
    <w:p w:rsidR="00630948" w:rsidRDefault="00630948" w:rsidP="004763D1">
      <w:pPr>
        <w:rPr>
          <w:lang w:val="en-US"/>
        </w:rPr>
      </w:pPr>
      <w:r>
        <w:rPr>
          <w:lang w:val="en-US"/>
        </w:rPr>
        <w:t>Most companies did indicate that they could potentially discuss an alternative with a note, despite this being expressed</w:t>
      </w:r>
      <w:r w:rsidR="00A86F62">
        <w:rPr>
          <w:lang w:val="en-US"/>
        </w:rPr>
        <w:t xml:space="preserve"> by the majority</w:t>
      </w:r>
      <w:r>
        <w:rPr>
          <w:lang w:val="en-US"/>
        </w:rPr>
        <w:t xml:space="preserve"> as not desired.</w:t>
      </w:r>
      <w:r w:rsidR="0087770B">
        <w:rPr>
          <w:lang w:val="en-US"/>
        </w:rPr>
        <w:t xml:space="preserve"> One company expressed a clear preference for that approach.</w:t>
      </w:r>
    </w:p>
    <w:p w:rsidR="00401D50" w:rsidRDefault="00401D50" w:rsidP="004763D1">
      <w:pPr>
        <w:rPr>
          <w:lang w:val="en-US"/>
        </w:rPr>
      </w:pPr>
    </w:p>
    <w:p w:rsidR="00401D50" w:rsidRDefault="00401D50" w:rsidP="004763D1">
      <w:pPr>
        <w:rPr>
          <w:lang w:val="en-US"/>
        </w:rPr>
      </w:pPr>
      <w:r>
        <w:rPr>
          <w:lang w:val="en-US"/>
        </w:rPr>
        <w:t>Majority of companies were not clear that a common solution would be applicable for all TDD bands, and a feeling that it would need some case-by-case discussion.</w:t>
      </w:r>
    </w:p>
    <w:p w:rsidR="004763D1" w:rsidRDefault="004763D1" w:rsidP="004763D1">
      <w:pPr>
        <w:rPr>
          <w:lang w:val="en-US"/>
        </w:rPr>
      </w:pPr>
    </w:p>
    <w:sectPr w:rsidR="004763D1" w:rsidSect="00E07DF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AA0" w:rsidRDefault="00826AA0" w:rsidP="005D3B2C"/>
  </w:endnote>
  <w:endnote w:type="continuationSeparator" w:id="0">
    <w:p w:rsidR="00826AA0" w:rsidRDefault="00826AA0" w:rsidP="005D3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21" w:rsidRDefault="00EC7621" w:rsidP="005D3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21" w:rsidRDefault="00EC7621" w:rsidP="005D3B2C">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df844cc5a11e4da96f7a57d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C7621" w:rsidRPr="00EC7621" w:rsidRDefault="00EC7621" w:rsidP="005D3B2C"/>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f844cc5a11e4da96f7a57de"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" o:allowincell="f" filled="f" stroked="f" strokeweight=".5pt">
              <v:textbox inset="20pt,0,,0">
                <w:txbxContent>
                  <w:p w:rsidR="00EC7621" w:rsidRPr="00EC7621" w:rsidRDefault="00EC7621" w:rsidP="005D3B2C"/>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21" w:rsidRDefault="00EC7621" w:rsidP="005D3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AA0" w:rsidRDefault="00826AA0" w:rsidP="005D3B2C"/>
  </w:footnote>
  <w:footnote w:type="continuationSeparator" w:id="0">
    <w:p w:rsidR="00826AA0" w:rsidRDefault="00826AA0" w:rsidP="005D3B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21" w:rsidRDefault="00EC7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21" w:rsidRDefault="00EC76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21" w:rsidRDefault="00EC7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D3E15"/>
    <w:multiLevelType w:val="hybridMultilevel"/>
    <w:tmpl w:val="05E80E1E"/>
    <w:lvl w:ilvl="0" w:tplc="04CC73C6">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2C34E3"/>
    <w:multiLevelType w:val="hybridMultilevel"/>
    <w:tmpl w:val="E806E7DA"/>
    <w:lvl w:ilvl="0" w:tplc="DE169CCC">
      <w:start w:val="1"/>
      <w:numFmt w:val="decimal"/>
      <w:lvlText w:val="%1)"/>
      <w:lvlJc w:val="left"/>
      <w:pPr>
        <w:ind w:left="709" w:hanging="360"/>
      </w:pPr>
      <w:rPr>
        <w:rFonts w:hint="default"/>
      </w:rPr>
    </w:lvl>
    <w:lvl w:ilvl="1" w:tplc="08090019">
      <w:start w:val="1"/>
      <w:numFmt w:val="lowerLetter"/>
      <w:lvlText w:val="%2."/>
      <w:lvlJc w:val="left"/>
      <w:pPr>
        <w:ind w:left="1429" w:hanging="360"/>
      </w:pPr>
    </w:lvl>
    <w:lvl w:ilvl="2" w:tplc="0809001B" w:tentative="1">
      <w:start w:val="1"/>
      <w:numFmt w:val="lowerRoman"/>
      <w:lvlText w:val="%3."/>
      <w:lvlJc w:val="right"/>
      <w:pPr>
        <w:ind w:left="2149" w:hanging="180"/>
      </w:pPr>
    </w:lvl>
    <w:lvl w:ilvl="3" w:tplc="0809000F" w:tentative="1">
      <w:start w:val="1"/>
      <w:numFmt w:val="decimal"/>
      <w:lvlText w:val="%4."/>
      <w:lvlJc w:val="left"/>
      <w:pPr>
        <w:ind w:left="2869" w:hanging="360"/>
      </w:pPr>
    </w:lvl>
    <w:lvl w:ilvl="4" w:tplc="08090019" w:tentative="1">
      <w:start w:val="1"/>
      <w:numFmt w:val="lowerLetter"/>
      <w:lvlText w:val="%5."/>
      <w:lvlJc w:val="left"/>
      <w:pPr>
        <w:ind w:left="3589" w:hanging="360"/>
      </w:pPr>
    </w:lvl>
    <w:lvl w:ilvl="5" w:tplc="0809001B" w:tentative="1">
      <w:start w:val="1"/>
      <w:numFmt w:val="lowerRoman"/>
      <w:lvlText w:val="%6."/>
      <w:lvlJc w:val="right"/>
      <w:pPr>
        <w:ind w:left="4309" w:hanging="180"/>
      </w:pPr>
    </w:lvl>
    <w:lvl w:ilvl="6" w:tplc="0809000F" w:tentative="1">
      <w:start w:val="1"/>
      <w:numFmt w:val="decimal"/>
      <w:lvlText w:val="%7."/>
      <w:lvlJc w:val="left"/>
      <w:pPr>
        <w:ind w:left="5029" w:hanging="360"/>
      </w:pPr>
    </w:lvl>
    <w:lvl w:ilvl="7" w:tplc="08090019" w:tentative="1">
      <w:start w:val="1"/>
      <w:numFmt w:val="lowerLetter"/>
      <w:lvlText w:val="%8."/>
      <w:lvlJc w:val="left"/>
      <w:pPr>
        <w:ind w:left="5749" w:hanging="360"/>
      </w:pPr>
    </w:lvl>
    <w:lvl w:ilvl="8" w:tplc="0809001B" w:tentative="1">
      <w:start w:val="1"/>
      <w:numFmt w:val="lowerRoman"/>
      <w:lvlText w:val="%9."/>
      <w:lvlJc w:val="right"/>
      <w:pPr>
        <w:ind w:left="6469" w:hanging="180"/>
      </w:pPr>
    </w:lvl>
  </w:abstractNum>
  <w:abstractNum w:abstractNumId="2" w15:restartNumberingAfterBreak="0">
    <w:nsid w:val="16CB31ED"/>
    <w:multiLevelType w:val="hybridMultilevel"/>
    <w:tmpl w:val="1FD0E458"/>
    <w:lvl w:ilvl="0" w:tplc="9D5AF884">
      <w:start w:val="1"/>
      <w:numFmt w:val="bullet"/>
      <w:lvlText w:val="•"/>
      <w:lvlJc w:val="left"/>
      <w:pPr>
        <w:tabs>
          <w:tab w:val="num" w:pos="720"/>
        </w:tabs>
        <w:ind w:left="720" w:hanging="360"/>
      </w:pPr>
      <w:rPr>
        <w:rFonts w:ascii="Arial" w:hAnsi="Arial" w:hint="default"/>
      </w:rPr>
    </w:lvl>
    <w:lvl w:ilvl="1" w:tplc="A9A6E382">
      <w:numFmt w:val="bullet"/>
      <w:lvlText w:val="–"/>
      <w:lvlJc w:val="left"/>
      <w:pPr>
        <w:tabs>
          <w:tab w:val="num" w:pos="1440"/>
        </w:tabs>
        <w:ind w:left="1440" w:hanging="360"/>
      </w:pPr>
      <w:rPr>
        <w:rFonts w:ascii="Arial" w:hAnsi="Arial" w:hint="default"/>
      </w:rPr>
    </w:lvl>
    <w:lvl w:ilvl="2" w:tplc="6CD6DEAE">
      <w:start w:val="1"/>
      <w:numFmt w:val="bullet"/>
      <w:lvlText w:val="•"/>
      <w:lvlJc w:val="left"/>
      <w:pPr>
        <w:tabs>
          <w:tab w:val="num" w:pos="2160"/>
        </w:tabs>
        <w:ind w:left="2160" w:hanging="360"/>
      </w:pPr>
      <w:rPr>
        <w:rFonts w:ascii="Arial" w:hAnsi="Arial" w:hint="default"/>
      </w:rPr>
    </w:lvl>
    <w:lvl w:ilvl="3" w:tplc="3796C5A2" w:tentative="1">
      <w:start w:val="1"/>
      <w:numFmt w:val="bullet"/>
      <w:lvlText w:val="•"/>
      <w:lvlJc w:val="left"/>
      <w:pPr>
        <w:tabs>
          <w:tab w:val="num" w:pos="2880"/>
        </w:tabs>
        <w:ind w:left="2880" w:hanging="360"/>
      </w:pPr>
      <w:rPr>
        <w:rFonts w:ascii="Arial" w:hAnsi="Arial" w:hint="default"/>
      </w:rPr>
    </w:lvl>
    <w:lvl w:ilvl="4" w:tplc="585C5352" w:tentative="1">
      <w:start w:val="1"/>
      <w:numFmt w:val="bullet"/>
      <w:lvlText w:val="•"/>
      <w:lvlJc w:val="left"/>
      <w:pPr>
        <w:tabs>
          <w:tab w:val="num" w:pos="3600"/>
        </w:tabs>
        <w:ind w:left="3600" w:hanging="360"/>
      </w:pPr>
      <w:rPr>
        <w:rFonts w:ascii="Arial" w:hAnsi="Arial" w:hint="default"/>
      </w:rPr>
    </w:lvl>
    <w:lvl w:ilvl="5" w:tplc="E3C0E9A8" w:tentative="1">
      <w:start w:val="1"/>
      <w:numFmt w:val="bullet"/>
      <w:lvlText w:val="•"/>
      <w:lvlJc w:val="left"/>
      <w:pPr>
        <w:tabs>
          <w:tab w:val="num" w:pos="4320"/>
        </w:tabs>
        <w:ind w:left="4320" w:hanging="360"/>
      </w:pPr>
      <w:rPr>
        <w:rFonts w:ascii="Arial" w:hAnsi="Arial" w:hint="default"/>
      </w:rPr>
    </w:lvl>
    <w:lvl w:ilvl="6" w:tplc="931E5784" w:tentative="1">
      <w:start w:val="1"/>
      <w:numFmt w:val="bullet"/>
      <w:lvlText w:val="•"/>
      <w:lvlJc w:val="left"/>
      <w:pPr>
        <w:tabs>
          <w:tab w:val="num" w:pos="5040"/>
        </w:tabs>
        <w:ind w:left="5040" w:hanging="360"/>
      </w:pPr>
      <w:rPr>
        <w:rFonts w:ascii="Arial" w:hAnsi="Arial" w:hint="default"/>
      </w:rPr>
    </w:lvl>
    <w:lvl w:ilvl="7" w:tplc="D7C64F16" w:tentative="1">
      <w:start w:val="1"/>
      <w:numFmt w:val="bullet"/>
      <w:lvlText w:val="•"/>
      <w:lvlJc w:val="left"/>
      <w:pPr>
        <w:tabs>
          <w:tab w:val="num" w:pos="5760"/>
        </w:tabs>
        <w:ind w:left="5760" w:hanging="360"/>
      </w:pPr>
      <w:rPr>
        <w:rFonts w:ascii="Arial" w:hAnsi="Arial" w:hint="default"/>
      </w:rPr>
    </w:lvl>
    <w:lvl w:ilvl="8" w:tplc="633EAD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F07056"/>
    <w:multiLevelType w:val="hybridMultilevel"/>
    <w:tmpl w:val="DA98873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B2520DA"/>
    <w:multiLevelType w:val="hybridMultilevel"/>
    <w:tmpl w:val="E670F4D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4D57B23"/>
    <w:multiLevelType w:val="hybridMultilevel"/>
    <w:tmpl w:val="6198A1B0"/>
    <w:lvl w:ilvl="0" w:tplc="08090003">
      <w:start w:val="1"/>
      <w:numFmt w:val="bullet"/>
      <w:lvlText w:val="o"/>
      <w:lvlJc w:val="left"/>
      <w:pPr>
        <w:ind w:left="360" w:hanging="360"/>
      </w:pPr>
      <w:rPr>
        <w:rFonts w:ascii="Courier New" w:hAnsi="Courier New" w:cs="Courier New"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773630D"/>
    <w:multiLevelType w:val="hybridMultilevel"/>
    <w:tmpl w:val="660EB2FC"/>
    <w:lvl w:ilvl="0" w:tplc="072A4568">
      <w:start w:val="1"/>
      <w:numFmt w:val="bullet"/>
      <w:lvlText w:val="•"/>
      <w:lvlJc w:val="left"/>
      <w:pPr>
        <w:tabs>
          <w:tab w:val="num" w:pos="720"/>
        </w:tabs>
        <w:ind w:left="720" w:hanging="360"/>
      </w:pPr>
      <w:rPr>
        <w:rFonts w:ascii="Arial" w:hAnsi="Arial" w:hint="default"/>
      </w:rPr>
    </w:lvl>
    <w:lvl w:ilvl="1" w:tplc="016AA194">
      <w:numFmt w:val="bullet"/>
      <w:lvlText w:val="–"/>
      <w:lvlJc w:val="left"/>
      <w:pPr>
        <w:tabs>
          <w:tab w:val="num" w:pos="1440"/>
        </w:tabs>
        <w:ind w:left="1440" w:hanging="360"/>
      </w:pPr>
      <w:rPr>
        <w:rFonts w:ascii="Arial" w:hAnsi="Arial" w:hint="default"/>
      </w:rPr>
    </w:lvl>
    <w:lvl w:ilvl="2" w:tplc="5386B570" w:tentative="1">
      <w:start w:val="1"/>
      <w:numFmt w:val="bullet"/>
      <w:lvlText w:val="•"/>
      <w:lvlJc w:val="left"/>
      <w:pPr>
        <w:tabs>
          <w:tab w:val="num" w:pos="2160"/>
        </w:tabs>
        <w:ind w:left="2160" w:hanging="360"/>
      </w:pPr>
      <w:rPr>
        <w:rFonts w:ascii="Arial" w:hAnsi="Arial" w:hint="default"/>
      </w:rPr>
    </w:lvl>
    <w:lvl w:ilvl="3" w:tplc="FD6A734E" w:tentative="1">
      <w:start w:val="1"/>
      <w:numFmt w:val="bullet"/>
      <w:lvlText w:val="•"/>
      <w:lvlJc w:val="left"/>
      <w:pPr>
        <w:tabs>
          <w:tab w:val="num" w:pos="2880"/>
        </w:tabs>
        <w:ind w:left="2880" w:hanging="360"/>
      </w:pPr>
      <w:rPr>
        <w:rFonts w:ascii="Arial" w:hAnsi="Arial" w:hint="default"/>
      </w:rPr>
    </w:lvl>
    <w:lvl w:ilvl="4" w:tplc="F2CAED24" w:tentative="1">
      <w:start w:val="1"/>
      <w:numFmt w:val="bullet"/>
      <w:lvlText w:val="•"/>
      <w:lvlJc w:val="left"/>
      <w:pPr>
        <w:tabs>
          <w:tab w:val="num" w:pos="3600"/>
        </w:tabs>
        <w:ind w:left="3600" w:hanging="360"/>
      </w:pPr>
      <w:rPr>
        <w:rFonts w:ascii="Arial" w:hAnsi="Arial" w:hint="default"/>
      </w:rPr>
    </w:lvl>
    <w:lvl w:ilvl="5" w:tplc="45FE92E0" w:tentative="1">
      <w:start w:val="1"/>
      <w:numFmt w:val="bullet"/>
      <w:lvlText w:val="•"/>
      <w:lvlJc w:val="left"/>
      <w:pPr>
        <w:tabs>
          <w:tab w:val="num" w:pos="4320"/>
        </w:tabs>
        <w:ind w:left="4320" w:hanging="360"/>
      </w:pPr>
      <w:rPr>
        <w:rFonts w:ascii="Arial" w:hAnsi="Arial" w:hint="default"/>
      </w:rPr>
    </w:lvl>
    <w:lvl w:ilvl="6" w:tplc="0EB249BA" w:tentative="1">
      <w:start w:val="1"/>
      <w:numFmt w:val="bullet"/>
      <w:lvlText w:val="•"/>
      <w:lvlJc w:val="left"/>
      <w:pPr>
        <w:tabs>
          <w:tab w:val="num" w:pos="5040"/>
        </w:tabs>
        <w:ind w:left="5040" w:hanging="360"/>
      </w:pPr>
      <w:rPr>
        <w:rFonts w:ascii="Arial" w:hAnsi="Arial" w:hint="default"/>
      </w:rPr>
    </w:lvl>
    <w:lvl w:ilvl="7" w:tplc="C25A7808" w:tentative="1">
      <w:start w:val="1"/>
      <w:numFmt w:val="bullet"/>
      <w:lvlText w:val="•"/>
      <w:lvlJc w:val="left"/>
      <w:pPr>
        <w:tabs>
          <w:tab w:val="num" w:pos="5760"/>
        </w:tabs>
        <w:ind w:left="5760" w:hanging="360"/>
      </w:pPr>
      <w:rPr>
        <w:rFonts w:ascii="Arial" w:hAnsi="Arial" w:hint="default"/>
      </w:rPr>
    </w:lvl>
    <w:lvl w:ilvl="8" w:tplc="4B0C96C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910969"/>
    <w:multiLevelType w:val="hybridMultilevel"/>
    <w:tmpl w:val="5A084064"/>
    <w:lvl w:ilvl="0" w:tplc="7B28345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250AC"/>
    <w:multiLevelType w:val="hybridMultilevel"/>
    <w:tmpl w:val="B380AD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0F4F2E"/>
    <w:multiLevelType w:val="hybridMultilevel"/>
    <w:tmpl w:val="FE5CC26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BE90106"/>
    <w:multiLevelType w:val="hybridMultilevel"/>
    <w:tmpl w:val="7BD2C9E6"/>
    <w:lvl w:ilvl="0" w:tplc="9914019E">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2C7A82"/>
    <w:multiLevelType w:val="hybridMultilevel"/>
    <w:tmpl w:val="4A2A8BA8"/>
    <w:lvl w:ilvl="0" w:tplc="1AC4398E">
      <w:start w:val="1"/>
      <w:numFmt w:val="bullet"/>
      <w:lvlText w:val="•"/>
      <w:lvlJc w:val="left"/>
      <w:pPr>
        <w:tabs>
          <w:tab w:val="num" w:pos="720"/>
        </w:tabs>
        <w:ind w:left="720" w:hanging="360"/>
      </w:pPr>
      <w:rPr>
        <w:rFonts w:ascii="Arial" w:hAnsi="Arial" w:hint="default"/>
      </w:rPr>
    </w:lvl>
    <w:lvl w:ilvl="1" w:tplc="4EDE2736" w:tentative="1">
      <w:start w:val="1"/>
      <w:numFmt w:val="bullet"/>
      <w:lvlText w:val="•"/>
      <w:lvlJc w:val="left"/>
      <w:pPr>
        <w:tabs>
          <w:tab w:val="num" w:pos="1440"/>
        </w:tabs>
        <w:ind w:left="1440" w:hanging="360"/>
      </w:pPr>
      <w:rPr>
        <w:rFonts w:ascii="Arial" w:hAnsi="Arial" w:hint="default"/>
      </w:rPr>
    </w:lvl>
    <w:lvl w:ilvl="2" w:tplc="95B24692" w:tentative="1">
      <w:start w:val="1"/>
      <w:numFmt w:val="bullet"/>
      <w:lvlText w:val="•"/>
      <w:lvlJc w:val="left"/>
      <w:pPr>
        <w:tabs>
          <w:tab w:val="num" w:pos="2160"/>
        </w:tabs>
        <w:ind w:left="2160" w:hanging="360"/>
      </w:pPr>
      <w:rPr>
        <w:rFonts w:ascii="Arial" w:hAnsi="Arial" w:hint="default"/>
      </w:rPr>
    </w:lvl>
    <w:lvl w:ilvl="3" w:tplc="ACE8C1BC" w:tentative="1">
      <w:start w:val="1"/>
      <w:numFmt w:val="bullet"/>
      <w:lvlText w:val="•"/>
      <w:lvlJc w:val="left"/>
      <w:pPr>
        <w:tabs>
          <w:tab w:val="num" w:pos="2880"/>
        </w:tabs>
        <w:ind w:left="2880" w:hanging="360"/>
      </w:pPr>
      <w:rPr>
        <w:rFonts w:ascii="Arial" w:hAnsi="Arial" w:hint="default"/>
      </w:rPr>
    </w:lvl>
    <w:lvl w:ilvl="4" w:tplc="F0AA6D04" w:tentative="1">
      <w:start w:val="1"/>
      <w:numFmt w:val="bullet"/>
      <w:lvlText w:val="•"/>
      <w:lvlJc w:val="left"/>
      <w:pPr>
        <w:tabs>
          <w:tab w:val="num" w:pos="3600"/>
        </w:tabs>
        <w:ind w:left="3600" w:hanging="360"/>
      </w:pPr>
      <w:rPr>
        <w:rFonts w:ascii="Arial" w:hAnsi="Arial" w:hint="default"/>
      </w:rPr>
    </w:lvl>
    <w:lvl w:ilvl="5" w:tplc="953A5AA0" w:tentative="1">
      <w:start w:val="1"/>
      <w:numFmt w:val="bullet"/>
      <w:lvlText w:val="•"/>
      <w:lvlJc w:val="left"/>
      <w:pPr>
        <w:tabs>
          <w:tab w:val="num" w:pos="4320"/>
        </w:tabs>
        <w:ind w:left="4320" w:hanging="360"/>
      </w:pPr>
      <w:rPr>
        <w:rFonts w:ascii="Arial" w:hAnsi="Arial" w:hint="default"/>
      </w:rPr>
    </w:lvl>
    <w:lvl w:ilvl="6" w:tplc="1D0CD8F2" w:tentative="1">
      <w:start w:val="1"/>
      <w:numFmt w:val="bullet"/>
      <w:lvlText w:val="•"/>
      <w:lvlJc w:val="left"/>
      <w:pPr>
        <w:tabs>
          <w:tab w:val="num" w:pos="5040"/>
        </w:tabs>
        <w:ind w:left="5040" w:hanging="360"/>
      </w:pPr>
      <w:rPr>
        <w:rFonts w:ascii="Arial" w:hAnsi="Arial" w:hint="default"/>
      </w:rPr>
    </w:lvl>
    <w:lvl w:ilvl="7" w:tplc="334E881A" w:tentative="1">
      <w:start w:val="1"/>
      <w:numFmt w:val="bullet"/>
      <w:lvlText w:val="•"/>
      <w:lvlJc w:val="left"/>
      <w:pPr>
        <w:tabs>
          <w:tab w:val="num" w:pos="5760"/>
        </w:tabs>
        <w:ind w:left="5760" w:hanging="360"/>
      </w:pPr>
      <w:rPr>
        <w:rFonts w:ascii="Arial" w:hAnsi="Arial" w:hint="default"/>
      </w:rPr>
    </w:lvl>
    <w:lvl w:ilvl="8" w:tplc="B324EC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C4C3DEE"/>
    <w:multiLevelType w:val="hybridMultilevel"/>
    <w:tmpl w:val="4CB2D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F507E96"/>
    <w:multiLevelType w:val="hybridMultilevel"/>
    <w:tmpl w:val="65226230"/>
    <w:lvl w:ilvl="0" w:tplc="9CC6C7B8">
      <w:numFmt w:val="bullet"/>
      <w:lvlText w:val="-"/>
      <w:lvlJc w:val="left"/>
      <w:pPr>
        <w:ind w:left="360" w:hanging="360"/>
      </w:pPr>
      <w:rPr>
        <w:rFonts w:ascii="Times New Roman" w:eastAsia="SimSu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8C18FE"/>
    <w:multiLevelType w:val="hybridMultilevel"/>
    <w:tmpl w:val="204C88AE"/>
    <w:lvl w:ilvl="0" w:tplc="E4542EE2">
      <w:start w:val="1"/>
      <w:numFmt w:val="bullet"/>
      <w:lvlText w:val="•"/>
      <w:lvlJc w:val="left"/>
      <w:pPr>
        <w:tabs>
          <w:tab w:val="num" w:pos="360"/>
        </w:tabs>
        <w:ind w:left="360" w:hanging="360"/>
      </w:pPr>
      <w:rPr>
        <w:rFonts w:ascii="Arial" w:hAnsi="Arial" w:hint="default"/>
      </w:rPr>
    </w:lvl>
    <w:lvl w:ilvl="1" w:tplc="19D6A57E">
      <w:numFmt w:val="bullet"/>
      <w:lvlText w:val="•"/>
      <w:lvlJc w:val="left"/>
      <w:pPr>
        <w:tabs>
          <w:tab w:val="num" w:pos="1080"/>
        </w:tabs>
        <w:ind w:left="1080" w:hanging="360"/>
      </w:pPr>
      <w:rPr>
        <w:rFonts w:ascii="Arial" w:hAnsi="Arial" w:hint="default"/>
      </w:rPr>
    </w:lvl>
    <w:lvl w:ilvl="2" w:tplc="4E8E04C8" w:tentative="1">
      <w:start w:val="1"/>
      <w:numFmt w:val="bullet"/>
      <w:lvlText w:val="•"/>
      <w:lvlJc w:val="left"/>
      <w:pPr>
        <w:tabs>
          <w:tab w:val="num" w:pos="1800"/>
        </w:tabs>
        <w:ind w:left="1800" w:hanging="360"/>
      </w:pPr>
      <w:rPr>
        <w:rFonts w:ascii="Arial" w:hAnsi="Arial" w:hint="default"/>
      </w:rPr>
    </w:lvl>
    <w:lvl w:ilvl="3" w:tplc="AAE6EE3C" w:tentative="1">
      <w:start w:val="1"/>
      <w:numFmt w:val="bullet"/>
      <w:lvlText w:val="•"/>
      <w:lvlJc w:val="left"/>
      <w:pPr>
        <w:tabs>
          <w:tab w:val="num" w:pos="2520"/>
        </w:tabs>
        <w:ind w:left="2520" w:hanging="360"/>
      </w:pPr>
      <w:rPr>
        <w:rFonts w:ascii="Arial" w:hAnsi="Arial" w:hint="default"/>
      </w:rPr>
    </w:lvl>
    <w:lvl w:ilvl="4" w:tplc="3250B7E8" w:tentative="1">
      <w:start w:val="1"/>
      <w:numFmt w:val="bullet"/>
      <w:lvlText w:val="•"/>
      <w:lvlJc w:val="left"/>
      <w:pPr>
        <w:tabs>
          <w:tab w:val="num" w:pos="3240"/>
        </w:tabs>
        <w:ind w:left="3240" w:hanging="360"/>
      </w:pPr>
      <w:rPr>
        <w:rFonts w:ascii="Arial" w:hAnsi="Arial" w:hint="default"/>
      </w:rPr>
    </w:lvl>
    <w:lvl w:ilvl="5" w:tplc="B6008B9C" w:tentative="1">
      <w:start w:val="1"/>
      <w:numFmt w:val="bullet"/>
      <w:lvlText w:val="•"/>
      <w:lvlJc w:val="left"/>
      <w:pPr>
        <w:tabs>
          <w:tab w:val="num" w:pos="3960"/>
        </w:tabs>
        <w:ind w:left="3960" w:hanging="360"/>
      </w:pPr>
      <w:rPr>
        <w:rFonts w:ascii="Arial" w:hAnsi="Arial" w:hint="default"/>
      </w:rPr>
    </w:lvl>
    <w:lvl w:ilvl="6" w:tplc="781C4974" w:tentative="1">
      <w:start w:val="1"/>
      <w:numFmt w:val="bullet"/>
      <w:lvlText w:val="•"/>
      <w:lvlJc w:val="left"/>
      <w:pPr>
        <w:tabs>
          <w:tab w:val="num" w:pos="4680"/>
        </w:tabs>
        <w:ind w:left="4680" w:hanging="360"/>
      </w:pPr>
      <w:rPr>
        <w:rFonts w:ascii="Arial" w:hAnsi="Arial" w:hint="default"/>
      </w:rPr>
    </w:lvl>
    <w:lvl w:ilvl="7" w:tplc="7C42525C" w:tentative="1">
      <w:start w:val="1"/>
      <w:numFmt w:val="bullet"/>
      <w:lvlText w:val="•"/>
      <w:lvlJc w:val="left"/>
      <w:pPr>
        <w:tabs>
          <w:tab w:val="num" w:pos="5400"/>
        </w:tabs>
        <w:ind w:left="5400" w:hanging="360"/>
      </w:pPr>
      <w:rPr>
        <w:rFonts w:ascii="Arial" w:hAnsi="Arial" w:hint="default"/>
      </w:rPr>
    </w:lvl>
    <w:lvl w:ilvl="8" w:tplc="248ED4B2"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D1A6799"/>
    <w:multiLevelType w:val="hybridMultilevel"/>
    <w:tmpl w:val="2F043A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A26E2E"/>
    <w:multiLevelType w:val="hybridMultilevel"/>
    <w:tmpl w:val="767A88EC"/>
    <w:lvl w:ilvl="0" w:tplc="E4542EE2">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4402BAA"/>
    <w:multiLevelType w:val="hybridMultilevel"/>
    <w:tmpl w:val="0F88422C"/>
    <w:lvl w:ilvl="0" w:tplc="18D27FB4">
      <w:start w:val="1"/>
      <w:numFmt w:val="decimal"/>
      <w:lvlText w:val="%1)"/>
      <w:lvlJc w:val="left"/>
      <w:pPr>
        <w:ind w:left="720" w:hanging="360"/>
      </w:pPr>
      <w:rPr>
        <w:rFonts w:ascii="Times New Roman" w:eastAsia="SimSu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3635E"/>
    <w:multiLevelType w:val="hybridMultilevel"/>
    <w:tmpl w:val="8D8CCED4"/>
    <w:lvl w:ilvl="0" w:tplc="9664ECA2">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9B7D34"/>
    <w:multiLevelType w:val="multilevel"/>
    <w:tmpl w:val="BA6E8DDC"/>
    <w:lvl w:ilvl="0">
      <w:start w:val="1"/>
      <w:numFmt w:val="decimal"/>
      <w:lvlText w:val="%1."/>
      <w:lvlJc w:val="left"/>
      <w:pPr>
        <w:ind w:left="360" w:hanging="360"/>
      </w:pPr>
      <w:rPr>
        <w:rFonts w:hint="default"/>
      </w:rPr>
    </w:lvl>
    <w:lvl w:ilvl="1">
      <w:start w:val="2"/>
      <w:numFmt w:val="decimal"/>
      <w:isLgl/>
      <w:lvlText w:val="%1.%2"/>
      <w:lvlJc w:val="left"/>
      <w:pPr>
        <w:ind w:left="710" w:hanging="7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F9D02BE"/>
    <w:multiLevelType w:val="hybridMultilevel"/>
    <w:tmpl w:val="2E5E225A"/>
    <w:lvl w:ilvl="0" w:tplc="44BC521A">
      <w:start w:val="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1"/>
  </w:num>
  <w:num w:numId="4">
    <w:abstractNumId w:val="8"/>
  </w:num>
  <w:num w:numId="5">
    <w:abstractNumId w:val="7"/>
  </w:num>
  <w:num w:numId="6">
    <w:abstractNumId w:val="0"/>
  </w:num>
  <w:num w:numId="7">
    <w:abstractNumId w:val="2"/>
  </w:num>
  <w:num w:numId="8">
    <w:abstractNumId w:val="6"/>
  </w:num>
  <w:num w:numId="9">
    <w:abstractNumId w:val="18"/>
  </w:num>
  <w:num w:numId="10">
    <w:abstractNumId w:val="12"/>
  </w:num>
  <w:num w:numId="11">
    <w:abstractNumId w:val="16"/>
  </w:num>
  <w:num w:numId="12">
    <w:abstractNumId w:val="10"/>
  </w:num>
  <w:num w:numId="13">
    <w:abstractNumId w:val="20"/>
  </w:num>
  <w:num w:numId="14">
    <w:abstractNumId w:val="15"/>
  </w:num>
  <w:num w:numId="15">
    <w:abstractNumId w:val="13"/>
  </w:num>
  <w:num w:numId="16">
    <w:abstractNumId w:val="5"/>
  </w:num>
  <w:num w:numId="17">
    <w:abstractNumId w:val="3"/>
  </w:num>
  <w:num w:numId="18">
    <w:abstractNumId w:val="4"/>
  </w:num>
  <w:num w:numId="19">
    <w:abstractNumId w:val="1"/>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D3"/>
    <w:rsid w:val="0001513E"/>
    <w:rsid w:val="00051420"/>
    <w:rsid w:val="0005726D"/>
    <w:rsid w:val="00065260"/>
    <w:rsid w:val="00070DB3"/>
    <w:rsid w:val="00075252"/>
    <w:rsid w:val="000B0DCF"/>
    <w:rsid w:val="000E77D5"/>
    <w:rsid w:val="00147BA6"/>
    <w:rsid w:val="00175E61"/>
    <w:rsid w:val="001B71A1"/>
    <w:rsid w:val="00231D35"/>
    <w:rsid w:val="002416F2"/>
    <w:rsid w:val="00245669"/>
    <w:rsid w:val="00256686"/>
    <w:rsid w:val="002E65DF"/>
    <w:rsid w:val="002F2EC7"/>
    <w:rsid w:val="00314685"/>
    <w:rsid w:val="003213D0"/>
    <w:rsid w:val="00323F6B"/>
    <w:rsid w:val="0032775D"/>
    <w:rsid w:val="003A42DF"/>
    <w:rsid w:val="003A6905"/>
    <w:rsid w:val="003B1D30"/>
    <w:rsid w:val="003C2890"/>
    <w:rsid w:val="003E7281"/>
    <w:rsid w:val="003F0F6F"/>
    <w:rsid w:val="00401D50"/>
    <w:rsid w:val="004071E1"/>
    <w:rsid w:val="00413D47"/>
    <w:rsid w:val="00416961"/>
    <w:rsid w:val="004514C5"/>
    <w:rsid w:val="0045196F"/>
    <w:rsid w:val="00454E84"/>
    <w:rsid w:val="00461A73"/>
    <w:rsid w:val="00463ABD"/>
    <w:rsid w:val="00465ED3"/>
    <w:rsid w:val="004763D1"/>
    <w:rsid w:val="00477EC3"/>
    <w:rsid w:val="004814C2"/>
    <w:rsid w:val="004B4B7F"/>
    <w:rsid w:val="004C0A85"/>
    <w:rsid w:val="004C1AC3"/>
    <w:rsid w:val="004E4FBC"/>
    <w:rsid w:val="004E5F92"/>
    <w:rsid w:val="00525407"/>
    <w:rsid w:val="00573250"/>
    <w:rsid w:val="005D3B2C"/>
    <w:rsid w:val="005E06DF"/>
    <w:rsid w:val="005F3806"/>
    <w:rsid w:val="00610C2F"/>
    <w:rsid w:val="00615AD7"/>
    <w:rsid w:val="00620430"/>
    <w:rsid w:val="006253EF"/>
    <w:rsid w:val="00630948"/>
    <w:rsid w:val="006811C5"/>
    <w:rsid w:val="006D59A1"/>
    <w:rsid w:val="00702819"/>
    <w:rsid w:val="00722E9B"/>
    <w:rsid w:val="00727638"/>
    <w:rsid w:val="0073439A"/>
    <w:rsid w:val="00781207"/>
    <w:rsid w:val="007E4333"/>
    <w:rsid w:val="007E5CE0"/>
    <w:rsid w:val="007F210C"/>
    <w:rsid w:val="0081089F"/>
    <w:rsid w:val="00810A79"/>
    <w:rsid w:val="00825D45"/>
    <w:rsid w:val="00826AA0"/>
    <w:rsid w:val="00864B3A"/>
    <w:rsid w:val="00865FAB"/>
    <w:rsid w:val="0087770B"/>
    <w:rsid w:val="0088321A"/>
    <w:rsid w:val="00885662"/>
    <w:rsid w:val="0089772E"/>
    <w:rsid w:val="008A3154"/>
    <w:rsid w:val="008C465E"/>
    <w:rsid w:val="00946524"/>
    <w:rsid w:val="00967EBF"/>
    <w:rsid w:val="009711D6"/>
    <w:rsid w:val="00981189"/>
    <w:rsid w:val="00983943"/>
    <w:rsid w:val="009A2770"/>
    <w:rsid w:val="009B4500"/>
    <w:rsid w:val="009C37BC"/>
    <w:rsid w:val="009F2B85"/>
    <w:rsid w:val="00A02BA2"/>
    <w:rsid w:val="00A10007"/>
    <w:rsid w:val="00A164AA"/>
    <w:rsid w:val="00A23121"/>
    <w:rsid w:val="00A24896"/>
    <w:rsid w:val="00A33F70"/>
    <w:rsid w:val="00A66836"/>
    <w:rsid w:val="00A83030"/>
    <w:rsid w:val="00A8693F"/>
    <w:rsid w:val="00A86F62"/>
    <w:rsid w:val="00AC5C3E"/>
    <w:rsid w:val="00B0075D"/>
    <w:rsid w:val="00B112FE"/>
    <w:rsid w:val="00B11D15"/>
    <w:rsid w:val="00B34E6C"/>
    <w:rsid w:val="00B44D30"/>
    <w:rsid w:val="00B4783C"/>
    <w:rsid w:val="00B531F7"/>
    <w:rsid w:val="00B70951"/>
    <w:rsid w:val="00B87B72"/>
    <w:rsid w:val="00B9038D"/>
    <w:rsid w:val="00BC575E"/>
    <w:rsid w:val="00BF0F85"/>
    <w:rsid w:val="00BF537F"/>
    <w:rsid w:val="00C11FFE"/>
    <w:rsid w:val="00C21840"/>
    <w:rsid w:val="00C528E8"/>
    <w:rsid w:val="00C86A09"/>
    <w:rsid w:val="00C877BE"/>
    <w:rsid w:val="00C90AB9"/>
    <w:rsid w:val="00C9453A"/>
    <w:rsid w:val="00CB1CA2"/>
    <w:rsid w:val="00CD29BF"/>
    <w:rsid w:val="00D024FF"/>
    <w:rsid w:val="00D31427"/>
    <w:rsid w:val="00D31F13"/>
    <w:rsid w:val="00D33C60"/>
    <w:rsid w:val="00D7584E"/>
    <w:rsid w:val="00D97B93"/>
    <w:rsid w:val="00DB466D"/>
    <w:rsid w:val="00DC5143"/>
    <w:rsid w:val="00DC7287"/>
    <w:rsid w:val="00DF36D5"/>
    <w:rsid w:val="00E074FE"/>
    <w:rsid w:val="00E07DF7"/>
    <w:rsid w:val="00E15E56"/>
    <w:rsid w:val="00E24A17"/>
    <w:rsid w:val="00E25994"/>
    <w:rsid w:val="00E266D3"/>
    <w:rsid w:val="00E33A0D"/>
    <w:rsid w:val="00E65925"/>
    <w:rsid w:val="00E82F90"/>
    <w:rsid w:val="00E92469"/>
    <w:rsid w:val="00EA16AF"/>
    <w:rsid w:val="00EC1DD9"/>
    <w:rsid w:val="00EC2E19"/>
    <w:rsid w:val="00EC7621"/>
    <w:rsid w:val="00EC7F4B"/>
    <w:rsid w:val="00ED1FDD"/>
    <w:rsid w:val="00F3704B"/>
    <w:rsid w:val="00F44E10"/>
    <w:rsid w:val="00F9048E"/>
    <w:rsid w:val="00FA6013"/>
    <w:rsid w:val="00FD22B5"/>
    <w:rsid w:val="00FD5D15"/>
    <w:rsid w:val="00FF1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35FA8"/>
  <w15:docId w15:val="{D540E406-183D-480E-92F4-9722E5C6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n-US" w:bidi="ar-SA"/>
      </w:rPr>
    </w:rPrDefault>
    <w:pPrDefault>
      <w:pPr>
        <w:spacing w:after="1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5D3B2C"/>
    <w:pPr>
      <w:widowControl w:val="0"/>
      <w:spacing w:after="0"/>
    </w:pPr>
    <w:rPr>
      <w:rFonts w:ascii="Times New Roman" w:eastAsia="SimSun" w:hAnsi="Times New Roman" w:cs="Times New Roman"/>
      <w:iCs/>
      <w:sz w:val="20"/>
      <w:szCs w:val="20"/>
      <w:lang w:val="en-GB" w:eastAsia="ja-JP"/>
    </w:rPr>
  </w:style>
  <w:style w:type="paragraph" w:styleId="Heading1">
    <w:name w:val="heading 1"/>
    <w:basedOn w:val="Normal"/>
    <w:next w:val="Normal"/>
    <w:link w:val="Heading1Char"/>
    <w:uiPriority w:val="9"/>
    <w:qFormat/>
    <w:rsid w:val="00E07DF7"/>
    <w:pPr>
      <w:pBdr>
        <w:top w:val="single" w:sz="4" w:space="1" w:color="auto"/>
      </w:pBdr>
      <w:outlineLvl w:val="0"/>
    </w:pPr>
    <w:rPr>
      <w:rFonts w:ascii="Arial" w:hAnsi="Arial"/>
      <w:bCs/>
      <w:sz w:val="28"/>
      <w:lang w:val="en-US"/>
    </w:rPr>
  </w:style>
  <w:style w:type="paragraph" w:styleId="Heading2">
    <w:name w:val="heading 2"/>
    <w:basedOn w:val="Normal"/>
    <w:next w:val="Normal"/>
    <w:link w:val="Heading2Char"/>
    <w:uiPriority w:val="9"/>
    <w:unhideWhenUsed/>
    <w:qFormat/>
    <w:rsid w:val="0088321A"/>
    <w:pPr>
      <w:keepNext/>
      <w:keepLines/>
      <w:spacing w:before="120"/>
      <w:outlineLvl w:val="1"/>
    </w:pPr>
    <w:rPr>
      <w:rFonts w:ascii="Arial" w:eastAsiaTheme="majorEastAsia" w:hAnsi="Arial" w:cstheme="majorBidi"/>
      <w:sz w:val="24"/>
      <w:szCs w:val="26"/>
    </w:rPr>
  </w:style>
  <w:style w:type="paragraph" w:styleId="Heading3">
    <w:name w:val="heading 3"/>
    <w:basedOn w:val="Normal"/>
    <w:next w:val="Normal"/>
    <w:link w:val="Heading3Char"/>
    <w:uiPriority w:val="9"/>
    <w:unhideWhenUsed/>
    <w:qFormat/>
    <w:rsid w:val="00DC728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header31"/>
    <w:link w:val="HeaderChar"/>
    <w:rsid w:val="00070DB3"/>
    <w:pPr>
      <w:widowControl w:val="0"/>
      <w:overflowPunct w:val="0"/>
      <w:autoSpaceDE w:val="0"/>
      <w:autoSpaceDN w:val="0"/>
      <w:adjustRightInd w:val="0"/>
      <w:spacing w:after="0"/>
      <w:textAlignment w:val="baseline"/>
    </w:pPr>
    <w:rPr>
      <w:rFonts w:ascii="Arial" w:eastAsia="SimSu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70DB3"/>
    <w:rPr>
      <w:rFonts w:ascii="Arial" w:eastAsia="SimSun" w:hAnsi="Arial" w:cs="Times New Roman"/>
      <w:b/>
      <w:noProof/>
      <w:sz w:val="18"/>
      <w:szCs w:val="20"/>
      <w:lang w:val="en-GB" w:eastAsia="ja-JP"/>
    </w:rPr>
  </w:style>
  <w:style w:type="character" w:styleId="Hyperlink">
    <w:name w:val="Hyperlink"/>
    <w:uiPriority w:val="99"/>
    <w:unhideWhenUsed/>
    <w:rsid w:val="00070DB3"/>
    <w:rPr>
      <w:color w:val="0000FF"/>
      <w:u w:val="single"/>
    </w:rPr>
  </w:style>
  <w:style w:type="paragraph" w:customStyle="1" w:styleId="CRCoverPage">
    <w:name w:val="CR Cover Page"/>
    <w:rsid w:val="00070DB3"/>
    <w:pPr>
      <w:spacing w:after="120"/>
    </w:pPr>
    <w:rPr>
      <w:rFonts w:ascii="Arial" w:eastAsia="SimSun" w:hAnsi="Arial" w:cs="Times New Roman"/>
      <w:sz w:val="20"/>
      <w:szCs w:val="20"/>
      <w:lang w:val="en-GB"/>
    </w:rPr>
  </w:style>
  <w:style w:type="character" w:customStyle="1" w:styleId="Heading1Char">
    <w:name w:val="Heading 1 Char"/>
    <w:basedOn w:val="DefaultParagraphFont"/>
    <w:link w:val="Heading1"/>
    <w:uiPriority w:val="9"/>
    <w:rsid w:val="00E07DF7"/>
    <w:rPr>
      <w:rFonts w:ascii="Arial" w:eastAsia="SimSun" w:hAnsi="Arial" w:cs="Times New Roman"/>
      <w:bCs/>
      <w:iCs/>
      <w:color w:val="000000"/>
      <w:sz w:val="28"/>
      <w:szCs w:val="20"/>
      <w:lang w:val="en-US" w:eastAsia="ja-JP"/>
    </w:rPr>
  </w:style>
  <w:style w:type="paragraph" w:styleId="ListParagraph">
    <w:name w:val="List Paragraph"/>
    <w:basedOn w:val="Normal"/>
    <w:uiPriority w:val="34"/>
    <w:qFormat/>
    <w:rsid w:val="00825D45"/>
    <w:pPr>
      <w:contextualSpacing/>
    </w:pPr>
  </w:style>
  <w:style w:type="character" w:customStyle="1" w:styleId="TACChar">
    <w:name w:val="TAC Char"/>
    <w:link w:val="TAC"/>
    <w:locked/>
    <w:rsid w:val="00E07DF7"/>
    <w:rPr>
      <w:rFonts w:ascii="Arial" w:hAnsi="Arial" w:cs="Arial"/>
      <w:sz w:val="18"/>
      <w:szCs w:val="18"/>
      <w:lang w:val="en-GB"/>
    </w:rPr>
  </w:style>
  <w:style w:type="paragraph" w:customStyle="1" w:styleId="TAC">
    <w:name w:val="TAC"/>
    <w:basedOn w:val="Normal"/>
    <w:link w:val="TACChar"/>
    <w:rsid w:val="00E07DF7"/>
    <w:pPr>
      <w:keepNext/>
      <w:keepLines/>
      <w:jc w:val="center"/>
    </w:pPr>
    <w:rPr>
      <w:rFonts w:ascii="Arial" w:eastAsiaTheme="minorHAnsi" w:hAnsi="Arial" w:cs="Arial"/>
      <w:iCs w:val="0"/>
      <w:sz w:val="18"/>
      <w:szCs w:val="18"/>
    </w:rPr>
  </w:style>
  <w:style w:type="paragraph" w:customStyle="1" w:styleId="TAH">
    <w:name w:val="TAH"/>
    <w:basedOn w:val="TAC"/>
    <w:link w:val="TAHCar"/>
    <w:rsid w:val="00E07DF7"/>
    <w:rPr>
      <w:b/>
      <w:bCs/>
    </w:rPr>
  </w:style>
  <w:style w:type="character" w:customStyle="1" w:styleId="TAHCar">
    <w:name w:val="TAH Car"/>
    <w:link w:val="TAH"/>
    <w:locked/>
    <w:rsid w:val="00E07DF7"/>
    <w:rPr>
      <w:rFonts w:ascii="Arial" w:hAnsi="Arial" w:cs="Arial"/>
      <w:b/>
      <w:bCs/>
      <w:sz w:val="18"/>
      <w:szCs w:val="18"/>
      <w:lang w:val="en-GB"/>
    </w:rPr>
  </w:style>
  <w:style w:type="paragraph" w:customStyle="1" w:styleId="TAL">
    <w:name w:val="TAL"/>
    <w:basedOn w:val="Normal"/>
    <w:rsid w:val="00E07DF7"/>
    <w:pPr>
      <w:keepNext/>
      <w:keepLines/>
    </w:pPr>
    <w:rPr>
      <w:rFonts w:ascii="Arial" w:eastAsia="Times New Roman" w:hAnsi="Arial"/>
      <w:iCs w:val="0"/>
      <w:sz w:val="18"/>
      <w:lang w:eastAsia="en-US"/>
    </w:rPr>
  </w:style>
  <w:style w:type="paragraph" w:customStyle="1" w:styleId="TAN">
    <w:name w:val="TAN"/>
    <w:basedOn w:val="TAL"/>
    <w:rsid w:val="00E07DF7"/>
    <w:pPr>
      <w:ind w:left="851" w:hanging="851"/>
    </w:pPr>
  </w:style>
  <w:style w:type="character" w:customStyle="1" w:styleId="Heading2Char">
    <w:name w:val="Heading 2 Char"/>
    <w:basedOn w:val="DefaultParagraphFont"/>
    <w:link w:val="Heading2"/>
    <w:uiPriority w:val="9"/>
    <w:rsid w:val="0088321A"/>
    <w:rPr>
      <w:rFonts w:ascii="Arial" w:eastAsiaTheme="majorEastAsia" w:hAnsi="Arial" w:cstheme="majorBidi"/>
      <w:iCs/>
      <w:sz w:val="24"/>
      <w:szCs w:val="26"/>
      <w:lang w:val="en-GB" w:eastAsia="ja-JP"/>
    </w:rPr>
  </w:style>
  <w:style w:type="table" w:styleId="TableGrid">
    <w:name w:val="Table Grid"/>
    <w:basedOn w:val="TableNormal"/>
    <w:uiPriority w:val="39"/>
    <w:rsid w:val="00FD22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3704B"/>
    <w:pPr>
      <w:widowControl/>
      <w:spacing w:before="100" w:beforeAutospacing="1" w:after="100" w:afterAutospacing="1"/>
      <w:jc w:val="left"/>
    </w:pPr>
    <w:rPr>
      <w:rFonts w:eastAsia="Times New Roman"/>
      <w:iCs w:val="0"/>
      <w:sz w:val="24"/>
      <w:szCs w:val="24"/>
      <w:lang w:eastAsia="en-GB"/>
    </w:rPr>
  </w:style>
  <w:style w:type="paragraph" w:styleId="BalloonText">
    <w:name w:val="Balloon Text"/>
    <w:basedOn w:val="Normal"/>
    <w:link w:val="BalloonTextChar"/>
    <w:uiPriority w:val="99"/>
    <w:semiHidden/>
    <w:unhideWhenUsed/>
    <w:rsid w:val="00463A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ABD"/>
    <w:rPr>
      <w:rFonts w:ascii="Segoe UI" w:eastAsia="SimSun" w:hAnsi="Segoe UI" w:cs="Segoe UI"/>
      <w:iCs/>
      <w:color w:val="000000"/>
      <w:sz w:val="18"/>
      <w:szCs w:val="18"/>
      <w:lang w:val="en-GB" w:eastAsia="ja-JP"/>
    </w:rPr>
  </w:style>
  <w:style w:type="paragraph" w:styleId="DocumentMap">
    <w:name w:val="Document Map"/>
    <w:basedOn w:val="Normal"/>
    <w:link w:val="DocumentMapChar"/>
    <w:uiPriority w:val="99"/>
    <w:semiHidden/>
    <w:unhideWhenUsed/>
    <w:rsid w:val="004514C5"/>
    <w:rPr>
      <w:rFonts w:ascii="SimSun"/>
      <w:sz w:val="18"/>
      <w:szCs w:val="18"/>
    </w:rPr>
  </w:style>
  <w:style w:type="character" w:customStyle="1" w:styleId="DocumentMapChar">
    <w:name w:val="Document Map Char"/>
    <w:basedOn w:val="DefaultParagraphFont"/>
    <w:link w:val="DocumentMap"/>
    <w:uiPriority w:val="99"/>
    <w:semiHidden/>
    <w:rsid w:val="004514C5"/>
    <w:rPr>
      <w:rFonts w:ascii="SimSun" w:eastAsia="SimSun" w:hAnsi="Times New Roman" w:cs="Times New Roman"/>
      <w:iCs/>
      <w:color w:val="000000"/>
      <w:sz w:val="18"/>
      <w:szCs w:val="18"/>
      <w:lang w:val="en-GB" w:eastAsia="ja-JP"/>
    </w:rPr>
  </w:style>
  <w:style w:type="paragraph" w:styleId="Footer">
    <w:name w:val="footer"/>
    <w:basedOn w:val="Normal"/>
    <w:link w:val="FooterChar"/>
    <w:uiPriority w:val="99"/>
    <w:unhideWhenUsed/>
    <w:rsid w:val="004514C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4514C5"/>
    <w:rPr>
      <w:rFonts w:ascii="Times New Roman" w:eastAsia="SimSun" w:hAnsi="Times New Roman" w:cs="Times New Roman"/>
      <w:iCs/>
      <w:color w:val="000000"/>
      <w:sz w:val="18"/>
      <w:szCs w:val="18"/>
      <w:lang w:val="en-GB" w:eastAsia="ja-JP"/>
    </w:rPr>
  </w:style>
  <w:style w:type="character" w:customStyle="1" w:styleId="Heading3Char">
    <w:name w:val="Heading 3 Char"/>
    <w:basedOn w:val="DefaultParagraphFont"/>
    <w:link w:val="Heading3"/>
    <w:uiPriority w:val="9"/>
    <w:rsid w:val="00DC7287"/>
    <w:rPr>
      <w:rFonts w:asciiTheme="majorHAnsi" w:eastAsiaTheme="majorEastAsia" w:hAnsiTheme="majorHAnsi" w:cstheme="majorBidi"/>
      <w:iCs/>
      <w:color w:val="1F4D78" w:themeColor="accent1" w:themeShade="7F"/>
      <w:sz w:val="24"/>
      <w:szCs w:val="24"/>
      <w:lang w:val="en-GB" w:eastAsia="ja-JP"/>
    </w:rPr>
  </w:style>
  <w:style w:type="character" w:customStyle="1" w:styleId="apple-converted-space">
    <w:name w:val="apple-converted-space"/>
    <w:basedOn w:val="DefaultParagraphFont"/>
    <w:rsid w:val="003F0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6230">
      <w:bodyDiv w:val="1"/>
      <w:marLeft w:val="0"/>
      <w:marRight w:val="0"/>
      <w:marTop w:val="0"/>
      <w:marBottom w:val="0"/>
      <w:divBdr>
        <w:top w:val="none" w:sz="0" w:space="0" w:color="auto"/>
        <w:left w:val="none" w:sz="0" w:space="0" w:color="auto"/>
        <w:bottom w:val="none" w:sz="0" w:space="0" w:color="auto"/>
        <w:right w:val="none" w:sz="0" w:space="0" w:color="auto"/>
      </w:divBdr>
    </w:div>
    <w:div w:id="135881908">
      <w:bodyDiv w:val="1"/>
      <w:marLeft w:val="0"/>
      <w:marRight w:val="0"/>
      <w:marTop w:val="0"/>
      <w:marBottom w:val="0"/>
      <w:divBdr>
        <w:top w:val="none" w:sz="0" w:space="0" w:color="auto"/>
        <w:left w:val="none" w:sz="0" w:space="0" w:color="auto"/>
        <w:bottom w:val="none" w:sz="0" w:space="0" w:color="auto"/>
        <w:right w:val="none" w:sz="0" w:space="0" w:color="auto"/>
      </w:divBdr>
    </w:div>
    <w:div w:id="142240879">
      <w:bodyDiv w:val="1"/>
      <w:marLeft w:val="0"/>
      <w:marRight w:val="0"/>
      <w:marTop w:val="0"/>
      <w:marBottom w:val="0"/>
      <w:divBdr>
        <w:top w:val="none" w:sz="0" w:space="0" w:color="auto"/>
        <w:left w:val="none" w:sz="0" w:space="0" w:color="auto"/>
        <w:bottom w:val="none" w:sz="0" w:space="0" w:color="auto"/>
        <w:right w:val="none" w:sz="0" w:space="0" w:color="auto"/>
      </w:divBdr>
    </w:div>
    <w:div w:id="153841917">
      <w:bodyDiv w:val="1"/>
      <w:marLeft w:val="0"/>
      <w:marRight w:val="0"/>
      <w:marTop w:val="0"/>
      <w:marBottom w:val="0"/>
      <w:divBdr>
        <w:top w:val="none" w:sz="0" w:space="0" w:color="auto"/>
        <w:left w:val="none" w:sz="0" w:space="0" w:color="auto"/>
        <w:bottom w:val="none" w:sz="0" w:space="0" w:color="auto"/>
        <w:right w:val="none" w:sz="0" w:space="0" w:color="auto"/>
      </w:divBdr>
    </w:div>
    <w:div w:id="222647611">
      <w:bodyDiv w:val="1"/>
      <w:marLeft w:val="0"/>
      <w:marRight w:val="0"/>
      <w:marTop w:val="0"/>
      <w:marBottom w:val="0"/>
      <w:divBdr>
        <w:top w:val="none" w:sz="0" w:space="0" w:color="auto"/>
        <w:left w:val="none" w:sz="0" w:space="0" w:color="auto"/>
        <w:bottom w:val="none" w:sz="0" w:space="0" w:color="auto"/>
        <w:right w:val="none" w:sz="0" w:space="0" w:color="auto"/>
      </w:divBdr>
    </w:div>
    <w:div w:id="283077650">
      <w:bodyDiv w:val="1"/>
      <w:marLeft w:val="0"/>
      <w:marRight w:val="0"/>
      <w:marTop w:val="0"/>
      <w:marBottom w:val="0"/>
      <w:divBdr>
        <w:top w:val="none" w:sz="0" w:space="0" w:color="auto"/>
        <w:left w:val="none" w:sz="0" w:space="0" w:color="auto"/>
        <w:bottom w:val="none" w:sz="0" w:space="0" w:color="auto"/>
        <w:right w:val="none" w:sz="0" w:space="0" w:color="auto"/>
      </w:divBdr>
    </w:div>
    <w:div w:id="669715328">
      <w:bodyDiv w:val="1"/>
      <w:marLeft w:val="0"/>
      <w:marRight w:val="0"/>
      <w:marTop w:val="0"/>
      <w:marBottom w:val="0"/>
      <w:divBdr>
        <w:top w:val="none" w:sz="0" w:space="0" w:color="auto"/>
        <w:left w:val="none" w:sz="0" w:space="0" w:color="auto"/>
        <w:bottom w:val="none" w:sz="0" w:space="0" w:color="auto"/>
        <w:right w:val="none" w:sz="0" w:space="0" w:color="auto"/>
      </w:divBdr>
    </w:div>
    <w:div w:id="671494383">
      <w:bodyDiv w:val="1"/>
      <w:marLeft w:val="0"/>
      <w:marRight w:val="0"/>
      <w:marTop w:val="0"/>
      <w:marBottom w:val="0"/>
      <w:divBdr>
        <w:top w:val="none" w:sz="0" w:space="0" w:color="auto"/>
        <w:left w:val="none" w:sz="0" w:space="0" w:color="auto"/>
        <w:bottom w:val="none" w:sz="0" w:space="0" w:color="auto"/>
        <w:right w:val="none" w:sz="0" w:space="0" w:color="auto"/>
      </w:divBdr>
      <w:divsChild>
        <w:div w:id="1270359287">
          <w:marLeft w:val="360"/>
          <w:marRight w:val="0"/>
          <w:marTop w:val="200"/>
          <w:marBottom w:val="0"/>
          <w:divBdr>
            <w:top w:val="none" w:sz="0" w:space="0" w:color="auto"/>
            <w:left w:val="none" w:sz="0" w:space="0" w:color="auto"/>
            <w:bottom w:val="none" w:sz="0" w:space="0" w:color="auto"/>
            <w:right w:val="none" w:sz="0" w:space="0" w:color="auto"/>
          </w:divBdr>
        </w:div>
      </w:divsChild>
    </w:div>
    <w:div w:id="743526415">
      <w:bodyDiv w:val="1"/>
      <w:marLeft w:val="0"/>
      <w:marRight w:val="0"/>
      <w:marTop w:val="0"/>
      <w:marBottom w:val="0"/>
      <w:divBdr>
        <w:top w:val="none" w:sz="0" w:space="0" w:color="auto"/>
        <w:left w:val="none" w:sz="0" w:space="0" w:color="auto"/>
        <w:bottom w:val="none" w:sz="0" w:space="0" w:color="auto"/>
        <w:right w:val="none" w:sz="0" w:space="0" w:color="auto"/>
      </w:divBdr>
    </w:div>
    <w:div w:id="950941916">
      <w:bodyDiv w:val="1"/>
      <w:marLeft w:val="0"/>
      <w:marRight w:val="0"/>
      <w:marTop w:val="0"/>
      <w:marBottom w:val="0"/>
      <w:divBdr>
        <w:top w:val="none" w:sz="0" w:space="0" w:color="auto"/>
        <w:left w:val="none" w:sz="0" w:space="0" w:color="auto"/>
        <w:bottom w:val="none" w:sz="0" w:space="0" w:color="auto"/>
        <w:right w:val="none" w:sz="0" w:space="0" w:color="auto"/>
      </w:divBdr>
    </w:div>
    <w:div w:id="1107388932">
      <w:bodyDiv w:val="1"/>
      <w:marLeft w:val="0"/>
      <w:marRight w:val="0"/>
      <w:marTop w:val="0"/>
      <w:marBottom w:val="0"/>
      <w:divBdr>
        <w:top w:val="none" w:sz="0" w:space="0" w:color="auto"/>
        <w:left w:val="none" w:sz="0" w:space="0" w:color="auto"/>
        <w:bottom w:val="none" w:sz="0" w:space="0" w:color="auto"/>
        <w:right w:val="none" w:sz="0" w:space="0" w:color="auto"/>
      </w:divBdr>
    </w:div>
    <w:div w:id="1178230821">
      <w:bodyDiv w:val="1"/>
      <w:marLeft w:val="0"/>
      <w:marRight w:val="0"/>
      <w:marTop w:val="0"/>
      <w:marBottom w:val="0"/>
      <w:divBdr>
        <w:top w:val="none" w:sz="0" w:space="0" w:color="auto"/>
        <w:left w:val="none" w:sz="0" w:space="0" w:color="auto"/>
        <w:bottom w:val="none" w:sz="0" w:space="0" w:color="auto"/>
        <w:right w:val="none" w:sz="0" w:space="0" w:color="auto"/>
      </w:divBdr>
    </w:div>
    <w:div w:id="1233276660">
      <w:bodyDiv w:val="1"/>
      <w:marLeft w:val="0"/>
      <w:marRight w:val="0"/>
      <w:marTop w:val="0"/>
      <w:marBottom w:val="0"/>
      <w:divBdr>
        <w:top w:val="none" w:sz="0" w:space="0" w:color="auto"/>
        <w:left w:val="none" w:sz="0" w:space="0" w:color="auto"/>
        <w:bottom w:val="none" w:sz="0" w:space="0" w:color="auto"/>
        <w:right w:val="none" w:sz="0" w:space="0" w:color="auto"/>
      </w:divBdr>
      <w:divsChild>
        <w:div w:id="310519559">
          <w:marLeft w:val="547"/>
          <w:marRight w:val="0"/>
          <w:marTop w:val="134"/>
          <w:marBottom w:val="0"/>
          <w:divBdr>
            <w:top w:val="none" w:sz="0" w:space="0" w:color="auto"/>
            <w:left w:val="none" w:sz="0" w:space="0" w:color="auto"/>
            <w:bottom w:val="none" w:sz="0" w:space="0" w:color="auto"/>
            <w:right w:val="none" w:sz="0" w:space="0" w:color="auto"/>
          </w:divBdr>
        </w:div>
        <w:div w:id="1069113460">
          <w:marLeft w:val="1166"/>
          <w:marRight w:val="0"/>
          <w:marTop w:val="96"/>
          <w:marBottom w:val="0"/>
          <w:divBdr>
            <w:top w:val="none" w:sz="0" w:space="0" w:color="auto"/>
            <w:left w:val="none" w:sz="0" w:space="0" w:color="auto"/>
            <w:bottom w:val="none" w:sz="0" w:space="0" w:color="auto"/>
            <w:right w:val="none" w:sz="0" w:space="0" w:color="auto"/>
          </w:divBdr>
        </w:div>
        <w:div w:id="567611668">
          <w:marLeft w:val="1166"/>
          <w:marRight w:val="0"/>
          <w:marTop w:val="96"/>
          <w:marBottom w:val="0"/>
          <w:divBdr>
            <w:top w:val="none" w:sz="0" w:space="0" w:color="auto"/>
            <w:left w:val="none" w:sz="0" w:space="0" w:color="auto"/>
            <w:bottom w:val="none" w:sz="0" w:space="0" w:color="auto"/>
            <w:right w:val="none" w:sz="0" w:space="0" w:color="auto"/>
          </w:divBdr>
        </w:div>
        <w:div w:id="765923406">
          <w:marLeft w:val="547"/>
          <w:marRight w:val="0"/>
          <w:marTop w:val="134"/>
          <w:marBottom w:val="0"/>
          <w:divBdr>
            <w:top w:val="none" w:sz="0" w:space="0" w:color="auto"/>
            <w:left w:val="none" w:sz="0" w:space="0" w:color="auto"/>
            <w:bottom w:val="none" w:sz="0" w:space="0" w:color="auto"/>
            <w:right w:val="none" w:sz="0" w:space="0" w:color="auto"/>
          </w:divBdr>
        </w:div>
        <w:div w:id="1096245464">
          <w:marLeft w:val="547"/>
          <w:marRight w:val="0"/>
          <w:marTop w:val="134"/>
          <w:marBottom w:val="0"/>
          <w:divBdr>
            <w:top w:val="none" w:sz="0" w:space="0" w:color="auto"/>
            <w:left w:val="none" w:sz="0" w:space="0" w:color="auto"/>
            <w:bottom w:val="none" w:sz="0" w:space="0" w:color="auto"/>
            <w:right w:val="none" w:sz="0" w:space="0" w:color="auto"/>
          </w:divBdr>
        </w:div>
        <w:div w:id="1268729682">
          <w:marLeft w:val="1166"/>
          <w:marRight w:val="0"/>
          <w:marTop w:val="96"/>
          <w:marBottom w:val="0"/>
          <w:divBdr>
            <w:top w:val="none" w:sz="0" w:space="0" w:color="auto"/>
            <w:left w:val="none" w:sz="0" w:space="0" w:color="auto"/>
            <w:bottom w:val="none" w:sz="0" w:space="0" w:color="auto"/>
            <w:right w:val="none" w:sz="0" w:space="0" w:color="auto"/>
          </w:divBdr>
        </w:div>
        <w:div w:id="1431586376">
          <w:marLeft w:val="1166"/>
          <w:marRight w:val="0"/>
          <w:marTop w:val="96"/>
          <w:marBottom w:val="0"/>
          <w:divBdr>
            <w:top w:val="none" w:sz="0" w:space="0" w:color="auto"/>
            <w:left w:val="none" w:sz="0" w:space="0" w:color="auto"/>
            <w:bottom w:val="none" w:sz="0" w:space="0" w:color="auto"/>
            <w:right w:val="none" w:sz="0" w:space="0" w:color="auto"/>
          </w:divBdr>
        </w:div>
      </w:divsChild>
    </w:div>
    <w:div w:id="1329360926">
      <w:bodyDiv w:val="1"/>
      <w:marLeft w:val="0"/>
      <w:marRight w:val="0"/>
      <w:marTop w:val="0"/>
      <w:marBottom w:val="0"/>
      <w:divBdr>
        <w:top w:val="none" w:sz="0" w:space="0" w:color="auto"/>
        <w:left w:val="none" w:sz="0" w:space="0" w:color="auto"/>
        <w:bottom w:val="none" w:sz="0" w:space="0" w:color="auto"/>
        <w:right w:val="none" w:sz="0" w:space="0" w:color="auto"/>
      </w:divBdr>
      <w:divsChild>
        <w:div w:id="580339224">
          <w:marLeft w:val="360"/>
          <w:marRight w:val="0"/>
          <w:marTop w:val="200"/>
          <w:marBottom w:val="0"/>
          <w:divBdr>
            <w:top w:val="none" w:sz="0" w:space="0" w:color="auto"/>
            <w:left w:val="none" w:sz="0" w:space="0" w:color="auto"/>
            <w:bottom w:val="none" w:sz="0" w:space="0" w:color="auto"/>
            <w:right w:val="none" w:sz="0" w:space="0" w:color="auto"/>
          </w:divBdr>
        </w:div>
        <w:div w:id="1824740890">
          <w:marLeft w:val="1080"/>
          <w:marRight w:val="0"/>
          <w:marTop w:val="100"/>
          <w:marBottom w:val="0"/>
          <w:divBdr>
            <w:top w:val="none" w:sz="0" w:space="0" w:color="auto"/>
            <w:left w:val="none" w:sz="0" w:space="0" w:color="auto"/>
            <w:bottom w:val="none" w:sz="0" w:space="0" w:color="auto"/>
            <w:right w:val="none" w:sz="0" w:space="0" w:color="auto"/>
          </w:divBdr>
        </w:div>
      </w:divsChild>
    </w:div>
    <w:div w:id="1628777737">
      <w:bodyDiv w:val="1"/>
      <w:marLeft w:val="0"/>
      <w:marRight w:val="0"/>
      <w:marTop w:val="0"/>
      <w:marBottom w:val="0"/>
      <w:divBdr>
        <w:top w:val="none" w:sz="0" w:space="0" w:color="auto"/>
        <w:left w:val="none" w:sz="0" w:space="0" w:color="auto"/>
        <w:bottom w:val="none" w:sz="0" w:space="0" w:color="auto"/>
        <w:right w:val="none" w:sz="0" w:space="0" w:color="auto"/>
      </w:divBdr>
      <w:divsChild>
        <w:div w:id="930628807">
          <w:marLeft w:val="360"/>
          <w:marRight w:val="0"/>
          <w:marTop w:val="200"/>
          <w:marBottom w:val="0"/>
          <w:divBdr>
            <w:top w:val="none" w:sz="0" w:space="0" w:color="auto"/>
            <w:left w:val="none" w:sz="0" w:space="0" w:color="auto"/>
            <w:bottom w:val="none" w:sz="0" w:space="0" w:color="auto"/>
            <w:right w:val="none" w:sz="0" w:space="0" w:color="auto"/>
          </w:divBdr>
        </w:div>
        <w:div w:id="1855876179">
          <w:marLeft w:val="1080"/>
          <w:marRight w:val="0"/>
          <w:marTop w:val="100"/>
          <w:marBottom w:val="0"/>
          <w:divBdr>
            <w:top w:val="none" w:sz="0" w:space="0" w:color="auto"/>
            <w:left w:val="none" w:sz="0" w:space="0" w:color="auto"/>
            <w:bottom w:val="none" w:sz="0" w:space="0" w:color="auto"/>
            <w:right w:val="none" w:sz="0" w:space="0" w:color="auto"/>
          </w:divBdr>
        </w:div>
      </w:divsChild>
    </w:div>
    <w:div w:id="1647275684">
      <w:bodyDiv w:val="1"/>
      <w:marLeft w:val="0"/>
      <w:marRight w:val="0"/>
      <w:marTop w:val="0"/>
      <w:marBottom w:val="0"/>
      <w:divBdr>
        <w:top w:val="none" w:sz="0" w:space="0" w:color="auto"/>
        <w:left w:val="none" w:sz="0" w:space="0" w:color="auto"/>
        <w:bottom w:val="none" w:sz="0" w:space="0" w:color="auto"/>
        <w:right w:val="none" w:sz="0" w:space="0" w:color="auto"/>
      </w:divBdr>
    </w:div>
    <w:div w:id="1858690881">
      <w:bodyDiv w:val="1"/>
      <w:marLeft w:val="0"/>
      <w:marRight w:val="0"/>
      <w:marTop w:val="0"/>
      <w:marBottom w:val="0"/>
      <w:divBdr>
        <w:top w:val="none" w:sz="0" w:space="0" w:color="auto"/>
        <w:left w:val="none" w:sz="0" w:space="0" w:color="auto"/>
        <w:bottom w:val="none" w:sz="0" w:space="0" w:color="auto"/>
        <w:right w:val="none" w:sz="0" w:space="0" w:color="auto"/>
      </w:divBdr>
    </w:div>
    <w:div w:id="1974090307">
      <w:bodyDiv w:val="1"/>
      <w:marLeft w:val="0"/>
      <w:marRight w:val="0"/>
      <w:marTop w:val="0"/>
      <w:marBottom w:val="0"/>
      <w:divBdr>
        <w:top w:val="none" w:sz="0" w:space="0" w:color="auto"/>
        <w:left w:val="none" w:sz="0" w:space="0" w:color="auto"/>
        <w:bottom w:val="none" w:sz="0" w:space="0" w:color="auto"/>
        <w:right w:val="none" w:sz="0" w:space="0" w:color="auto"/>
      </w:divBdr>
    </w:div>
    <w:div w:id="2013681334">
      <w:bodyDiv w:val="1"/>
      <w:marLeft w:val="0"/>
      <w:marRight w:val="0"/>
      <w:marTop w:val="0"/>
      <w:marBottom w:val="0"/>
      <w:divBdr>
        <w:top w:val="none" w:sz="0" w:space="0" w:color="auto"/>
        <w:left w:val="none" w:sz="0" w:space="0" w:color="auto"/>
        <w:bottom w:val="none" w:sz="0" w:space="0" w:color="auto"/>
        <w:right w:val="none" w:sz="0" w:space="0" w:color="auto"/>
      </w:divBdr>
    </w:div>
    <w:div w:id="2043706395">
      <w:bodyDiv w:val="1"/>
      <w:marLeft w:val="0"/>
      <w:marRight w:val="0"/>
      <w:marTop w:val="0"/>
      <w:marBottom w:val="0"/>
      <w:divBdr>
        <w:top w:val="none" w:sz="0" w:space="0" w:color="auto"/>
        <w:left w:val="none" w:sz="0" w:space="0" w:color="auto"/>
        <w:bottom w:val="none" w:sz="0" w:space="0" w:color="auto"/>
        <w:right w:val="none" w:sz="0" w:space="0" w:color="auto"/>
      </w:divBdr>
    </w:div>
    <w:div w:id="205083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Frost, Tim, Vodafone Group</dc:creator>
  <cp:lastModifiedBy>Tim Frost3</cp:lastModifiedBy>
  <cp:revision>8</cp:revision>
  <dcterms:created xsi:type="dcterms:W3CDTF">2020-09-15T12:40:00Z</dcterms:created>
  <dcterms:modified xsi:type="dcterms:W3CDTF">2020-09-15T12:55:00Z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-1379340980</vt:i4>
  </property>
  <property fmtid="{D5CDD505-2E9C-101B-9397-08002B2CF9AE}" pid="3" name="_NewReviewCycle">
    <vt:lpwstr/>
  </property>
  <property fmtid="{D5CDD505-2E9C-101B-9397-08002B2CF9AE}" pid="4" name="_EmailSubject">
    <vt:lpwstr>4Rx mandate for NR UE</vt:lpwstr>
  </property>
  <property fmtid="{D5CDD505-2E9C-101B-9397-08002B2CF9AE}" pid="5" name="_AuthorEmail">
    <vt:lpwstr>juanm@qti.qualcomm.com</vt:lpwstr>
  </property>
  <property fmtid="{D5CDD505-2E9C-101B-9397-08002B2CF9AE}" pid="6" name="_AuthorEmailDisplayName">
    <vt:lpwstr>Juan Montojo</vt:lpwstr>
  </property>
  <property fmtid="{D5CDD505-2E9C-101B-9397-08002B2CF9AE}" pid="7" name="_ReviewingToolsShownOnce">
    <vt:lpwstr/>
  </property>
  <property fmtid="{D5CDD505-2E9C-101B-9397-08002B2CF9AE}" pid="8" name="_2015_ms_pID_725343">
    <vt:lpwstr>(2)TZ5SA/wculq9/XvQM3u2WaCOjY+8i6bp34VOu7lOTkODa/FcCnB973MV/VTqotDMySV0j73S
GD7q/WVIZxES3NehQ9D+COurBwqXvTLWBDlnPK3kLU12dDjXQHLjjUAlPbcnv5jpd8mwjdtV
N7DzPMKOR7ZrDbQpta9sLrj2caZFTzCcpJ8SIuKkvZk14kdxHJpCSdFlz5RaN6TFF8lL1/mf
zOQ5eRfPVtkzYMDbRS</vt:lpwstr>
  </property>
  <property fmtid="{D5CDD505-2E9C-101B-9397-08002B2CF9AE}" pid="9" name="_2015_ms_pID_7253431">
    <vt:lpwstr>TNvw2WKUR24INYp4dwrGjd5kcTRQ4kUHwVZGstqT44RwJ+tqWPKDiW
tLCtlBvfxDUCqbPQd1JXFMGEW14620O2qOPG3fTy3Kw6Xsmj7pcR0AffGTWHC319zWreYygF
lF4R4f8Rs2jmjkbBhottk96EBRVkDPGjseLdj9zu8g6XeSyb1UiZwDLDqqeWVYzphjo=</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1513789066</vt:lpwstr>
  </property>
  <property fmtid="{D5CDD505-2E9C-101B-9397-08002B2CF9AE}" pid="14" name="MSIP_Label_17da11e7-ad83-4459-98c6-12a88e2eac78_Enabled">
    <vt:lpwstr>True</vt:lpwstr>
  </property>
  <property fmtid="{D5CDD505-2E9C-101B-9397-08002B2CF9AE}" pid="15" name="MSIP_Label_17da11e7-ad83-4459-98c6-12a88e2eac78_SiteId">
    <vt:lpwstr>68283f3b-8487-4c86-adb3-a5228f18b893</vt:lpwstr>
  </property>
  <property fmtid="{D5CDD505-2E9C-101B-9397-08002B2CF9AE}" pid="16" name="MSIP_Label_17da11e7-ad83-4459-98c6-12a88e2eac78_Owner">
    <vt:lpwstr>tim.frost@vodafone.com</vt:lpwstr>
  </property>
  <property fmtid="{D5CDD505-2E9C-101B-9397-08002B2CF9AE}" pid="17" name="MSIP_Label_17da11e7-ad83-4459-98c6-12a88e2eac78_SetDate">
    <vt:lpwstr>2018-11-29T09:42:55.7136032Z</vt:lpwstr>
  </property>
  <property fmtid="{D5CDD505-2E9C-101B-9397-08002B2CF9AE}" pid="18" name="MSIP_Label_17da11e7-ad83-4459-98c6-12a88e2eac78_Name">
    <vt:lpwstr>Non-Vodafone</vt:lpwstr>
  </property>
  <property fmtid="{D5CDD505-2E9C-101B-9397-08002B2CF9AE}" pid="19" name="MSIP_Label_17da11e7-ad83-4459-98c6-12a88e2eac78_Application">
    <vt:lpwstr>Microsoft Azure Information Protection</vt:lpwstr>
  </property>
  <property fmtid="{D5CDD505-2E9C-101B-9397-08002B2CF9AE}" pid="20" name="MSIP_Label_17da11e7-ad83-4459-98c6-12a88e2eac78_Extended_MSFT_Method">
    <vt:lpwstr>Manual</vt:lpwstr>
  </property>
  <property fmtid="{D5CDD505-2E9C-101B-9397-08002B2CF9AE}" pid="21" name="Sensitivity">
    <vt:lpwstr>Non-Vodafone</vt:lpwstr>
  </property>
</Properties>
</file>