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54B86A9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A43D0E">
        <w:rPr>
          <w:rFonts w:ascii="Arial" w:hAnsi="Arial" w:cs="Arial"/>
          <w:b/>
          <w:kern w:val="2"/>
          <w:lang w:eastAsia="zh-CN"/>
        </w:rPr>
        <w:t>8</w:t>
      </w:r>
      <w:r w:rsidR="00911F45">
        <w:rPr>
          <w:rFonts w:ascii="Arial" w:hAnsi="Arial" w:cs="Arial"/>
          <w:b/>
          <w:kern w:val="2"/>
          <w:lang w:eastAsia="zh-CN"/>
        </w:rPr>
        <w:t>9-e</w:t>
      </w:r>
      <w:r w:rsidR="00972929" w:rsidRPr="00D74B92">
        <w:rPr>
          <w:rFonts w:ascii="Arial" w:hAnsi="Arial" w:cs="Arial"/>
          <w:b/>
          <w:kern w:val="2"/>
          <w:lang w:eastAsia="zh-CN"/>
        </w:rPr>
        <w:tab/>
      </w:r>
      <w:r w:rsidR="008E236F" w:rsidRPr="008E236F">
        <w:rPr>
          <w:rFonts w:ascii="Arial" w:hAnsi="Arial" w:cs="Arial"/>
          <w:b/>
          <w:kern w:val="2"/>
          <w:lang w:eastAsia="zh-CN"/>
        </w:rPr>
        <w:t>RP-201</w:t>
      </w:r>
      <w:r w:rsidR="00C452AD">
        <w:rPr>
          <w:rFonts w:ascii="Arial" w:hAnsi="Arial" w:cs="Arial"/>
          <w:b/>
          <w:kern w:val="2"/>
          <w:lang w:eastAsia="zh-CN"/>
        </w:rPr>
        <w:t>89</w:t>
      </w:r>
      <w:r w:rsidR="00C82155">
        <w:rPr>
          <w:rFonts w:ascii="Arial" w:hAnsi="Arial" w:cs="Arial"/>
          <w:b/>
          <w:kern w:val="2"/>
          <w:lang w:eastAsia="zh-CN"/>
        </w:rPr>
        <w:t>3</w:t>
      </w:r>
    </w:p>
    <w:p w14:paraId="2A9D85E6" w14:textId="176ACA20" w:rsidR="009C0564" w:rsidRPr="007F5EC6" w:rsidRDefault="00E035B8" w:rsidP="00DA0712">
      <w:pPr>
        <w:jc w:val="left"/>
        <w:rPr>
          <w:rFonts w:ascii="Arial" w:hAnsi="Arial" w:cs="Arial"/>
          <w:b/>
          <w:kern w:val="2"/>
          <w:lang w:eastAsia="zh-CN"/>
        </w:rPr>
      </w:pPr>
      <w:r>
        <w:rPr>
          <w:rFonts w:ascii="Arial" w:hAnsi="Arial" w:cs="Arial"/>
          <w:b/>
          <w:kern w:val="2"/>
          <w:lang w:eastAsia="zh-CN"/>
        </w:rPr>
        <w:t xml:space="preserve">e-meeting, </w:t>
      </w:r>
      <w:r w:rsidR="00F336F1">
        <w:rPr>
          <w:rFonts w:ascii="Arial" w:hAnsi="Arial" w:cs="Arial"/>
          <w:b/>
          <w:kern w:val="2"/>
          <w:lang w:eastAsia="zh-CN"/>
        </w:rPr>
        <w:t>September 14-18</w:t>
      </w:r>
      <w:r>
        <w:rPr>
          <w:rFonts w:ascii="Arial" w:hAnsi="Arial" w:cs="Arial"/>
          <w:b/>
          <w:kern w:val="2"/>
          <w:lang w:eastAsia="zh-CN"/>
        </w:rPr>
        <w:t>, 2020</w:t>
      </w:r>
    </w:p>
    <w:p w14:paraId="7826937B" w14:textId="02D8E8E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A5AB3">
        <w:rPr>
          <w:rFonts w:ascii="Arial" w:hAnsi="Arial" w:cs="Arial"/>
          <w:b/>
          <w:lang w:eastAsia="zh-CN"/>
        </w:rPr>
        <w:t>7</w:t>
      </w:r>
    </w:p>
    <w:p w14:paraId="7AF4C819" w14:textId="297332B5" w:rsidR="00BC1C3C" w:rsidRPr="00B22D40" w:rsidRDefault="00305FF9" w:rsidP="003E0282">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B22D40">
        <w:rPr>
          <w:rFonts w:ascii="Arial" w:hAnsi="Arial" w:cs="Arial"/>
          <w:b/>
          <w:lang w:eastAsia="zh-CN"/>
        </w:rPr>
        <w:t>F</w:t>
      </w:r>
      <w:r w:rsidR="00B22D40">
        <w:rPr>
          <w:rFonts w:ascii="Arial" w:hAnsi="Arial" w:cs="Arial"/>
          <w:b/>
          <w:lang w:eastAsia="zh-CN"/>
        </w:rPr>
        <w:t>UTUREWEI</w:t>
      </w:r>
    </w:p>
    <w:p w14:paraId="592199C5" w14:textId="6306091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82155" w:rsidRPr="00C82155">
        <w:rPr>
          <w:rFonts w:ascii="Arial" w:hAnsi="Arial" w:cs="Arial"/>
          <w:b/>
          <w:lang w:eastAsia="zh-CN"/>
        </w:rPr>
        <w:t>Handling of 5G ACIA request of Rel-16 URLLC and IIOT performance evaluation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A6BE06C" w14:textId="0668F38D" w:rsidR="00FF42AC" w:rsidRDefault="000C55F2" w:rsidP="00FF42AC">
      <w:pPr>
        <w:rPr>
          <w:lang w:eastAsia="zh-CN"/>
        </w:rPr>
      </w:pPr>
      <w:r>
        <w:rPr>
          <w:lang w:eastAsia="zh-CN"/>
        </w:rPr>
        <w:t>I</w:t>
      </w:r>
      <w:r w:rsidR="00C14B5C">
        <w:rPr>
          <w:lang w:eastAsia="zh-CN"/>
        </w:rPr>
        <w:t>n [1]</w:t>
      </w:r>
      <w:r>
        <w:rPr>
          <w:lang w:eastAsia="zh-CN"/>
        </w:rPr>
        <w:t>, 5G ACIA asked</w:t>
      </w:r>
      <w:r w:rsidRPr="000C55F2">
        <w:rPr>
          <w:lang w:eastAsia="zh-CN"/>
        </w:rPr>
        <w:t xml:space="preserve"> 3GPP to perform similar SLSs as described in TR 38.824</w:t>
      </w:r>
      <w:r w:rsidR="00C14B5C">
        <w:rPr>
          <w:lang w:eastAsia="zh-CN"/>
        </w:rPr>
        <w:t xml:space="preserve"> </w:t>
      </w:r>
      <w:r w:rsidRPr="000C55F2">
        <w:rPr>
          <w:lang w:eastAsia="zh-CN"/>
        </w:rPr>
        <w:t xml:space="preserve">by employing Rel-16 </w:t>
      </w:r>
      <w:proofErr w:type="spellStart"/>
      <w:r w:rsidRPr="000C55F2">
        <w:rPr>
          <w:lang w:eastAsia="zh-CN"/>
        </w:rPr>
        <w:t>eURLLC</w:t>
      </w:r>
      <w:proofErr w:type="spellEnd"/>
      <w:r w:rsidRPr="000C55F2">
        <w:rPr>
          <w:lang w:eastAsia="zh-CN"/>
        </w:rPr>
        <w:t>/</w:t>
      </w:r>
      <w:proofErr w:type="spellStart"/>
      <w:r w:rsidRPr="000C55F2">
        <w:rPr>
          <w:lang w:eastAsia="zh-CN"/>
        </w:rPr>
        <w:t>IIoT</w:t>
      </w:r>
      <w:proofErr w:type="spellEnd"/>
      <w:r w:rsidRPr="000C55F2">
        <w:rPr>
          <w:lang w:eastAsia="zh-CN"/>
        </w:rPr>
        <w:t xml:space="preserve"> features for industry use cases in TS 22.104.</w:t>
      </w:r>
      <w:r>
        <w:rPr>
          <w:lang w:eastAsia="zh-CN"/>
        </w:rPr>
        <w:t xml:space="preserve"> In RAN#88-e, RAN tasked RAN1 to </w:t>
      </w:r>
      <w:r w:rsidRPr="000C55F2">
        <w:rPr>
          <w:lang w:eastAsia="zh-CN"/>
        </w:rPr>
        <w:t>make some initial determination how much work this request entails</w:t>
      </w:r>
      <w:r>
        <w:rPr>
          <w:lang w:eastAsia="zh-CN"/>
        </w:rPr>
        <w:t>. RAN1 provided the estimate to RAN in</w:t>
      </w:r>
      <w:r w:rsidR="00C14B5C">
        <w:rPr>
          <w:lang w:eastAsia="zh-CN"/>
        </w:rPr>
        <w:t xml:space="preserve"> [2]</w:t>
      </w:r>
      <w:r w:rsidRPr="000C55F2">
        <w:rPr>
          <w:lang w:eastAsia="zh-CN"/>
        </w:rPr>
        <w:t xml:space="preserve">, </w:t>
      </w:r>
      <w:r w:rsidR="00D66DE0">
        <w:rPr>
          <w:lang w:eastAsia="zh-CN"/>
        </w:rPr>
        <w:t>RAN is to make a decision on how to handle the request in RAN#89-e.</w:t>
      </w:r>
    </w:p>
    <w:p w14:paraId="67627E04" w14:textId="77777777" w:rsidR="00D66DE0" w:rsidRPr="007F5EC6" w:rsidRDefault="00D66DE0" w:rsidP="00FF42AC"/>
    <w:p w14:paraId="678D5032" w14:textId="09AAF276" w:rsidR="00FF42AC" w:rsidRPr="00D74B92" w:rsidRDefault="00D66DE0" w:rsidP="00FF42AC">
      <w:pPr>
        <w:pStyle w:val="Heading1"/>
      </w:pPr>
      <w:r>
        <w:t>Discussion</w:t>
      </w:r>
    </w:p>
    <w:p w14:paraId="64A8B8D8" w14:textId="36DCA77C" w:rsidR="00D66DE0" w:rsidRDefault="00D66DE0" w:rsidP="00D66DE0">
      <w:pPr>
        <w:rPr>
          <w:rFonts w:eastAsia="MS Mincho"/>
        </w:rPr>
      </w:pPr>
      <w:r w:rsidRPr="00D66DE0">
        <w:rPr>
          <w:rFonts w:eastAsia="MS Mincho"/>
        </w:rPr>
        <w:t xml:space="preserve">The LS and interest from 5G ACIA is welcome, and </w:t>
      </w:r>
      <w:r w:rsidRPr="00307185">
        <w:rPr>
          <w:rFonts w:eastAsia="MS Mincho"/>
          <w:b/>
          <w:bCs/>
        </w:rPr>
        <w:t>we should endeavor to provide an informative reply to the evaluation request</w:t>
      </w:r>
      <w:r w:rsidRPr="00D66DE0">
        <w:rPr>
          <w:rFonts w:eastAsia="MS Mincho"/>
        </w:rPr>
        <w:t xml:space="preserve">. </w:t>
      </w:r>
      <w:r w:rsidR="00DE03CE">
        <w:rPr>
          <w:rFonts w:eastAsia="MS Mincho"/>
        </w:rPr>
        <w:t xml:space="preserve">The reply from RAN1 provides an estimate of the work, and a few options on how to organize the work. Here we expand more on a couple of aspects that were brought up in the RAN1 discussion (see email summary </w:t>
      </w:r>
      <w:r w:rsidR="00DE03CE">
        <w:rPr>
          <w:lang w:eastAsia="zh-CN"/>
        </w:rPr>
        <w:t xml:space="preserve">in </w:t>
      </w:r>
      <w:r w:rsidR="00C14B5C">
        <w:rPr>
          <w:lang w:eastAsia="zh-CN"/>
        </w:rPr>
        <w:t>[3]</w:t>
      </w:r>
      <w:r w:rsidR="00DE03CE">
        <w:rPr>
          <w:lang w:eastAsia="zh-CN"/>
        </w:rPr>
        <w:t>)</w:t>
      </w:r>
      <w:r w:rsidR="00DE03CE">
        <w:rPr>
          <w:rFonts w:eastAsia="MS Mincho"/>
        </w:rPr>
        <w:t>, that may not be evident from the LS response.</w:t>
      </w:r>
    </w:p>
    <w:p w14:paraId="6C93FC4C" w14:textId="4E985109" w:rsidR="00D66DE0" w:rsidRPr="00D66DE0" w:rsidRDefault="00DE03CE" w:rsidP="00D66DE0">
      <w:pPr>
        <w:rPr>
          <w:rFonts w:eastAsia="MS Mincho"/>
        </w:rPr>
      </w:pPr>
      <w:r>
        <w:rPr>
          <w:rFonts w:eastAsia="MS Mincho"/>
        </w:rPr>
        <w:t xml:space="preserve">First, the </w:t>
      </w:r>
      <w:r w:rsidR="00D66DE0" w:rsidRPr="00D66DE0">
        <w:rPr>
          <w:rFonts w:eastAsia="MS Mincho"/>
        </w:rPr>
        <w:t xml:space="preserve">estimates </w:t>
      </w:r>
      <w:r w:rsidR="00D66DE0">
        <w:rPr>
          <w:rFonts w:eastAsia="MS Mincho"/>
        </w:rPr>
        <w:t>from RAN1 of</w:t>
      </w:r>
      <w:r>
        <w:rPr>
          <w:rFonts w:eastAsia="MS Mincho"/>
        </w:rPr>
        <w:t xml:space="preserve"> </w:t>
      </w:r>
      <w:r w:rsidR="00D66DE0">
        <w:rPr>
          <w:rFonts w:eastAsia="MS Mincho"/>
        </w:rPr>
        <w:t>“</w:t>
      </w:r>
      <w:r w:rsidR="00D66DE0" w:rsidRPr="00D66DE0">
        <w:rPr>
          <w:rFonts w:eastAsia="MS Mincho"/>
        </w:rPr>
        <w:t>3-4 meetings with 0.5-1 TU per meeting</w:t>
      </w:r>
      <w:r w:rsidR="00D66DE0">
        <w:rPr>
          <w:rFonts w:eastAsia="MS Mincho"/>
        </w:rPr>
        <w:t>” are for calibrated results.</w:t>
      </w:r>
      <w:r>
        <w:rPr>
          <w:rFonts w:eastAsia="MS Mincho"/>
        </w:rPr>
        <w:t xml:space="preserve"> H</w:t>
      </w:r>
      <w:r w:rsidR="00D66DE0" w:rsidRPr="00D66DE0">
        <w:rPr>
          <w:rFonts w:eastAsia="MS Mincho"/>
        </w:rPr>
        <w:t>owever, a subset of results or a summary of several loosely calibrated results (similar to the results in the Rel-16 TR</w:t>
      </w:r>
      <w:r>
        <w:rPr>
          <w:rFonts w:eastAsia="MS Mincho"/>
        </w:rPr>
        <w:t xml:space="preserve"> 38.824</w:t>
      </w:r>
      <w:r w:rsidR="00D66DE0" w:rsidRPr="00D66DE0">
        <w:rPr>
          <w:rFonts w:eastAsia="MS Mincho"/>
        </w:rPr>
        <w:t>) might be achievable over two meetings with email discussions before-during-after. This may be similar to the time/effort that went into gathering and including the results in the Rel-16 TR, and would be preferred to dismissing the request</w:t>
      </w:r>
      <w:r>
        <w:rPr>
          <w:rFonts w:eastAsia="MS Mincho"/>
        </w:rPr>
        <w:t xml:space="preserve"> if the estimate </w:t>
      </w:r>
      <w:r w:rsidR="006D414B">
        <w:rPr>
          <w:rFonts w:eastAsia="MS Mincho"/>
        </w:rPr>
        <w:t xml:space="preserve">of </w:t>
      </w:r>
      <w:r>
        <w:rPr>
          <w:rFonts w:eastAsia="MS Mincho"/>
        </w:rPr>
        <w:t xml:space="preserve"> </w:t>
      </w:r>
      <w:r w:rsidR="006D414B">
        <w:rPr>
          <w:rFonts w:eastAsia="MS Mincho"/>
        </w:rPr>
        <w:t>“</w:t>
      </w:r>
      <w:r w:rsidR="006D414B" w:rsidRPr="00D66DE0">
        <w:rPr>
          <w:rFonts w:eastAsia="MS Mincho"/>
        </w:rPr>
        <w:t>3-4 meetings with 0.5-1 TU per meeting</w:t>
      </w:r>
      <w:r w:rsidR="006D414B">
        <w:rPr>
          <w:rFonts w:eastAsia="MS Mincho"/>
        </w:rPr>
        <w:t xml:space="preserve">” is not </w:t>
      </w:r>
      <w:r>
        <w:rPr>
          <w:rFonts w:eastAsia="MS Mincho"/>
        </w:rPr>
        <w:t>agreeable</w:t>
      </w:r>
      <w:r w:rsidR="00D66DE0" w:rsidRPr="00D66DE0">
        <w:rPr>
          <w:rFonts w:eastAsia="MS Mincho"/>
        </w:rPr>
        <w:t>.</w:t>
      </w:r>
    </w:p>
    <w:p w14:paraId="29167BA8" w14:textId="79113805" w:rsidR="006D414B" w:rsidRDefault="00DE03CE" w:rsidP="00D66DE0">
      <w:pPr>
        <w:rPr>
          <w:rFonts w:eastAsia="MS Mincho"/>
        </w:rPr>
      </w:pPr>
      <w:r>
        <w:rPr>
          <w:rFonts w:eastAsia="MS Mincho"/>
        </w:rPr>
        <w:t xml:space="preserve">Second, </w:t>
      </w:r>
      <w:r w:rsidR="006D414B">
        <w:rPr>
          <w:rFonts w:eastAsia="MS Mincho"/>
        </w:rPr>
        <w:t>the LS mentioned three options for handling: a separate study item, as part of Rel-17 URLLC/</w:t>
      </w:r>
      <w:proofErr w:type="spellStart"/>
      <w:r w:rsidR="006D414B">
        <w:rPr>
          <w:rFonts w:eastAsia="MS Mincho"/>
        </w:rPr>
        <w:t>IIoT</w:t>
      </w:r>
      <w:proofErr w:type="spellEnd"/>
      <w:r w:rsidR="006D414B">
        <w:rPr>
          <w:rFonts w:eastAsia="MS Mincho"/>
        </w:rPr>
        <w:t xml:space="preserve"> work item, or maintenance. The first option is clear: w</w:t>
      </w:r>
      <w:r w:rsidR="00D66DE0" w:rsidRPr="00D66DE0">
        <w:rPr>
          <w:rFonts w:eastAsia="MS Mincho"/>
        </w:rPr>
        <w:t>e already have the small XR study item for further evaluating another of the URLLC use cases in 38.824 TR, AR/VR</w:t>
      </w:r>
      <w:r w:rsidR="006D414B">
        <w:rPr>
          <w:rFonts w:eastAsia="MS Mincho"/>
        </w:rPr>
        <w:t>, and w</w:t>
      </w:r>
      <w:r w:rsidR="00D66DE0" w:rsidRPr="00D66DE0">
        <w:rPr>
          <w:rFonts w:eastAsia="MS Mincho"/>
        </w:rPr>
        <w:t>e could do the same for these further URLLC evaluations</w:t>
      </w:r>
      <w:r w:rsidR="006D414B">
        <w:rPr>
          <w:rFonts w:eastAsia="MS Mincho"/>
        </w:rPr>
        <w:t xml:space="preserve">. </w:t>
      </w:r>
      <w:r w:rsidR="00915B25">
        <w:rPr>
          <w:rFonts w:eastAsia="MS Mincho"/>
        </w:rPr>
        <w:t>For the second option, t</w:t>
      </w:r>
      <w:r w:rsidR="006D414B" w:rsidRPr="00D66DE0">
        <w:rPr>
          <w:rFonts w:eastAsia="MS Mincho"/>
        </w:rPr>
        <w:t xml:space="preserve">here is also nothing to prevent us from adding to the Rel-17 </w:t>
      </w:r>
      <w:proofErr w:type="spellStart"/>
      <w:r w:rsidR="006D414B" w:rsidRPr="00D66DE0">
        <w:rPr>
          <w:rFonts w:eastAsia="MS Mincho"/>
        </w:rPr>
        <w:t>IIoT</w:t>
      </w:r>
      <w:proofErr w:type="spellEnd"/>
      <w:r w:rsidR="006D414B" w:rsidRPr="00D66DE0">
        <w:rPr>
          <w:rFonts w:eastAsia="MS Mincho"/>
        </w:rPr>
        <w:t xml:space="preserve"> WI, which is already a bit of a catch all with the objective for compatibility with unlicensed.</w:t>
      </w:r>
      <w:r w:rsidR="006D414B">
        <w:rPr>
          <w:rFonts w:eastAsia="MS Mincho"/>
        </w:rPr>
        <w:t xml:space="preserve"> </w:t>
      </w:r>
      <w:r w:rsidR="00915B25">
        <w:rPr>
          <w:rFonts w:eastAsia="MS Mincho"/>
        </w:rPr>
        <w:t xml:space="preserve">Other existing SI or WI may also be possible. </w:t>
      </w:r>
      <w:r w:rsidR="006D414B">
        <w:rPr>
          <w:rFonts w:eastAsia="MS Mincho"/>
        </w:rPr>
        <w:t>For maintenance, it would be maintenance for the CR for the TR 38.824, not for the Rel-16 specifications. The</w:t>
      </w:r>
      <w:r w:rsidR="005A0ABE">
        <w:rPr>
          <w:rFonts w:eastAsia="MS Mincho"/>
        </w:rPr>
        <w:t>re is also the</w:t>
      </w:r>
      <w:r w:rsidR="006D414B">
        <w:rPr>
          <w:rFonts w:eastAsia="MS Mincho"/>
        </w:rPr>
        <w:t xml:space="preserve"> fourth (obvious) way to handle is under the LS agenda, which always has some amount of time available for LS requests.</w:t>
      </w:r>
    </w:p>
    <w:p w14:paraId="13A116CC" w14:textId="02DCB52C" w:rsidR="00D66DE0" w:rsidRPr="008F7AC6" w:rsidRDefault="00D66DE0" w:rsidP="00D66DE0">
      <w:pPr>
        <w:rPr>
          <w:rFonts w:eastAsia="MS Mincho"/>
        </w:rPr>
      </w:pPr>
      <w:r w:rsidRPr="008F7AC6">
        <w:rPr>
          <w:rFonts w:eastAsia="MS Mincho"/>
        </w:rPr>
        <w:t>So options for handling include:</w:t>
      </w:r>
    </w:p>
    <w:p w14:paraId="25F44D67" w14:textId="429C416D" w:rsidR="00D66DE0" w:rsidRPr="008F7AC6" w:rsidRDefault="00D66DE0" w:rsidP="00915B25">
      <w:pPr>
        <w:pStyle w:val="ListParagraph"/>
        <w:numPr>
          <w:ilvl w:val="0"/>
          <w:numId w:val="16"/>
        </w:numPr>
        <w:rPr>
          <w:rFonts w:ascii="Times New Roman" w:eastAsia="MS Mincho" w:hAnsi="Times New Roman"/>
        </w:rPr>
      </w:pPr>
      <w:r w:rsidRPr="008F7AC6">
        <w:rPr>
          <w:rFonts w:ascii="Times New Roman" w:eastAsia="MS Mincho" w:hAnsi="Times New Roman"/>
        </w:rPr>
        <w:t>New small SI, similar to the XR SI</w:t>
      </w:r>
    </w:p>
    <w:p w14:paraId="284A3239" w14:textId="59F2F2B3" w:rsidR="00D66DE0" w:rsidRPr="008F7AC6" w:rsidRDefault="00D66DE0" w:rsidP="00915B25">
      <w:pPr>
        <w:pStyle w:val="ListParagraph"/>
        <w:numPr>
          <w:ilvl w:val="0"/>
          <w:numId w:val="16"/>
        </w:numPr>
        <w:rPr>
          <w:rFonts w:ascii="Times New Roman" w:eastAsia="MS Mincho" w:hAnsi="Times New Roman"/>
        </w:rPr>
      </w:pPr>
      <w:r w:rsidRPr="008F7AC6">
        <w:rPr>
          <w:rFonts w:ascii="Times New Roman" w:eastAsia="MS Mincho" w:hAnsi="Times New Roman"/>
        </w:rPr>
        <w:t>Add into an existing SI or WI</w:t>
      </w:r>
    </w:p>
    <w:p w14:paraId="556EC817" w14:textId="5249D6EE" w:rsidR="00D66DE0" w:rsidRPr="008F7AC6" w:rsidRDefault="00D66DE0" w:rsidP="00915B25">
      <w:pPr>
        <w:pStyle w:val="ListParagraph"/>
        <w:numPr>
          <w:ilvl w:val="0"/>
          <w:numId w:val="16"/>
        </w:numPr>
        <w:rPr>
          <w:rFonts w:ascii="Times New Roman" w:eastAsia="MS Mincho" w:hAnsi="Times New Roman"/>
        </w:rPr>
      </w:pPr>
      <w:r w:rsidRPr="008F7AC6">
        <w:rPr>
          <w:rFonts w:ascii="Times New Roman" w:eastAsia="MS Mincho" w:hAnsi="Times New Roman"/>
        </w:rPr>
        <w:t>Handle as a CR for the TR38.824</w:t>
      </w:r>
    </w:p>
    <w:p w14:paraId="6C4C34BF" w14:textId="2F3CC93E" w:rsidR="00915B25" w:rsidRPr="008F7AC6" w:rsidRDefault="00915B25" w:rsidP="00915B25">
      <w:pPr>
        <w:pStyle w:val="ListParagraph"/>
        <w:numPr>
          <w:ilvl w:val="0"/>
          <w:numId w:val="16"/>
        </w:numPr>
        <w:rPr>
          <w:rFonts w:ascii="Times New Roman" w:eastAsia="MS Mincho" w:hAnsi="Times New Roman"/>
        </w:rPr>
      </w:pPr>
      <w:r w:rsidRPr="008F7AC6">
        <w:rPr>
          <w:rFonts w:ascii="Times New Roman" w:eastAsia="MS Mincho" w:hAnsi="Times New Roman"/>
        </w:rPr>
        <w:t>Handle as an LS response</w:t>
      </w:r>
    </w:p>
    <w:p w14:paraId="65421309" w14:textId="18DBAEE4" w:rsidR="00CD49DC" w:rsidRPr="00D74B92" w:rsidRDefault="00915B25" w:rsidP="007F5EC6">
      <w:r>
        <w:rPr>
          <w:rFonts w:eastAsia="MS Mincho"/>
        </w:rPr>
        <w:t>There are various tradeoffs for the options, but none seem to be a showstopper if there is a genuine will to do the work. For the first two options, it may be best to start the study after the RAN1 SI due to finish in December 2020 (</w:t>
      </w:r>
      <w:proofErr w:type="spellStart"/>
      <w:r>
        <w:rPr>
          <w:rFonts w:eastAsia="MS Mincho"/>
        </w:rPr>
        <w:t>RedCap</w:t>
      </w:r>
      <w:proofErr w:type="spellEnd"/>
      <w:r>
        <w:rPr>
          <w:rFonts w:eastAsia="MS Mincho"/>
        </w:rPr>
        <w:t>, Pos, CE, &gt;52 GHz) are completed. The study or study objective could run for a few meetings till the end of Rel-17, similar to the XR study item.</w:t>
      </w:r>
      <w:r w:rsidR="008F7AC6">
        <w:rPr>
          <w:rFonts w:eastAsia="MS Mincho"/>
        </w:rPr>
        <w:t xml:space="preserve"> For the third option, the evals would </w:t>
      </w:r>
      <w:r w:rsidR="00E97603">
        <w:rPr>
          <w:rFonts w:eastAsia="MS Mincho"/>
        </w:rPr>
        <w:t>need</w:t>
      </w:r>
      <w:r w:rsidR="008F7AC6">
        <w:rPr>
          <w:rFonts w:eastAsia="MS Mincho"/>
        </w:rPr>
        <w:t xml:space="preserve"> to note they are based on the </w:t>
      </w:r>
      <w:r w:rsidR="00E97603">
        <w:rPr>
          <w:rFonts w:eastAsia="MS Mincho"/>
        </w:rPr>
        <w:t>Rel-16 specifications, which in some cases may yield different results than if the TR descriptions were followed. The fourth option may not be preferred if the work is very large or would involve back-and-forth between multiple WGs, where project management should be used. For collecting in a best-effort manner any available results</w:t>
      </w:r>
      <w:r w:rsidR="00307185">
        <w:rPr>
          <w:rFonts w:eastAsia="MS Mincho"/>
        </w:rPr>
        <w:t xml:space="preserve"> over a meeting or two, handling as an LS response should be fine.</w:t>
      </w:r>
      <w:bookmarkStart w:id="2" w:name="_Ref129681832"/>
    </w:p>
    <w:p w14:paraId="18B94AA5" w14:textId="4F262795" w:rsidR="00157FC3" w:rsidRPr="00493C77" w:rsidRDefault="00747F48" w:rsidP="00493C77">
      <w:pPr>
        <w:pStyle w:val="Heading1"/>
      </w:pPr>
      <w:r w:rsidRPr="00493C77">
        <w:lastRenderedPageBreak/>
        <w:t>Conclusion</w:t>
      </w:r>
      <w:r w:rsidR="006B1FD5" w:rsidRPr="00493C77">
        <w:t>s</w:t>
      </w:r>
    </w:p>
    <w:p w14:paraId="4267B720" w14:textId="0669BC35" w:rsidR="00307185" w:rsidRDefault="00307185" w:rsidP="00BE37D3">
      <w:r>
        <w:t>3GPP RAN should try to accommodate the request from 5G ACIA.</w:t>
      </w:r>
    </w:p>
    <w:p w14:paraId="24D9F021" w14:textId="77777777" w:rsidR="00BE37D3" w:rsidRDefault="00BE37D3" w:rsidP="00BE37D3">
      <w:pPr>
        <w:rPr>
          <w:b/>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6F4A34C7" w14:textId="6C8DE273" w:rsidR="00C94C64" w:rsidRDefault="00307185" w:rsidP="00307185">
      <w:pPr>
        <w:pStyle w:val="References"/>
      </w:pPr>
      <w:r>
        <w:rPr>
          <w:lang w:eastAsia="zh-CN"/>
        </w:rPr>
        <w:fldChar w:fldCharType="begin"/>
      </w:r>
      <w:r>
        <w:rPr>
          <w:lang w:eastAsia="zh-CN"/>
        </w:rPr>
        <w:instrText xml:space="preserve"> HYPERLINK "https://www.3gpp.org/ftp/tsg_ran/TSG_RAN/TSGR_88e/LSin/RP-201279.zip" </w:instrText>
      </w:r>
      <w:r>
        <w:rPr>
          <w:lang w:eastAsia="zh-CN"/>
        </w:rPr>
        <w:fldChar w:fldCharType="separate"/>
      </w:r>
      <w:r w:rsidRPr="00D66DE0">
        <w:rPr>
          <w:rStyle w:val="Hyperlink"/>
          <w:lang w:eastAsia="zh-CN"/>
        </w:rPr>
        <w:t>RP-201279</w:t>
      </w:r>
      <w:r>
        <w:rPr>
          <w:lang w:eastAsia="zh-CN"/>
        </w:rPr>
        <w:fldChar w:fldCharType="end"/>
      </w:r>
      <w:r>
        <w:rPr>
          <w:lang w:eastAsia="zh-CN"/>
        </w:rPr>
        <w:t>, “</w:t>
      </w:r>
      <w:r w:rsidRPr="00307185">
        <w:rPr>
          <w:lang w:eastAsia="zh-CN"/>
        </w:rPr>
        <w:t xml:space="preserve">LS on 3GPP NR Rel-16 URLLC and </w:t>
      </w:r>
      <w:proofErr w:type="spellStart"/>
      <w:r w:rsidRPr="00307185">
        <w:rPr>
          <w:lang w:eastAsia="zh-CN"/>
        </w:rPr>
        <w:t>IIoT</w:t>
      </w:r>
      <w:proofErr w:type="spellEnd"/>
      <w:r w:rsidRPr="00307185">
        <w:rPr>
          <w:lang w:eastAsia="zh-CN"/>
        </w:rPr>
        <w:t xml:space="preserve"> performance evaluation</w:t>
      </w:r>
      <w:r>
        <w:rPr>
          <w:lang w:eastAsia="zh-CN"/>
        </w:rPr>
        <w:t xml:space="preserve">,” </w:t>
      </w:r>
      <w:r w:rsidRPr="00307185">
        <w:rPr>
          <w:lang w:eastAsia="zh-CN"/>
        </w:rPr>
        <w:t>5G Alliance for Connected Industries and Automation (5G-ACIA)</w:t>
      </w:r>
      <w:r>
        <w:rPr>
          <w:lang w:eastAsia="zh-CN"/>
        </w:rPr>
        <w:t>.</w:t>
      </w:r>
    </w:p>
    <w:p w14:paraId="611607DA" w14:textId="5D20D062" w:rsidR="00307185" w:rsidRDefault="00E21004" w:rsidP="00307185">
      <w:pPr>
        <w:pStyle w:val="References"/>
      </w:pPr>
      <w:hyperlink r:id="rId8" w:history="1">
        <w:r w:rsidR="00307185" w:rsidRPr="00D66DE0">
          <w:rPr>
            <w:rStyle w:val="Hyperlink"/>
            <w:lang w:eastAsia="zh-CN"/>
          </w:rPr>
          <w:t>RP-201434</w:t>
        </w:r>
      </w:hyperlink>
      <w:r w:rsidR="00307185">
        <w:rPr>
          <w:lang w:eastAsia="zh-CN"/>
        </w:rPr>
        <w:t>, “</w:t>
      </w:r>
      <w:r w:rsidR="00307185" w:rsidRPr="00307185">
        <w:rPr>
          <w:lang w:eastAsia="zh-CN"/>
        </w:rPr>
        <w:t>LS on RAN1 discussion on simulations for 5G-ACIA</w:t>
      </w:r>
      <w:r w:rsidR="00307185">
        <w:rPr>
          <w:lang w:eastAsia="zh-CN"/>
        </w:rPr>
        <w:t>”</w:t>
      </w:r>
    </w:p>
    <w:p w14:paraId="475E70B8" w14:textId="50C35799" w:rsidR="00307185" w:rsidRPr="007F5EC6" w:rsidRDefault="00E21004" w:rsidP="00307185">
      <w:pPr>
        <w:pStyle w:val="References"/>
      </w:pPr>
      <w:hyperlink r:id="rId9" w:history="1">
        <w:r w:rsidR="000C55F2" w:rsidRPr="000C55F2">
          <w:rPr>
            <w:rStyle w:val="Hyperlink"/>
            <w:lang w:eastAsia="zh-CN"/>
          </w:rPr>
          <w:t>R1-2007185</w:t>
        </w:r>
      </w:hyperlink>
      <w:r w:rsidR="00307185">
        <w:rPr>
          <w:lang w:eastAsia="zh-CN"/>
        </w:rPr>
        <w:t>, “</w:t>
      </w:r>
      <w:r w:rsidR="00C14B5C" w:rsidRPr="00C14B5C">
        <w:rPr>
          <w:lang w:eastAsia="zh-CN"/>
        </w:rPr>
        <w:t>Email discussion on 5G-ACIA LS</w:t>
      </w:r>
      <w:r w:rsidR="00C14B5C">
        <w:rPr>
          <w:lang w:eastAsia="zh-CN"/>
        </w:rPr>
        <w:t>”</w:t>
      </w:r>
    </w:p>
    <w:sectPr w:rsidR="00307185"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03B5F" w14:textId="77777777" w:rsidR="00E21004" w:rsidRDefault="00E21004">
      <w:r>
        <w:separator/>
      </w:r>
    </w:p>
  </w:endnote>
  <w:endnote w:type="continuationSeparator" w:id="0">
    <w:p w14:paraId="1F97518C" w14:textId="77777777" w:rsidR="00E21004" w:rsidRDefault="00E2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7E83B" w14:textId="77777777" w:rsidR="00E21004" w:rsidRDefault="00E21004">
      <w:r>
        <w:separator/>
      </w:r>
    </w:p>
  </w:footnote>
  <w:footnote w:type="continuationSeparator" w:id="0">
    <w:p w14:paraId="4CCCCD6A" w14:textId="77777777" w:rsidR="00E21004" w:rsidRDefault="00E21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7646D"/>
    <w:multiLevelType w:val="hybridMultilevel"/>
    <w:tmpl w:val="9F4A6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A34382E"/>
    <w:multiLevelType w:val="hybridMultilevel"/>
    <w:tmpl w:val="E93AFD7E"/>
    <w:lvl w:ilvl="0" w:tplc="0409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517BBE"/>
    <w:multiLevelType w:val="hybridMultilevel"/>
    <w:tmpl w:val="F2A40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194E21"/>
    <w:multiLevelType w:val="hybridMultilevel"/>
    <w:tmpl w:val="E3CEF654"/>
    <w:lvl w:ilvl="0" w:tplc="FE803C76">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70C84"/>
    <w:multiLevelType w:val="hybridMultilevel"/>
    <w:tmpl w:val="05248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F1105"/>
    <w:multiLevelType w:val="hybridMultilevel"/>
    <w:tmpl w:val="618E140A"/>
    <w:lvl w:ilvl="0" w:tplc="6F7ED2B8">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BB14457"/>
    <w:multiLevelType w:val="hybridMultilevel"/>
    <w:tmpl w:val="05248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A4ADA"/>
    <w:multiLevelType w:val="hybridMultilevel"/>
    <w:tmpl w:val="9FD2B240"/>
    <w:lvl w:ilvl="0" w:tplc="F5B837CC">
      <w:start w:val="1"/>
      <w:numFmt w:val="bullet"/>
      <w:lvlText w:val="•"/>
      <w:lvlJc w:val="left"/>
      <w:pPr>
        <w:tabs>
          <w:tab w:val="num" w:pos="720"/>
        </w:tabs>
        <w:ind w:left="720" w:hanging="360"/>
      </w:pPr>
      <w:rPr>
        <w:rFonts w:ascii="Arial" w:hAnsi="Arial" w:hint="default"/>
      </w:rPr>
    </w:lvl>
    <w:lvl w:ilvl="1" w:tplc="1CC40E4E">
      <w:numFmt w:val="bullet"/>
      <w:lvlText w:val="•"/>
      <w:lvlJc w:val="left"/>
      <w:pPr>
        <w:tabs>
          <w:tab w:val="num" w:pos="1440"/>
        </w:tabs>
        <w:ind w:left="1440" w:hanging="360"/>
      </w:pPr>
      <w:rPr>
        <w:rFonts w:ascii="Arial" w:hAnsi="Arial" w:hint="default"/>
      </w:rPr>
    </w:lvl>
    <w:lvl w:ilvl="2" w:tplc="132CF3B8">
      <w:numFmt w:val="bullet"/>
      <w:lvlText w:val="•"/>
      <w:lvlJc w:val="left"/>
      <w:pPr>
        <w:tabs>
          <w:tab w:val="num" w:pos="2160"/>
        </w:tabs>
        <w:ind w:left="2160" w:hanging="360"/>
      </w:pPr>
      <w:rPr>
        <w:rFonts w:ascii="Arial" w:hAnsi="Arial" w:hint="default"/>
      </w:rPr>
    </w:lvl>
    <w:lvl w:ilvl="3" w:tplc="9A9A8DB0" w:tentative="1">
      <w:start w:val="1"/>
      <w:numFmt w:val="bullet"/>
      <w:lvlText w:val="•"/>
      <w:lvlJc w:val="left"/>
      <w:pPr>
        <w:tabs>
          <w:tab w:val="num" w:pos="2880"/>
        </w:tabs>
        <w:ind w:left="2880" w:hanging="360"/>
      </w:pPr>
      <w:rPr>
        <w:rFonts w:ascii="Arial" w:hAnsi="Arial" w:hint="default"/>
      </w:rPr>
    </w:lvl>
    <w:lvl w:ilvl="4" w:tplc="0D50F0D4" w:tentative="1">
      <w:start w:val="1"/>
      <w:numFmt w:val="bullet"/>
      <w:lvlText w:val="•"/>
      <w:lvlJc w:val="left"/>
      <w:pPr>
        <w:tabs>
          <w:tab w:val="num" w:pos="3600"/>
        </w:tabs>
        <w:ind w:left="3600" w:hanging="360"/>
      </w:pPr>
      <w:rPr>
        <w:rFonts w:ascii="Arial" w:hAnsi="Arial" w:hint="default"/>
      </w:rPr>
    </w:lvl>
    <w:lvl w:ilvl="5" w:tplc="AF62E954" w:tentative="1">
      <w:start w:val="1"/>
      <w:numFmt w:val="bullet"/>
      <w:lvlText w:val="•"/>
      <w:lvlJc w:val="left"/>
      <w:pPr>
        <w:tabs>
          <w:tab w:val="num" w:pos="4320"/>
        </w:tabs>
        <w:ind w:left="4320" w:hanging="360"/>
      </w:pPr>
      <w:rPr>
        <w:rFonts w:ascii="Arial" w:hAnsi="Arial" w:hint="default"/>
      </w:rPr>
    </w:lvl>
    <w:lvl w:ilvl="6" w:tplc="FFCE2862" w:tentative="1">
      <w:start w:val="1"/>
      <w:numFmt w:val="bullet"/>
      <w:lvlText w:val="•"/>
      <w:lvlJc w:val="left"/>
      <w:pPr>
        <w:tabs>
          <w:tab w:val="num" w:pos="5040"/>
        </w:tabs>
        <w:ind w:left="5040" w:hanging="360"/>
      </w:pPr>
      <w:rPr>
        <w:rFonts w:ascii="Arial" w:hAnsi="Arial" w:hint="default"/>
      </w:rPr>
    </w:lvl>
    <w:lvl w:ilvl="7" w:tplc="9B488F7C" w:tentative="1">
      <w:start w:val="1"/>
      <w:numFmt w:val="bullet"/>
      <w:lvlText w:val="•"/>
      <w:lvlJc w:val="left"/>
      <w:pPr>
        <w:tabs>
          <w:tab w:val="num" w:pos="5760"/>
        </w:tabs>
        <w:ind w:left="5760" w:hanging="360"/>
      </w:pPr>
      <w:rPr>
        <w:rFonts w:ascii="Arial" w:hAnsi="Arial" w:hint="default"/>
      </w:rPr>
    </w:lvl>
    <w:lvl w:ilvl="8" w:tplc="F4B69B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D04D64"/>
    <w:multiLevelType w:val="hybridMultilevel"/>
    <w:tmpl w:val="66C0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5721D"/>
    <w:multiLevelType w:val="hybridMultilevel"/>
    <w:tmpl w:val="51546684"/>
    <w:lvl w:ilvl="0" w:tplc="E08046AA">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2"/>
  </w:num>
  <w:num w:numId="4">
    <w:abstractNumId w:val="2"/>
  </w:num>
  <w:num w:numId="5">
    <w:abstractNumId w:val="10"/>
  </w:num>
  <w:num w:numId="6">
    <w:abstractNumId w:val="0"/>
  </w:num>
  <w:num w:numId="7">
    <w:abstractNumId w:val="1"/>
  </w:num>
  <w:num w:numId="8">
    <w:abstractNumId w:val="7"/>
  </w:num>
  <w:num w:numId="9">
    <w:abstractNumId w:val="4"/>
  </w:num>
  <w:num w:numId="10">
    <w:abstractNumId w:val="3"/>
  </w:num>
  <w:num w:numId="11">
    <w:abstractNumId w:val="11"/>
  </w:num>
  <w:num w:numId="12">
    <w:abstractNumId w:val="9"/>
  </w:num>
  <w:num w:numId="13">
    <w:abstractNumId w:val="13"/>
  </w:num>
  <w:num w:numId="14">
    <w:abstractNumId w:val="14"/>
  </w:num>
  <w:num w:numId="15">
    <w:abstractNumId w:val="15"/>
  </w:num>
  <w:num w:numId="16">
    <w:abstractNumId w:val="6"/>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6B9"/>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5F0"/>
    <w:rsid w:val="00011F67"/>
    <w:rsid w:val="00012862"/>
    <w:rsid w:val="000128E6"/>
    <w:rsid w:val="00012F77"/>
    <w:rsid w:val="00013371"/>
    <w:rsid w:val="00015A05"/>
    <w:rsid w:val="00015EFB"/>
    <w:rsid w:val="000165E2"/>
    <w:rsid w:val="00016B0E"/>
    <w:rsid w:val="00016EF9"/>
    <w:rsid w:val="00016F27"/>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D21"/>
    <w:rsid w:val="00047D47"/>
    <w:rsid w:val="00047E60"/>
    <w:rsid w:val="00050D8A"/>
    <w:rsid w:val="00050F01"/>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BA3"/>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5F2"/>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086"/>
    <w:rsid w:val="00155122"/>
    <w:rsid w:val="001559FA"/>
    <w:rsid w:val="00156374"/>
    <w:rsid w:val="001572C1"/>
    <w:rsid w:val="001577D8"/>
    <w:rsid w:val="00157FC3"/>
    <w:rsid w:val="00160739"/>
    <w:rsid w:val="00161FE4"/>
    <w:rsid w:val="0016271E"/>
    <w:rsid w:val="0016296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38D"/>
    <w:rsid w:val="001A1762"/>
    <w:rsid w:val="001A180D"/>
    <w:rsid w:val="001A1BAC"/>
    <w:rsid w:val="001A23CE"/>
    <w:rsid w:val="001A2C89"/>
    <w:rsid w:val="001A4965"/>
    <w:rsid w:val="001A57EE"/>
    <w:rsid w:val="001A5C71"/>
    <w:rsid w:val="001A673E"/>
    <w:rsid w:val="001A7763"/>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DBB"/>
    <w:rsid w:val="001C0F3E"/>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A5A"/>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BB"/>
    <w:rsid w:val="00220894"/>
    <w:rsid w:val="0022095C"/>
    <w:rsid w:val="00221772"/>
    <w:rsid w:val="00224952"/>
    <w:rsid w:val="00224DD2"/>
    <w:rsid w:val="00225905"/>
    <w:rsid w:val="00225A6A"/>
    <w:rsid w:val="00225AC7"/>
    <w:rsid w:val="00225ACC"/>
    <w:rsid w:val="00227D68"/>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7A3"/>
    <w:rsid w:val="00245E6C"/>
    <w:rsid w:val="00245F1F"/>
    <w:rsid w:val="0024663B"/>
    <w:rsid w:val="00246F24"/>
    <w:rsid w:val="00247103"/>
    <w:rsid w:val="00250067"/>
    <w:rsid w:val="00250D56"/>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3FB"/>
    <w:rsid w:val="00270728"/>
    <w:rsid w:val="00270D42"/>
    <w:rsid w:val="00270FA0"/>
    <w:rsid w:val="002714D5"/>
    <w:rsid w:val="0027195D"/>
    <w:rsid w:val="002724CE"/>
    <w:rsid w:val="00272B03"/>
    <w:rsid w:val="002733E2"/>
    <w:rsid w:val="002750B1"/>
    <w:rsid w:val="00276A35"/>
    <w:rsid w:val="00276F36"/>
    <w:rsid w:val="002774DD"/>
    <w:rsid w:val="00277835"/>
    <w:rsid w:val="0028077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2"/>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865"/>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3E57"/>
    <w:rsid w:val="002D4171"/>
    <w:rsid w:val="002D438A"/>
    <w:rsid w:val="002D5152"/>
    <w:rsid w:val="002D53C8"/>
    <w:rsid w:val="002D56E4"/>
    <w:rsid w:val="002D5738"/>
    <w:rsid w:val="002D5C0C"/>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2D66"/>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185"/>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67D"/>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4A4"/>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AC2"/>
    <w:rsid w:val="003A3D39"/>
    <w:rsid w:val="003A3EC7"/>
    <w:rsid w:val="003A40B4"/>
    <w:rsid w:val="003A4C3F"/>
    <w:rsid w:val="003A597E"/>
    <w:rsid w:val="003A5A88"/>
    <w:rsid w:val="003A5BAD"/>
    <w:rsid w:val="003A7702"/>
    <w:rsid w:val="003A7834"/>
    <w:rsid w:val="003B0B5B"/>
    <w:rsid w:val="003B0CE2"/>
    <w:rsid w:val="003B0E79"/>
    <w:rsid w:val="003B16CD"/>
    <w:rsid w:val="003B19A2"/>
    <w:rsid w:val="003B30BF"/>
    <w:rsid w:val="003B31B1"/>
    <w:rsid w:val="003B3575"/>
    <w:rsid w:val="003B38D1"/>
    <w:rsid w:val="003B50BC"/>
    <w:rsid w:val="003B520D"/>
    <w:rsid w:val="003B5D97"/>
    <w:rsid w:val="003B63A4"/>
    <w:rsid w:val="003B68FE"/>
    <w:rsid w:val="003B6D7D"/>
    <w:rsid w:val="003B7A03"/>
    <w:rsid w:val="003B7D7E"/>
    <w:rsid w:val="003C04B9"/>
    <w:rsid w:val="003C1012"/>
    <w:rsid w:val="003C101F"/>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1A3"/>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0051"/>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1FF"/>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90D"/>
    <w:rsid w:val="00431AF0"/>
    <w:rsid w:val="0043213A"/>
    <w:rsid w:val="0043260B"/>
    <w:rsid w:val="004330F4"/>
    <w:rsid w:val="00433590"/>
    <w:rsid w:val="0043393D"/>
    <w:rsid w:val="0043434B"/>
    <w:rsid w:val="004344C7"/>
    <w:rsid w:val="00435274"/>
    <w:rsid w:val="004352AD"/>
    <w:rsid w:val="0043545D"/>
    <w:rsid w:val="0043547E"/>
    <w:rsid w:val="00435638"/>
    <w:rsid w:val="00435FE2"/>
    <w:rsid w:val="004362BA"/>
    <w:rsid w:val="00436E2F"/>
    <w:rsid w:val="00436EAB"/>
    <w:rsid w:val="004376CE"/>
    <w:rsid w:val="004423FF"/>
    <w:rsid w:val="00442E51"/>
    <w:rsid w:val="004434F4"/>
    <w:rsid w:val="00443D0E"/>
    <w:rsid w:val="0044431E"/>
    <w:rsid w:val="00445E81"/>
    <w:rsid w:val="004461D9"/>
    <w:rsid w:val="00446AC6"/>
    <w:rsid w:val="0044759B"/>
    <w:rsid w:val="00447F54"/>
    <w:rsid w:val="0045037E"/>
    <w:rsid w:val="00450B7E"/>
    <w:rsid w:val="0045134F"/>
    <w:rsid w:val="0045136B"/>
    <w:rsid w:val="00451C7E"/>
    <w:rsid w:val="00453BB6"/>
    <w:rsid w:val="00453CAA"/>
    <w:rsid w:val="004540AB"/>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330"/>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3A6"/>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17F"/>
    <w:rsid w:val="004E1A31"/>
    <w:rsid w:val="004E1C6F"/>
    <w:rsid w:val="004E20C6"/>
    <w:rsid w:val="004E2413"/>
    <w:rsid w:val="004E2971"/>
    <w:rsid w:val="004E298C"/>
    <w:rsid w:val="004E2DE0"/>
    <w:rsid w:val="004E4060"/>
    <w:rsid w:val="004E409A"/>
    <w:rsid w:val="004E4456"/>
    <w:rsid w:val="004E734D"/>
    <w:rsid w:val="004E73A8"/>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0A37"/>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4B3"/>
    <w:rsid w:val="00533737"/>
    <w:rsid w:val="00533D90"/>
    <w:rsid w:val="00535079"/>
    <w:rsid w:val="00535B79"/>
    <w:rsid w:val="00535D7C"/>
    <w:rsid w:val="00536579"/>
    <w:rsid w:val="00536C1E"/>
    <w:rsid w:val="00536DCF"/>
    <w:rsid w:val="005370EF"/>
    <w:rsid w:val="005373F0"/>
    <w:rsid w:val="005377B4"/>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57"/>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C53"/>
    <w:rsid w:val="00584416"/>
    <w:rsid w:val="005845C5"/>
    <w:rsid w:val="00584874"/>
    <w:rsid w:val="00584B39"/>
    <w:rsid w:val="00585028"/>
    <w:rsid w:val="00585253"/>
    <w:rsid w:val="005854D1"/>
    <w:rsid w:val="005856A2"/>
    <w:rsid w:val="0058590B"/>
    <w:rsid w:val="00585F5B"/>
    <w:rsid w:val="0058620A"/>
    <w:rsid w:val="00587452"/>
    <w:rsid w:val="00587ACC"/>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ABE"/>
    <w:rsid w:val="005A10B9"/>
    <w:rsid w:val="005A11EA"/>
    <w:rsid w:val="005A1BF0"/>
    <w:rsid w:val="005A269F"/>
    <w:rsid w:val="005A305E"/>
    <w:rsid w:val="005A30BB"/>
    <w:rsid w:val="005A3887"/>
    <w:rsid w:val="005A57EA"/>
    <w:rsid w:val="005A5E23"/>
    <w:rsid w:val="005B0529"/>
    <w:rsid w:val="005B0542"/>
    <w:rsid w:val="005B1C65"/>
    <w:rsid w:val="005B1FD1"/>
    <w:rsid w:val="005B2225"/>
    <w:rsid w:val="005B2799"/>
    <w:rsid w:val="005B2B77"/>
    <w:rsid w:val="005B3330"/>
    <w:rsid w:val="005B3D4A"/>
    <w:rsid w:val="005B4D87"/>
    <w:rsid w:val="005B4DD4"/>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E88"/>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8E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6DD"/>
    <w:rsid w:val="0062660B"/>
    <w:rsid w:val="00626AD1"/>
    <w:rsid w:val="006272A4"/>
    <w:rsid w:val="00627A58"/>
    <w:rsid w:val="006300E9"/>
    <w:rsid w:val="006304BC"/>
    <w:rsid w:val="00630DCE"/>
    <w:rsid w:val="0063120A"/>
    <w:rsid w:val="0063150B"/>
    <w:rsid w:val="00631585"/>
    <w:rsid w:val="00632303"/>
    <w:rsid w:val="006328AA"/>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2DCA"/>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6838"/>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23"/>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5F8"/>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D92"/>
    <w:rsid w:val="006B70FA"/>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250"/>
    <w:rsid w:val="006D16B0"/>
    <w:rsid w:val="006D2182"/>
    <w:rsid w:val="006D2444"/>
    <w:rsid w:val="006D254B"/>
    <w:rsid w:val="006D2736"/>
    <w:rsid w:val="006D2835"/>
    <w:rsid w:val="006D289B"/>
    <w:rsid w:val="006D3A5D"/>
    <w:rsid w:val="006D3BE1"/>
    <w:rsid w:val="006D414B"/>
    <w:rsid w:val="006D48FC"/>
    <w:rsid w:val="006D54ED"/>
    <w:rsid w:val="006D580C"/>
    <w:rsid w:val="006D5D0E"/>
    <w:rsid w:val="006D62BC"/>
    <w:rsid w:val="006D6450"/>
    <w:rsid w:val="006D6798"/>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2C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1F4"/>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32C5"/>
    <w:rsid w:val="00754359"/>
    <w:rsid w:val="00754411"/>
    <w:rsid w:val="00754BD9"/>
    <w:rsid w:val="00754E7A"/>
    <w:rsid w:val="0075540C"/>
    <w:rsid w:val="00755DB1"/>
    <w:rsid w:val="00756A23"/>
    <w:rsid w:val="007574FC"/>
    <w:rsid w:val="007603F1"/>
    <w:rsid w:val="00760975"/>
    <w:rsid w:val="00761A5B"/>
    <w:rsid w:val="00761FDA"/>
    <w:rsid w:val="0076211E"/>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90"/>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E59"/>
    <w:rsid w:val="007908F8"/>
    <w:rsid w:val="0079162F"/>
    <w:rsid w:val="00792259"/>
    <w:rsid w:val="00794924"/>
    <w:rsid w:val="0079506E"/>
    <w:rsid w:val="007A0BC2"/>
    <w:rsid w:val="007A1F44"/>
    <w:rsid w:val="007A23FF"/>
    <w:rsid w:val="007A25D6"/>
    <w:rsid w:val="007A295B"/>
    <w:rsid w:val="007A3424"/>
    <w:rsid w:val="007A343C"/>
    <w:rsid w:val="007A35EF"/>
    <w:rsid w:val="007A43A2"/>
    <w:rsid w:val="007A4989"/>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63E6"/>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555"/>
    <w:rsid w:val="00831B83"/>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0A41"/>
    <w:rsid w:val="00840EA0"/>
    <w:rsid w:val="00841CD2"/>
    <w:rsid w:val="00842067"/>
    <w:rsid w:val="00842899"/>
    <w:rsid w:val="00842B77"/>
    <w:rsid w:val="00842B92"/>
    <w:rsid w:val="0084309F"/>
    <w:rsid w:val="008435CF"/>
    <w:rsid w:val="0084556E"/>
    <w:rsid w:val="00845771"/>
    <w:rsid w:val="00845B5C"/>
    <w:rsid w:val="00845C12"/>
    <w:rsid w:val="008469D9"/>
    <w:rsid w:val="00846DC0"/>
    <w:rsid w:val="008474A7"/>
    <w:rsid w:val="008506B6"/>
    <w:rsid w:val="00850AE0"/>
    <w:rsid w:val="00851619"/>
    <w:rsid w:val="008524D2"/>
    <w:rsid w:val="00852E19"/>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5EF2"/>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67FB"/>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36F"/>
    <w:rsid w:val="008E24B3"/>
    <w:rsid w:val="008E24CA"/>
    <w:rsid w:val="008E292F"/>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662"/>
    <w:rsid w:val="008F7A35"/>
    <w:rsid w:val="008F7AC6"/>
    <w:rsid w:val="00900712"/>
    <w:rsid w:val="00900727"/>
    <w:rsid w:val="00903802"/>
    <w:rsid w:val="00904640"/>
    <w:rsid w:val="00904748"/>
    <w:rsid w:val="009052D7"/>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1F45"/>
    <w:rsid w:val="009122A6"/>
    <w:rsid w:val="0091291A"/>
    <w:rsid w:val="009133A6"/>
    <w:rsid w:val="00913612"/>
    <w:rsid w:val="0091366A"/>
    <w:rsid w:val="009137A4"/>
    <w:rsid w:val="00913824"/>
    <w:rsid w:val="00915757"/>
    <w:rsid w:val="009157A8"/>
    <w:rsid w:val="009159B3"/>
    <w:rsid w:val="00915B25"/>
    <w:rsid w:val="00915CB0"/>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40324"/>
    <w:rsid w:val="00941523"/>
    <w:rsid w:val="00942C80"/>
    <w:rsid w:val="00943029"/>
    <w:rsid w:val="00943197"/>
    <w:rsid w:val="009435F2"/>
    <w:rsid w:val="00943828"/>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6377"/>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4D22"/>
    <w:rsid w:val="00985443"/>
    <w:rsid w:val="00985F28"/>
    <w:rsid w:val="00986149"/>
    <w:rsid w:val="00986176"/>
    <w:rsid w:val="00986697"/>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49E7"/>
    <w:rsid w:val="009A6A6B"/>
    <w:rsid w:val="009A7DAA"/>
    <w:rsid w:val="009B03F6"/>
    <w:rsid w:val="009B1EF9"/>
    <w:rsid w:val="009B24E0"/>
    <w:rsid w:val="009B26AC"/>
    <w:rsid w:val="009B359A"/>
    <w:rsid w:val="009B37E2"/>
    <w:rsid w:val="009B4519"/>
    <w:rsid w:val="009B46F7"/>
    <w:rsid w:val="009B4B81"/>
    <w:rsid w:val="009B506B"/>
    <w:rsid w:val="009B50A1"/>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4B1"/>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3E21"/>
    <w:rsid w:val="009D4CBF"/>
    <w:rsid w:val="009D5BAB"/>
    <w:rsid w:val="009D5FF6"/>
    <w:rsid w:val="009D6A0A"/>
    <w:rsid w:val="009D7580"/>
    <w:rsid w:val="009D7934"/>
    <w:rsid w:val="009E058F"/>
    <w:rsid w:val="009E0A9E"/>
    <w:rsid w:val="009E19A2"/>
    <w:rsid w:val="009E3AFD"/>
    <w:rsid w:val="009E3C45"/>
    <w:rsid w:val="009E3CDD"/>
    <w:rsid w:val="009E4A12"/>
    <w:rsid w:val="009E4B16"/>
    <w:rsid w:val="009E4F07"/>
    <w:rsid w:val="009E5C60"/>
    <w:rsid w:val="009E64DB"/>
    <w:rsid w:val="009E6794"/>
    <w:rsid w:val="009E7189"/>
    <w:rsid w:val="009E79CB"/>
    <w:rsid w:val="009E7C89"/>
    <w:rsid w:val="009E7E46"/>
    <w:rsid w:val="009E7FC1"/>
    <w:rsid w:val="009F002B"/>
    <w:rsid w:val="009F01E1"/>
    <w:rsid w:val="009F0B4D"/>
    <w:rsid w:val="009F1096"/>
    <w:rsid w:val="009F150E"/>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94"/>
    <w:rsid w:val="00A3432B"/>
    <w:rsid w:val="00A346BA"/>
    <w:rsid w:val="00A34BC4"/>
    <w:rsid w:val="00A34C59"/>
    <w:rsid w:val="00A34C67"/>
    <w:rsid w:val="00A34D62"/>
    <w:rsid w:val="00A352E9"/>
    <w:rsid w:val="00A3611D"/>
    <w:rsid w:val="00A36339"/>
    <w:rsid w:val="00A366E4"/>
    <w:rsid w:val="00A41278"/>
    <w:rsid w:val="00A417FE"/>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48A"/>
    <w:rsid w:val="00A60CF0"/>
    <w:rsid w:val="00A60D9A"/>
    <w:rsid w:val="00A61429"/>
    <w:rsid w:val="00A614BB"/>
    <w:rsid w:val="00A61514"/>
    <w:rsid w:val="00A61645"/>
    <w:rsid w:val="00A62080"/>
    <w:rsid w:val="00A62322"/>
    <w:rsid w:val="00A630A2"/>
    <w:rsid w:val="00A632B8"/>
    <w:rsid w:val="00A6396A"/>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1E4"/>
    <w:rsid w:val="00AB185A"/>
    <w:rsid w:val="00AB1BA7"/>
    <w:rsid w:val="00AB1E04"/>
    <w:rsid w:val="00AB1E0E"/>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D2C"/>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73D"/>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C84"/>
    <w:rsid w:val="00B41CC0"/>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60A"/>
    <w:rsid w:val="00B55AC2"/>
    <w:rsid w:val="00B560C9"/>
    <w:rsid w:val="00B561C6"/>
    <w:rsid w:val="00B5641C"/>
    <w:rsid w:val="00B56533"/>
    <w:rsid w:val="00B56569"/>
    <w:rsid w:val="00B56CFC"/>
    <w:rsid w:val="00B57777"/>
    <w:rsid w:val="00B57A17"/>
    <w:rsid w:val="00B61306"/>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2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1AC9"/>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BD6"/>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4B5C"/>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AD"/>
    <w:rsid w:val="00C452F5"/>
    <w:rsid w:val="00C45DD1"/>
    <w:rsid w:val="00C46555"/>
    <w:rsid w:val="00C46B15"/>
    <w:rsid w:val="00C46F7D"/>
    <w:rsid w:val="00C479B5"/>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57DCC"/>
    <w:rsid w:val="00C61E91"/>
    <w:rsid w:val="00C62254"/>
    <w:rsid w:val="00C62CD5"/>
    <w:rsid w:val="00C636E6"/>
    <w:rsid w:val="00C639D6"/>
    <w:rsid w:val="00C63F8E"/>
    <w:rsid w:val="00C647FB"/>
    <w:rsid w:val="00C654E0"/>
    <w:rsid w:val="00C67719"/>
    <w:rsid w:val="00C67EAB"/>
    <w:rsid w:val="00C70DFF"/>
    <w:rsid w:val="00C70EC1"/>
    <w:rsid w:val="00C74FEE"/>
    <w:rsid w:val="00C75A6B"/>
    <w:rsid w:val="00C763B6"/>
    <w:rsid w:val="00C7644F"/>
    <w:rsid w:val="00C764ED"/>
    <w:rsid w:val="00C768F6"/>
    <w:rsid w:val="00C80073"/>
    <w:rsid w:val="00C805E7"/>
    <w:rsid w:val="00C80DEA"/>
    <w:rsid w:val="00C80ED7"/>
    <w:rsid w:val="00C81634"/>
    <w:rsid w:val="00C82155"/>
    <w:rsid w:val="00C832DC"/>
    <w:rsid w:val="00C8377F"/>
    <w:rsid w:val="00C83D54"/>
    <w:rsid w:val="00C852A9"/>
    <w:rsid w:val="00C8646D"/>
    <w:rsid w:val="00C864DD"/>
    <w:rsid w:val="00C876BC"/>
    <w:rsid w:val="00C91DE3"/>
    <w:rsid w:val="00C92C7F"/>
    <w:rsid w:val="00C9369D"/>
    <w:rsid w:val="00C9383D"/>
    <w:rsid w:val="00C944FA"/>
    <w:rsid w:val="00C94C64"/>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3D5"/>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49DC"/>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33D"/>
    <w:rsid w:val="00D138F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6A49"/>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68F8"/>
    <w:rsid w:val="00D47DD0"/>
    <w:rsid w:val="00D50183"/>
    <w:rsid w:val="00D51D12"/>
    <w:rsid w:val="00D52F94"/>
    <w:rsid w:val="00D5362B"/>
    <w:rsid w:val="00D53ED3"/>
    <w:rsid w:val="00D55072"/>
    <w:rsid w:val="00D551B5"/>
    <w:rsid w:val="00D569FB"/>
    <w:rsid w:val="00D56AF5"/>
    <w:rsid w:val="00D56B80"/>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DE0"/>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77D6C"/>
    <w:rsid w:val="00D807ED"/>
    <w:rsid w:val="00D80AB8"/>
    <w:rsid w:val="00D80FEC"/>
    <w:rsid w:val="00D81792"/>
    <w:rsid w:val="00D819B1"/>
    <w:rsid w:val="00D81BA1"/>
    <w:rsid w:val="00D82494"/>
    <w:rsid w:val="00D82DB4"/>
    <w:rsid w:val="00D83898"/>
    <w:rsid w:val="00D83AE9"/>
    <w:rsid w:val="00D83F48"/>
    <w:rsid w:val="00D84266"/>
    <w:rsid w:val="00D84C46"/>
    <w:rsid w:val="00D8566E"/>
    <w:rsid w:val="00D857B8"/>
    <w:rsid w:val="00D85D1F"/>
    <w:rsid w:val="00D87175"/>
    <w:rsid w:val="00D87ABF"/>
    <w:rsid w:val="00D87C75"/>
    <w:rsid w:val="00D90723"/>
    <w:rsid w:val="00D90CD3"/>
    <w:rsid w:val="00D90E2C"/>
    <w:rsid w:val="00D90F89"/>
    <w:rsid w:val="00D919E6"/>
    <w:rsid w:val="00D91BE1"/>
    <w:rsid w:val="00D9200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1F4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C42"/>
    <w:rsid w:val="00DD5F42"/>
    <w:rsid w:val="00DD617B"/>
    <w:rsid w:val="00DD6D4E"/>
    <w:rsid w:val="00DD79A6"/>
    <w:rsid w:val="00DE03CE"/>
    <w:rsid w:val="00DE0443"/>
    <w:rsid w:val="00DE068C"/>
    <w:rsid w:val="00DE0E59"/>
    <w:rsid w:val="00DE0F6C"/>
    <w:rsid w:val="00DE12F0"/>
    <w:rsid w:val="00DE219B"/>
    <w:rsid w:val="00DE3407"/>
    <w:rsid w:val="00DE36AF"/>
    <w:rsid w:val="00DE3979"/>
    <w:rsid w:val="00DE52E3"/>
    <w:rsid w:val="00DE67D2"/>
    <w:rsid w:val="00DE70CB"/>
    <w:rsid w:val="00DE7C00"/>
    <w:rsid w:val="00DF03E9"/>
    <w:rsid w:val="00DF03ED"/>
    <w:rsid w:val="00DF04EE"/>
    <w:rsid w:val="00DF0BF4"/>
    <w:rsid w:val="00DF10B2"/>
    <w:rsid w:val="00DF179D"/>
    <w:rsid w:val="00DF1E9C"/>
    <w:rsid w:val="00DF2168"/>
    <w:rsid w:val="00DF2781"/>
    <w:rsid w:val="00DF2D2C"/>
    <w:rsid w:val="00DF4572"/>
    <w:rsid w:val="00DF4658"/>
    <w:rsid w:val="00DF5A1C"/>
    <w:rsid w:val="00DF5C5B"/>
    <w:rsid w:val="00DF6098"/>
    <w:rsid w:val="00DF6C8B"/>
    <w:rsid w:val="00DF6F17"/>
    <w:rsid w:val="00DF6F28"/>
    <w:rsid w:val="00DF78FA"/>
    <w:rsid w:val="00DF7AE1"/>
    <w:rsid w:val="00E002F1"/>
    <w:rsid w:val="00E0082C"/>
    <w:rsid w:val="00E01DAA"/>
    <w:rsid w:val="00E023E5"/>
    <w:rsid w:val="00E02432"/>
    <w:rsid w:val="00E02B66"/>
    <w:rsid w:val="00E035B8"/>
    <w:rsid w:val="00E03B71"/>
    <w:rsid w:val="00E04022"/>
    <w:rsid w:val="00E04DC9"/>
    <w:rsid w:val="00E05BE8"/>
    <w:rsid w:val="00E06353"/>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004"/>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DAA"/>
    <w:rsid w:val="00E32D62"/>
    <w:rsid w:val="00E339DC"/>
    <w:rsid w:val="00E33E15"/>
    <w:rsid w:val="00E353A4"/>
    <w:rsid w:val="00E361B8"/>
    <w:rsid w:val="00E36A1B"/>
    <w:rsid w:val="00E37DDE"/>
    <w:rsid w:val="00E40058"/>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BE"/>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EAA"/>
    <w:rsid w:val="00E74F75"/>
    <w:rsid w:val="00E75174"/>
    <w:rsid w:val="00E75EBA"/>
    <w:rsid w:val="00E76089"/>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EEC"/>
    <w:rsid w:val="00E84424"/>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03"/>
    <w:rsid w:val="00E97648"/>
    <w:rsid w:val="00EA07E9"/>
    <w:rsid w:val="00EA0E4A"/>
    <w:rsid w:val="00EA1A54"/>
    <w:rsid w:val="00EA2226"/>
    <w:rsid w:val="00EA2483"/>
    <w:rsid w:val="00EA26FC"/>
    <w:rsid w:val="00EA3B5A"/>
    <w:rsid w:val="00EA410E"/>
    <w:rsid w:val="00EA48FF"/>
    <w:rsid w:val="00EA4FD1"/>
    <w:rsid w:val="00EA53C2"/>
    <w:rsid w:val="00EA5695"/>
    <w:rsid w:val="00EA5AB3"/>
    <w:rsid w:val="00EA5B0A"/>
    <w:rsid w:val="00EA5B4B"/>
    <w:rsid w:val="00EA65AD"/>
    <w:rsid w:val="00EA6E27"/>
    <w:rsid w:val="00EA7FCF"/>
    <w:rsid w:val="00EB0CA3"/>
    <w:rsid w:val="00EB104F"/>
    <w:rsid w:val="00EB1B27"/>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83E"/>
    <w:rsid w:val="00F07DE6"/>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6F1"/>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F91"/>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277"/>
    <w:rsid w:val="00F673EE"/>
    <w:rsid w:val="00F676DE"/>
    <w:rsid w:val="00F6783E"/>
    <w:rsid w:val="00F67B53"/>
    <w:rsid w:val="00F70822"/>
    <w:rsid w:val="00F70A91"/>
    <w:rsid w:val="00F70DBE"/>
    <w:rsid w:val="00F71124"/>
    <w:rsid w:val="00F71888"/>
    <w:rsid w:val="00F719CD"/>
    <w:rsid w:val="00F71BB8"/>
    <w:rsid w:val="00F7222B"/>
    <w:rsid w:val="00F72584"/>
    <w:rsid w:val="00F7264F"/>
    <w:rsid w:val="00F7290D"/>
    <w:rsid w:val="00F7302F"/>
    <w:rsid w:val="00F732EC"/>
    <w:rsid w:val="00F73D08"/>
    <w:rsid w:val="00F749CD"/>
    <w:rsid w:val="00F7550E"/>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08"/>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1D80"/>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LightList-Accent3">
    <w:name w:val="Light List Accent 3"/>
    <w:basedOn w:val="TableNormal"/>
    <w:uiPriority w:val="61"/>
    <w:rsid w:val="00BE6BD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83C53"/>
    <w:rPr>
      <w:rFonts w:ascii="Arial" w:hAnsi="Arial"/>
      <w:b/>
      <w:bCs/>
      <w:sz w:val="24"/>
      <w:szCs w:val="22"/>
    </w:rPr>
  </w:style>
  <w:style w:type="character" w:styleId="UnresolvedMention">
    <w:name w:val="Unresolved Mention"/>
    <w:basedOn w:val="DefaultParagraphFont"/>
    <w:uiPriority w:val="99"/>
    <w:semiHidden/>
    <w:unhideWhenUsed/>
    <w:rsid w:val="000C5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4360209">
      <w:bodyDiv w:val="1"/>
      <w:marLeft w:val="0"/>
      <w:marRight w:val="0"/>
      <w:marTop w:val="0"/>
      <w:marBottom w:val="0"/>
      <w:divBdr>
        <w:top w:val="none" w:sz="0" w:space="0" w:color="auto"/>
        <w:left w:val="none" w:sz="0" w:space="0" w:color="auto"/>
        <w:bottom w:val="none" w:sz="0" w:space="0" w:color="auto"/>
        <w:right w:val="none" w:sz="0" w:space="0" w:color="auto"/>
      </w:divBdr>
      <w:divsChild>
        <w:div w:id="1934975782">
          <w:marLeft w:val="360"/>
          <w:marRight w:val="0"/>
          <w:marTop w:val="200"/>
          <w:marBottom w:val="0"/>
          <w:divBdr>
            <w:top w:val="none" w:sz="0" w:space="0" w:color="auto"/>
            <w:left w:val="none" w:sz="0" w:space="0" w:color="auto"/>
            <w:bottom w:val="none" w:sz="0" w:space="0" w:color="auto"/>
            <w:right w:val="none" w:sz="0" w:space="0" w:color="auto"/>
          </w:divBdr>
        </w:div>
        <w:div w:id="1662611747">
          <w:marLeft w:val="360"/>
          <w:marRight w:val="0"/>
          <w:marTop w:val="200"/>
          <w:marBottom w:val="0"/>
          <w:divBdr>
            <w:top w:val="none" w:sz="0" w:space="0" w:color="auto"/>
            <w:left w:val="none" w:sz="0" w:space="0" w:color="auto"/>
            <w:bottom w:val="none" w:sz="0" w:space="0" w:color="auto"/>
            <w:right w:val="none" w:sz="0" w:space="0" w:color="auto"/>
          </w:divBdr>
        </w:div>
        <w:div w:id="273289330">
          <w:marLeft w:val="1080"/>
          <w:marRight w:val="0"/>
          <w:marTop w:val="100"/>
          <w:marBottom w:val="0"/>
          <w:divBdr>
            <w:top w:val="none" w:sz="0" w:space="0" w:color="auto"/>
            <w:left w:val="none" w:sz="0" w:space="0" w:color="auto"/>
            <w:bottom w:val="none" w:sz="0" w:space="0" w:color="auto"/>
            <w:right w:val="none" w:sz="0" w:space="0" w:color="auto"/>
          </w:divBdr>
        </w:div>
        <w:div w:id="678853440">
          <w:marLeft w:val="1080"/>
          <w:marRight w:val="0"/>
          <w:marTop w:val="100"/>
          <w:marBottom w:val="0"/>
          <w:divBdr>
            <w:top w:val="none" w:sz="0" w:space="0" w:color="auto"/>
            <w:left w:val="none" w:sz="0" w:space="0" w:color="auto"/>
            <w:bottom w:val="none" w:sz="0" w:space="0" w:color="auto"/>
            <w:right w:val="none" w:sz="0" w:space="0" w:color="auto"/>
          </w:divBdr>
        </w:div>
        <w:div w:id="1331912886">
          <w:marLeft w:val="1080"/>
          <w:marRight w:val="0"/>
          <w:marTop w:val="100"/>
          <w:marBottom w:val="0"/>
          <w:divBdr>
            <w:top w:val="none" w:sz="0" w:space="0" w:color="auto"/>
            <w:left w:val="none" w:sz="0" w:space="0" w:color="auto"/>
            <w:bottom w:val="none" w:sz="0" w:space="0" w:color="auto"/>
            <w:right w:val="none" w:sz="0" w:space="0" w:color="auto"/>
          </w:divBdr>
        </w:div>
        <w:div w:id="477697320">
          <w:marLeft w:val="1800"/>
          <w:marRight w:val="0"/>
          <w:marTop w:val="100"/>
          <w:marBottom w:val="0"/>
          <w:divBdr>
            <w:top w:val="none" w:sz="0" w:space="0" w:color="auto"/>
            <w:left w:val="none" w:sz="0" w:space="0" w:color="auto"/>
            <w:bottom w:val="none" w:sz="0" w:space="0" w:color="auto"/>
            <w:right w:val="none" w:sz="0" w:space="0" w:color="auto"/>
          </w:divBdr>
        </w:div>
        <w:div w:id="1535580492">
          <w:marLeft w:val="1800"/>
          <w:marRight w:val="0"/>
          <w:marTop w:val="100"/>
          <w:marBottom w:val="0"/>
          <w:divBdr>
            <w:top w:val="none" w:sz="0" w:space="0" w:color="auto"/>
            <w:left w:val="none" w:sz="0" w:space="0" w:color="auto"/>
            <w:bottom w:val="none" w:sz="0" w:space="0" w:color="auto"/>
            <w:right w:val="none" w:sz="0" w:space="0" w:color="auto"/>
          </w:divBdr>
        </w:div>
        <w:div w:id="1115565500">
          <w:marLeft w:val="1800"/>
          <w:marRight w:val="0"/>
          <w:marTop w:val="100"/>
          <w:marBottom w:val="0"/>
          <w:divBdr>
            <w:top w:val="none" w:sz="0" w:space="0" w:color="auto"/>
            <w:left w:val="none" w:sz="0" w:space="0" w:color="auto"/>
            <w:bottom w:val="none" w:sz="0" w:space="0" w:color="auto"/>
            <w:right w:val="none" w:sz="0" w:space="0" w:color="auto"/>
          </w:divBdr>
        </w:div>
        <w:div w:id="186717808">
          <w:marLeft w:val="1800"/>
          <w:marRight w:val="0"/>
          <w:marTop w:val="100"/>
          <w:marBottom w:val="0"/>
          <w:divBdr>
            <w:top w:val="none" w:sz="0" w:space="0" w:color="auto"/>
            <w:left w:val="none" w:sz="0" w:space="0" w:color="auto"/>
            <w:bottom w:val="none" w:sz="0" w:space="0" w:color="auto"/>
            <w:right w:val="none" w:sz="0" w:space="0" w:color="auto"/>
          </w:divBdr>
        </w:div>
        <w:div w:id="878469165">
          <w:marLeft w:val="360"/>
          <w:marRight w:val="0"/>
          <w:marTop w:val="200"/>
          <w:marBottom w:val="0"/>
          <w:divBdr>
            <w:top w:val="none" w:sz="0" w:space="0" w:color="auto"/>
            <w:left w:val="none" w:sz="0" w:space="0" w:color="auto"/>
            <w:bottom w:val="none" w:sz="0" w:space="0" w:color="auto"/>
            <w:right w:val="none" w:sz="0" w:space="0" w:color="auto"/>
          </w:divBdr>
        </w:div>
        <w:div w:id="1887594823">
          <w:marLeft w:val="360"/>
          <w:marRight w:val="0"/>
          <w:marTop w:val="2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LSin/RP-2014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2-e/Docs/R1-20071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D37E3-FB3A-45EE-AA48-BA366A6F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2</cp:revision>
  <cp:lastPrinted>2007-06-18T22:08:00Z</cp:lastPrinted>
  <dcterms:created xsi:type="dcterms:W3CDTF">2020-09-07T20:14:00Z</dcterms:created>
  <dcterms:modified xsi:type="dcterms:W3CDTF">2020-09-07T20:14:00Z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