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7C323E35" w:rsidR="007D6B47" w:rsidRPr="00F614EB" w:rsidRDefault="00EA4420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EA4420">
        <w:rPr>
          <w:rFonts w:ascii="Arial" w:hAnsi="Arial" w:cs="Arial"/>
          <w:b/>
          <w:bCs/>
          <w:sz w:val="24"/>
          <w:lang w:val="en-US"/>
        </w:rPr>
        <w:t>3GPP TSG RAN Meeting #89-e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B1433F">
        <w:rPr>
          <w:rFonts w:ascii="Arial" w:hAnsi="Arial" w:cs="Arial"/>
          <w:b/>
          <w:bCs/>
          <w:sz w:val="24"/>
        </w:rPr>
        <w:t xml:space="preserve">   </w:t>
      </w:r>
      <w:r w:rsidR="00827DC9">
        <w:rPr>
          <w:rFonts w:ascii="Arial" w:hAnsi="Arial" w:cs="Arial"/>
          <w:b/>
          <w:bCs/>
          <w:sz w:val="24"/>
        </w:rPr>
        <w:t xml:space="preserve"> </w:t>
      </w:r>
      <w:bookmarkStart w:id="0" w:name="_GoBack"/>
      <w:r w:rsidR="00F64F38" w:rsidRPr="00F64F38">
        <w:rPr>
          <w:rFonts w:ascii="Arial" w:hAnsi="Arial" w:cs="Arial"/>
          <w:b/>
          <w:bCs/>
          <w:sz w:val="24"/>
        </w:rPr>
        <w:t>RP-201839</w:t>
      </w:r>
      <w:bookmarkEnd w:id="0"/>
    </w:p>
    <w:p w14:paraId="6F708B81" w14:textId="3C1A4DE0" w:rsidR="00C53BFA" w:rsidRDefault="00827DC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27DC9">
        <w:rPr>
          <w:rFonts w:ascii="Arial" w:hAnsi="Arial" w:cs="Arial"/>
          <w:b/>
          <w:bCs/>
          <w:color w:val="000000" w:themeColor="text1"/>
          <w:sz w:val="24"/>
          <w:lang w:val="en-US"/>
        </w:rPr>
        <w:t>Electronic Meeting, September 14 - 18,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1E7B841F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DC9">
        <w:rPr>
          <w:rFonts w:ascii="Arial" w:hAnsi="Arial" w:cs="Arial"/>
          <w:b/>
          <w:bCs/>
          <w:sz w:val="24"/>
          <w:lang w:val="en-US"/>
        </w:rPr>
        <w:t>9.8.1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BA09878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BB7CBF">
        <w:rPr>
          <w:rFonts w:ascii="Arial" w:hAnsi="Arial" w:cs="Arial"/>
          <w:b/>
          <w:bCs/>
          <w:sz w:val="24"/>
          <w:lang w:val="en-US"/>
        </w:rPr>
        <w:t xml:space="preserve">MIMO </w:t>
      </w:r>
      <w:r w:rsidR="00E34E15">
        <w:rPr>
          <w:rFonts w:ascii="Arial" w:hAnsi="Arial" w:cs="Arial"/>
          <w:b/>
          <w:bCs/>
          <w:color w:val="000000" w:themeColor="text1"/>
          <w:sz w:val="24"/>
          <w:lang w:val="en-US"/>
        </w:rPr>
        <w:t>m</w:t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ulti-TRP </w:t>
      </w:r>
      <w:r w:rsidR="00BB7CBF">
        <w:rPr>
          <w:rFonts w:ascii="Arial" w:hAnsi="Arial" w:cs="Arial"/>
          <w:b/>
          <w:bCs/>
          <w:color w:val="000000" w:themeColor="text1"/>
          <w:sz w:val="24"/>
          <w:lang w:val="en-US"/>
        </w:rPr>
        <w:t>timing constraints</w:t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6119C1" w:rsidRDefault="00E503C3" w:rsidP="00D07641">
      <w:pPr>
        <w:pStyle w:val="Heading1"/>
        <w:spacing w:before="480" w:after="120"/>
      </w:pPr>
      <w:r w:rsidRPr="006119C1">
        <w:t>Introduction</w:t>
      </w:r>
    </w:p>
    <w:p w14:paraId="56B6DB63" w14:textId="747407E5" w:rsidR="00C37339" w:rsidRDefault="00C37339" w:rsidP="00C37339"/>
    <w:p w14:paraId="225FDBF2" w14:textId="592B52AA" w:rsidR="001E29B2" w:rsidRPr="00340AED" w:rsidRDefault="00F16E8C" w:rsidP="6DC5F989">
      <w:pPr>
        <w:rPr>
          <w:rFonts w:cs="Times"/>
        </w:rPr>
      </w:pPr>
      <w:r w:rsidRPr="6DC5F989">
        <w:rPr>
          <w:rFonts w:cs="Times"/>
        </w:rPr>
        <w:t xml:space="preserve">According to </w:t>
      </w:r>
      <w:r w:rsidR="00796E06" w:rsidRPr="6DC5F989">
        <w:rPr>
          <w:rFonts w:cs="Times"/>
        </w:rPr>
        <w:t xml:space="preserve">Rel-17 </w:t>
      </w:r>
      <w:r w:rsidRPr="6DC5F989">
        <w:rPr>
          <w:rFonts w:cs="Times"/>
        </w:rPr>
        <w:t>NR MIMO WID RP-193133</w:t>
      </w:r>
      <w:r w:rsidR="0EA9197D" w:rsidRPr="6DC5F989">
        <w:rPr>
          <w:rFonts w:cs="Times"/>
        </w:rPr>
        <w:t xml:space="preserve"> [1]</w:t>
      </w:r>
      <w:r w:rsidR="00796E06" w:rsidRPr="6DC5F989">
        <w:rPr>
          <w:rFonts w:cs="Times"/>
        </w:rPr>
        <w:t xml:space="preserve">, the issue of timing for inter-cell is relevant under the following WID objectives: </w:t>
      </w:r>
    </w:p>
    <w:p w14:paraId="27792D22" w14:textId="2CB383B5" w:rsidR="00796E06" w:rsidRPr="00340AED" w:rsidRDefault="00796E06" w:rsidP="00C37339">
      <w:pPr>
        <w:rPr>
          <w:rFonts w:cs="Times"/>
          <w:szCs w:val="20"/>
        </w:rPr>
      </w:pPr>
      <w:r w:rsidRPr="00340AED">
        <w:rPr>
          <w:rFonts w:cs="Times"/>
          <w:szCs w:val="20"/>
        </w:rPr>
        <w:t>Inter-cell support for multi-DCI multi-TRP operation: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:rsidRPr="00340AED" w14:paraId="60EE566F" w14:textId="77777777" w:rsidTr="001E29B2">
        <w:tc>
          <w:tcPr>
            <w:tcW w:w="9919" w:type="dxa"/>
          </w:tcPr>
          <w:p w14:paraId="69F316C1" w14:textId="06D843A6" w:rsidR="001E29B2" w:rsidRPr="00340AED" w:rsidRDefault="001E29B2" w:rsidP="001E29B2">
            <w:pPr>
              <w:spacing w:after="0"/>
              <w:ind w:left="720"/>
              <w:rPr>
                <w:rFonts w:cs="Times"/>
                <w:szCs w:val="20"/>
              </w:rPr>
            </w:pPr>
            <w:r w:rsidRPr="00340AED">
              <w:rPr>
                <w:rFonts w:cs="Times"/>
                <w:szCs w:val="20"/>
              </w:rPr>
              <w:t>2. Enhancement on the support for multi-TRP deployment, targeting both FR1 and FR2:</w:t>
            </w:r>
          </w:p>
          <w:p w14:paraId="42F2352A" w14:textId="51367C14" w:rsidR="001E29B2" w:rsidRPr="00340AED" w:rsidRDefault="001E29B2" w:rsidP="00F16E8C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 xml:space="preserve">Identify and specify QCL/TCI-related enhancements to </w:t>
            </w:r>
            <w:r w:rsidRPr="00340AED">
              <w:rPr>
                <w:rFonts w:ascii="Times" w:hAnsi="Times" w:cs="Times"/>
                <w:b/>
                <w:bCs/>
                <w:szCs w:val="20"/>
                <w:u w:val="single"/>
              </w:rPr>
              <w:t>enable inter-cell multi-TRP operations</w:t>
            </w:r>
            <w:r w:rsidRPr="00340AED">
              <w:rPr>
                <w:rFonts w:ascii="Times" w:hAnsi="Times" w:cs="Times"/>
                <w:szCs w:val="20"/>
              </w:rPr>
              <w:t>, assuming multi-DCI based multi-PDSCH reception</w:t>
            </w:r>
          </w:p>
        </w:tc>
      </w:tr>
    </w:tbl>
    <w:p w14:paraId="18751781" w14:textId="11CACF00" w:rsidR="00315E26" w:rsidRPr="00340AED" w:rsidRDefault="00315E26" w:rsidP="00C37339">
      <w:pPr>
        <w:rPr>
          <w:rFonts w:cs="Times"/>
          <w:szCs w:val="20"/>
        </w:rPr>
      </w:pPr>
    </w:p>
    <w:p w14:paraId="73A2FBE8" w14:textId="54ADA9B4" w:rsidR="00796E06" w:rsidRPr="00340AED" w:rsidRDefault="00796E06" w:rsidP="00796E06">
      <w:pPr>
        <w:rPr>
          <w:rFonts w:cs="Times"/>
          <w:szCs w:val="20"/>
        </w:rPr>
      </w:pPr>
      <w:r w:rsidRPr="00340AED">
        <w:rPr>
          <w:rFonts w:cs="Times"/>
          <w:szCs w:val="20"/>
        </w:rPr>
        <w:t>Inter-cell support for L1/L2 measurements for beam-management: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96E06" w:rsidRPr="00340AED" w14:paraId="46516068" w14:textId="77777777" w:rsidTr="00871A97">
        <w:tc>
          <w:tcPr>
            <w:tcW w:w="9919" w:type="dxa"/>
          </w:tcPr>
          <w:p w14:paraId="4EA6E180" w14:textId="77777777" w:rsidR="00796E06" w:rsidRPr="00340AED" w:rsidRDefault="00796E06" w:rsidP="00796E0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 xml:space="preserve">Enhancement on multi-beam operation, mainly targeting FR2 while also applicable to FR1: </w:t>
            </w:r>
          </w:p>
          <w:p w14:paraId="7325CCD4" w14:textId="77777777" w:rsidR="00796E06" w:rsidRPr="00340AED" w:rsidRDefault="00796E06" w:rsidP="00796E06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440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 xml:space="preserve">Identify and specify features to facilitate more efficient (lower latency and overhead) DL/UL beam management to support higher intra- and </w:t>
            </w:r>
            <w:r w:rsidRPr="00340AED">
              <w:rPr>
                <w:rFonts w:ascii="Times" w:hAnsi="Times" w:cs="Times"/>
                <w:b/>
                <w:bCs/>
                <w:szCs w:val="20"/>
                <w:u w:val="single"/>
              </w:rPr>
              <w:t>L1/L2-centric inter-cell mobility</w:t>
            </w:r>
            <w:r w:rsidRPr="00340AED">
              <w:rPr>
                <w:rFonts w:ascii="Times" w:hAnsi="Times" w:cs="Times"/>
                <w:szCs w:val="20"/>
              </w:rPr>
              <w:t xml:space="preserve"> and/or a larger number of configured TCI states:</w:t>
            </w:r>
          </w:p>
          <w:p w14:paraId="0C2FDF59" w14:textId="77777777" w:rsidR="00796E06" w:rsidRPr="00340AED" w:rsidRDefault="00796E06" w:rsidP="00796E06">
            <w:pPr>
              <w:pStyle w:val="ListParagraph"/>
              <w:numPr>
                <w:ilvl w:val="2"/>
                <w:numId w:val="36"/>
              </w:numPr>
              <w:spacing w:after="0" w:line="240" w:lineRule="auto"/>
              <w:ind w:left="2160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>Common beam for data and control transmission/reception for DL and UL, especially for intra-band CA</w:t>
            </w:r>
          </w:p>
          <w:p w14:paraId="23981667" w14:textId="77777777" w:rsidR="00796E06" w:rsidRPr="00340AED" w:rsidRDefault="00796E06" w:rsidP="00796E06">
            <w:pPr>
              <w:pStyle w:val="ListParagraph"/>
              <w:numPr>
                <w:ilvl w:val="2"/>
                <w:numId w:val="36"/>
              </w:numPr>
              <w:spacing w:after="0" w:line="240" w:lineRule="auto"/>
              <w:ind w:left="2160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>Unified TCI framework for DL and UL beam indication</w:t>
            </w:r>
          </w:p>
          <w:p w14:paraId="1CA02252" w14:textId="77777777" w:rsidR="00796E06" w:rsidRPr="00340AED" w:rsidRDefault="00796E06" w:rsidP="00796E06">
            <w:pPr>
              <w:pStyle w:val="ListParagraph"/>
              <w:numPr>
                <w:ilvl w:val="2"/>
                <w:numId w:val="36"/>
              </w:numPr>
              <w:spacing w:after="0" w:line="240" w:lineRule="auto"/>
              <w:ind w:left="2160"/>
              <w:contextualSpacing w:val="0"/>
              <w:rPr>
                <w:rFonts w:ascii="Times" w:hAnsi="Times" w:cs="Times"/>
                <w:szCs w:val="20"/>
              </w:rPr>
            </w:pPr>
            <w:r w:rsidRPr="00340AED">
              <w:rPr>
                <w:rFonts w:ascii="Times" w:hAnsi="Times" w:cs="Times"/>
                <w:szCs w:val="20"/>
              </w:rPr>
              <w:t xml:space="preserve">Enhancement on </w:t>
            </w:r>
            <w:proofErr w:type="spellStart"/>
            <w:r w:rsidRPr="00340AED">
              <w:rPr>
                <w:rFonts w:ascii="Times" w:hAnsi="Times" w:cs="Times"/>
                <w:szCs w:val="20"/>
              </w:rPr>
              <w:t>signaling</w:t>
            </w:r>
            <w:proofErr w:type="spellEnd"/>
            <w:r w:rsidRPr="00340AED">
              <w:rPr>
                <w:rFonts w:ascii="Times" w:hAnsi="Times" w:cs="Times"/>
                <w:szCs w:val="20"/>
              </w:rPr>
              <w:t xml:space="preserve"> mechanisms for the above features to improve latency and efficiency with more usage of dynamic control </w:t>
            </w:r>
            <w:proofErr w:type="spellStart"/>
            <w:r w:rsidRPr="00340AED">
              <w:rPr>
                <w:rFonts w:ascii="Times" w:hAnsi="Times" w:cs="Times"/>
                <w:szCs w:val="20"/>
              </w:rPr>
              <w:t>signaling</w:t>
            </w:r>
            <w:proofErr w:type="spellEnd"/>
            <w:r w:rsidRPr="00340AED">
              <w:rPr>
                <w:rFonts w:ascii="Times" w:hAnsi="Times" w:cs="Times"/>
                <w:szCs w:val="20"/>
              </w:rPr>
              <w:t xml:space="preserve"> (as opposed to RRC)</w:t>
            </w:r>
          </w:p>
        </w:tc>
      </w:tr>
    </w:tbl>
    <w:p w14:paraId="3AEC4D99" w14:textId="42E48F87" w:rsidR="00796E06" w:rsidRPr="00340AED" w:rsidRDefault="00796E06" w:rsidP="00796E06">
      <w:pPr>
        <w:rPr>
          <w:rFonts w:cs="Times"/>
          <w:szCs w:val="20"/>
        </w:rPr>
      </w:pPr>
    </w:p>
    <w:p w14:paraId="31E6B134" w14:textId="77777777" w:rsidR="00C71107" w:rsidRPr="00820C25" w:rsidRDefault="00340AED" w:rsidP="6DC5F989">
      <w:pPr>
        <w:pStyle w:val="TAL"/>
        <w:rPr>
          <w:rFonts w:ascii="Times" w:hAnsi="Times" w:cs="Times"/>
          <w:sz w:val="22"/>
          <w:szCs w:val="22"/>
        </w:rPr>
      </w:pPr>
      <w:r w:rsidRPr="00820C25">
        <w:rPr>
          <w:rFonts w:ascii="Times" w:hAnsi="Times" w:cs="Times"/>
          <w:sz w:val="22"/>
          <w:szCs w:val="22"/>
        </w:rPr>
        <w:t>In Rel-15/16 multi-TRP operation is limited to a single cell (single PCID). In Rel-16 for multi-DCI multi-TRP operation, the relevant UE FG (16-2a family) notes that</w:t>
      </w:r>
      <w:r w:rsidR="00C71107" w:rsidRPr="00820C25">
        <w:rPr>
          <w:rFonts w:ascii="Times" w:hAnsi="Times" w:cs="Times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71107" w14:paraId="56059FBD" w14:textId="77777777" w:rsidTr="6DC5F989">
        <w:tc>
          <w:tcPr>
            <w:tcW w:w="9919" w:type="dxa"/>
          </w:tcPr>
          <w:p w14:paraId="3412F31E" w14:textId="3D5D1193" w:rsidR="00C71107" w:rsidRPr="00820C25" w:rsidRDefault="00C71107" w:rsidP="6DC5F989">
            <w:pPr>
              <w:pStyle w:val="TAL"/>
              <w:rPr>
                <w:rFonts w:ascii="Times" w:hAnsi="Times" w:cs="Times"/>
                <w:color w:val="000000" w:themeColor="text1"/>
                <w:sz w:val="22"/>
                <w:szCs w:val="22"/>
              </w:rPr>
            </w:pPr>
            <w:r w:rsidRPr="00820C25">
              <w:rPr>
                <w:rFonts w:ascii="Times" w:hAnsi="Times" w:cs="Times"/>
                <w:color w:val="000000" w:themeColor="text1"/>
                <w:sz w:val="22"/>
                <w:szCs w:val="22"/>
              </w:rPr>
              <w:t xml:space="preserve">Note: A UE may assume that its maximum </w:t>
            </w:r>
            <w:proofErr w:type="gramStart"/>
            <w:r w:rsidRPr="00820C25">
              <w:rPr>
                <w:rFonts w:ascii="Times" w:hAnsi="Times" w:cs="Times"/>
                <w:color w:val="000000" w:themeColor="text1"/>
                <w:sz w:val="22"/>
                <w:szCs w:val="22"/>
              </w:rPr>
              <w:t>receive</w:t>
            </w:r>
            <w:proofErr w:type="gramEnd"/>
            <w:r w:rsidRPr="00820C25">
              <w:rPr>
                <w:rFonts w:ascii="Times" w:hAnsi="Times" w:cs="Times"/>
                <w:color w:val="000000" w:themeColor="text1"/>
                <w:sz w:val="22"/>
                <w:szCs w:val="22"/>
              </w:rPr>
              <w:t xml:space="preserve"> timing difference between the DL transmissions from two TRPs is within a CP</w:t>
            </w:r>
          </w:p>
        </w:tc>
      </w:tr>
    </w:tbl>
    <w:p w14:paraId="159AED0C" w14:textId="73849071" w:rsidR="00340AED" w:rsidRDefault="00340AED" w:rsidP="00796E06"/>
    <w:p w14:paraId="7D746F4B" w14:textId="346D42CA" w:rsidR="00C71107" w:rsidRPr="00C71107" w:rsidRDefault="00C71107" w:rsidP="00C71107">
      <w:pPr>
        <w:pStyle w:val="Heading1"/>
      </w:pPr>
      <w:r>
        <w:t xml:space="preserve">Receive timing difference </w:t>
      </w:r>
      <w:r w:rsidR="006119C1">
        <w:t>motivation</w:t>
      </w:r>
    </w:p>
    <w:p w14:paraId="3FA629E6" w14:textId="0E518F6C" w:rsidR="00340AED" w:rsidRDefault="00340AED" w:rsidP="00796E06"/>
    <w:p w14:paraId="69F7ED16" w14:textId="72444788" w:rsidR="00C71107" w:rsidRDefault="00C71107" w:rsidP="00796E06">
      <w:r>
        <w:t xml:space="preserve">The constraint of receive timing difference within a CP for FG 16-2a family applies to following cases </w:t>
      </w:r>
      <w:r w:rsidR="009D5555">
        <w:t>of PDSCH reception – overlapping PDSCH from TRP-1 and TRP-2, FDM between PDSCHs and TDM between PDSCHs.</w:t>
      </w:r>
      <w:r>
        <w:t xml:space="preserve">  </w:t>
      </w:r>
    </w:p>
    <w:p w14:paraId="1C833253" w14:textId="702E64EE" w:rsidR="00C71107" w:rsidRDefault="00C71107" w:rsidP="00796E06"/>
    <w:p w14:paraId="0D784DAD" w14:textId="189678A5" w:rsidR="00C71107" w:rsidRDefault="009D5555" w:rsidP="00C71107">
      <w:pPr>
        <w:keepNext/>
        <w:jc w:val="center"/>
      </w:pPr>
      <w:r>
        <w:object w:dxaOrig="2925" w:dyaOrig="2835" w14:anchorId="611FB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35pt;height:141.65pt" o:ole="">
            <v:imagedata r:id="rId11" o:title=""/>
          </v:shape>
          <o:OLEObject Type="Embed" ProgID="Visio.Drawing.15" ShapeID="_x0000_i1025" DrawAspect="Content" ObjectID="_1660990035" r:id="rId12"/>
        </w:object>
      </w:r>
    </w:p>
    <w:p w14:paraId="3EE2E2F1" w14:textId="7B52B467" w:rsidR="00C71107" w:rsidRDefault="00C71107" w:rsidP="00C7110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00B0">
        <w:rPr>
          <w:noProof/>
        </w:rPr>
        <w:t>1</w:t>
      </w:r>
      <w:r>
        <w:fldChar w:fldCharType="end"/>
      </w:r>
      <w:r>
        <w:t xml:space="preserve">: </w:t>
      </w:r>
      <w:r w:rsidR="009D5555">
        <w:t xml:space="preserve">Rel-16 </w:t>
      </w:r>
      <w:r>
        <w:t xml:space="preserve">multi-DCI multi-TRP operation </w:t>
      </w:r>
      <w:r w:rsidR="009D5555">
        <w:t xml:space="preserve">(from UE perspective) </w:t>
      </w:r>
      <w:r>
        <w:t xml:space="preserve">with PDSCH from TRP-1 and TRP-2 that can overlap </w:t>
      </w:r>
      <w:r w:rsidR="009D5555">
        <w:t xml:space="preserve">in some REs </w:t>
      </w:r>
      <w:r>
        <w:t xml:space="preserve">or </w:t>
      </w:r>
      <w:r w:rsidR="009D5555">
        <w:t xml:space="preserve">can be non-overlapping </w:t>
      </w:r>
      <w:r>
        <w:t>in TDM or FDM fashion</w:t>
      </w:r>
    </w:p>
    <w:p w14:paraId="4F54F740" w14:textId="7A5E975A" w:rsidR="00C71107" w:rsidRDefault="00C71107" w:rsidP="00796E06"/>
    <w:p w14:paraId="19E1519B" w14:textId="26CC7046" w:rsidR="009D5555" w:rsidRDefault="009D5555" w:rsidP="00796E06">
      <w:r>
        <w:t xml:space="preserve">The note of receive timing difference within a CP </w:t>
      </w:r>
      <w:r w:rsidR="77492910">
        <w:t xml:space="preserve">in 16-2a FG </w:t>
      </w:r>
      <w:r>
        <w:t xml:space="preserve">is mainly motivated by the case of overlapping PDSCH </w:t>
      </w:r>
      <w:r w:rsidR="330A8BFF">
        <w:t xml:space="preserve">reception </w:t>
      </w:r>
      <w:r>
        <w:t>from TRP-1 and TRP-2 due to inter-PDSCH interference but applies to all cases. Note that inter-PDSCH interference can be avoided in FDM and TDM cases by TRP coordination. It was determined in LTE that for NC-JT reception (overlapping PDSCH case) a receive timing difference of [-0.5,2] us is reasonable</w:t>
      </w:r>
      <w:r w:rsidR="006119C1">
        <w:t xml:space="preserve"> </w:t>
      </w:r>
      <w:r w:rsidR="4ADAA747">
        <w:t xml:space="preserve">for joint demodulation </w:t>
      </w:r>
      <w:r w:rsidR="006119C1">
        <w:t>(LTE CP length is 4.7 us</w:t>
      </w:r>
      <w:r w:rsidR="0036584D">
        <w:t xml:space="preserve">, </w:t>
      </w:r>
      <w:r w:rsidR="6FE1E173">
        <w:t xml:space="preserve">ref. </w:t>
      </w:r>
      <w:r w:rsidR="0036584D">
        <w:t>36.101, 36.819</w:t>
      </w:r>
      <w:r w:rsidR="006119C1">
        <w:t>)</w:t>
      </w:r>
    </w:p>
    <w:p w14:paraId="11921A80" w14:textId="50574870" w:rsidR="006119C1" w:rsidRPr="006119C1" w:rsidRDefault="009D5555" w:rsidP="6DC5F989">
      <w:pPr>
        <w:rPr>
          <w:b/>
          <w:bCs/>
          <w:i/>
          <w:iCs/>
        </w:rPr>
      </w:pPr>
      <w:r w:rsidRPr="6DC5F989">
        <w:rPr>
          <w:b/>
          <w:bCs/>
          <w:i/>
          <w:iCs/>
        </w:rPr>
        <w:t>Observation</w:t>
      </w:r>
      <w:r w:rsidR="006119C1" w:rsidRPr="6DC5F989">
        <w:rPr>
          <w:b/>
          <w:bCs/>
          <w:i/>
          <w:iCs/>
        </w:rPr>
        <w:t>-1</w:t>
      </w:r>
      <w:r w:rsidRPr="6DC5F989">
        <w:rPr>
          <w:b/>
          <w:bCs/>
          <w:i/>
          <w:iCs/>
        </w:rPr>
        <w:t xml:space="preserve">: </w:t>
      </w:r>
      <w:r w:rsidR="006119C1" w:rsidRPr="6DC5F989">
        <w:rPr>
          <w:b/>
          <w:bCs/>
          <w:i/>
          <w:iCs/>
        </w:rPr>
        <w:t xml:space="preserve">The restriction of </w:t>
      </w:r>
      <w:r w:rsidRPr="6DC5F989">
        <w:rPr>
          <w:rFonts w:cs="Times"/>
          <w:b/>
          <w:bCs/>
          <w:i/>
          <w:iCs/>
          <w:color w:val="000000" w:themeColor="text1"/>
        </w:rPr>
        <w:t xml:space="preserve">receive timing difference </w:t>
      </w:r>
      <w:r w:rsidR="006119C1" w:rsidRPr="6DC5F989">
        <w:rPr>
          <w:rFonts w:cs="Times"/>
          <w:b/>
          <w:bCs/>
          <w:i/>
          <w:iCs/>
          <w:color w:val="000000" w:themeColor="text1"/>
        </w:rPr>
        <w:t xml:space="preserve">for PDSCH reception </w:t>
      </w:r>
      <w:r w:rsidRPr="6DC5F989">
        <w:rPr>
          <w:rFonts w:cs="Times"/>
          <w:b/>
          <w:bCs/>
          <w:i/>
          <w:iCs/>
          <w:color w:val="000000" w:themeColor="text1"/>
        </w:rPr>
        <w:t>from two TRPs</w:t>
      </w:r>
      <w:r w:rsidR="006119C1" w:rsidRPr="6DC5F989">
        <w:rPr>
          <w:rFonts w:cs="Times"/>
          <w:b/>
          <w:bCs/>
          <w:i/>
          <w:iCs/>
          <w:color w:val="000000" w:themeColor="text1"/>
        </w:rPr>
        <w:t xml:space="preserve"> to within</w:t>
      </w:r>
      <w:r w:rsidRPr="6DC5F989">
        <w:rPr>
          <w:rFonts w:cs="Times"/>
          <w:b/>
          <w:bCs/>
          <w:i/>
          <w:iCs/>
          <w:color w:val="000000" w:themeColor="text1"/>
        </w:rPr>
        <w:t xml:space="preserve"> a CP</w:t>
      </w:r>
      <w:r w:rsidR="006119C1" w:rsidRPr="6DC5F989">
        <w:rPr>
          <w:rFonts w:cs="Times"/>
          <w:b/>
          <w:bCs/>
          <w:i/>
          <w:iCs/>
          <w:color w:val="000000" w:themeColor="text1"/>
        </w:rPr>
        <w:t xml:space="preserve"> </w:t>
      </w:r>
      <w:r w:rsidR="47B2333E" w:rsidRPr="6DC5F989">
        <w:rPr>
          <w:rFonts w:cs="Times"/>
          <w:b/>
          <w:bCs/>
          <w:i/>
          <w:iCs/>
          <w:color w:val="000000" w:themeColor="text1"/>
        </w:rPr>
        <w:t xml:space="preserve">(in FG 16-2a) </w:t>
      </w:r>
      <w:r w:rsidR="006119C1" w:rsidRPr="6DC5F989">
        <w:rPr>
          <w:rFonts w:cs="Times"/>
          <w:b/>
          <w:bCs/>
          <w:i/>
          <w:iCs/>
          <w:color w:val="000000" w:themeColor="text1"/>
        </w:rPr>
        <w:t xml:space="preserve">is in practice much tighter than a CP – e.g. in LTE it can be 0.5 </w:t>
      </w:r>
      <w:r w:rsidR="006119C1" w:rsidRPr="6DC5F989">
        <w:rPr>
          <w:b/>
          <w:bCs/>
          <w:i/>
          <w:iCs/>
        </w:rPr>
        <w:t>us where CP length is 4.7 us.</w:t>
      </w:r>
    </w:p>
    <w:p w14:paraId="0BAE67EA" w14:textId="10E7ED9E" w:rsidR="009D5555" w:rsidRPr="006119C1" w:rsidRDefault="006119C1" w:rsidP="6DC5F989">
      <w:pPr>
        <w:rPr>
          <w:b/>
          <w:bCs/>
          <w:i/>
          <w:iCs/>
        </w:rPr>
      </w:pPr>
      <w:r w:rsidRPr="6DC5F989">
        <w:rPr>
          <w:b/>
          <w:bCs/>
          <w:i/>
          <w:iCs/>
        </w:rPr>
        <w:t xml:space="preserve">Observation-2: The restriction of </w:t>
      </w:r>
      <w:r w:rsidRPr="6DC5F989">
        <w:rPr>
          <w:rFonts w:cs="Times"/>
          <w:b/>
          <w:bCs/>
          <w:i/>
          <w:iCs/>
          <w:color w:val="000000" w:themeColor="text1"/>
        </w:rPr>
        <w:t xml:space="preserve">receive timing difference for PDSCH reception from two TRPs to within a CP </w:t>
      </w:r>
      <w:r w:rsidR="706946E0" w:rsidRPr="6DC5F989">
        <w:rPr>
          <w:rFonts w:cs="Times"/>
          <w:b/>
          <w:bCs/>
          <w:i/>
          <w:iCs/>
          <w:color w:val="000000" w:themeColor="text1"/>
        </w:rPr>
        <w:t xml:space="preserve">(in multi-DCI multi-TRP operation) </w:t>
      </w:r>
      <w:r w:rsidRPr="6DC5F989">
        <w:rPr>
          <w:rFonts w:cs="Times"/>
          <w:b/>
          <w:bCs/>
          <w:i/>
          <w:iCs/>
          <w:color w:val="000000" w:themeColor="text1"/>
        </w:rPr>
        <w:t>is not needed for the case where PDSCHs from the two TRPs do not overlap</w:t>
      </w:r>
      <w:r w:rsidRPr="6DC5F989">
        <w:rPr>
          <w:b/>
          <w:bCs/>
          <w:i/>
          <w:iCs/>
        </w:rPr>
        <w:t>.</w:t>
      </w:r>
    </w:p>
    <w:p w14:paraId="2C73DAF0" w14:textId="70A4E615" w:rsidR="00796E06" w:rsidRDefault="00796E06" w:rsidP="00C37339"/>
    <w:p w14:paraId="1C030468" w14:textId="2E443920" w:rsidR="006119C1" w:rsidRPr="00C71107" w:rsidRDefault="006119C1" w:rsidP="006119C1">
      <w:pPr>
        <w:pStyle w:val="Heading1"/>
      </w:pPr>
      <w:r>
        <w:t>Deployment constraint due to receive timing difference</w:t>
      </w:r>
    </w:p>
    <w:p w14:paraId="011BA12E" w14:textId="77777777" w:rsidR="006119C1" w:rsidRDefault="006119C1" w:rsidP="00C37339"/>
    <w:p w14:paraId="0F0D5E57" w14:textId="77777777" w:rsidR="002600B0" w:rsidRDefault="002600B0" w:rsidP="002600B0">
      <w:pPr>
        <w:keepNext/>
        <w:jc w:val="center"/>
      </w:pPr>
      <w:r>
        <w:object w:dxaOrig="4860" w:dyaOrig="2416" w14:anchorId="680473DE">
          <v:shape id="_x0000_i1026" type="#_x0000_t75" style="width:242.65pt;height:121.1pt" o:ole="">
            <v:imagedata r:id="rId13" o:title=""/>
          </v:shape>
          <o:OLEObject Type="Embed" ProgID="Visio.Drawing.15" ShapeID="_x0000_i1026" DrawAspect="Content" ObjectID="_1660990036" r:id="rId14"/>
        </w:object>
      </w:r>
    </w:p>
    <w:p w14:paraId="58367AF9" w14:textId="363F56C0" w:rsidR="001E29B2" w:rsidRDefault="002600B0" w:rsidP="002600B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Deployment scenario for inter-cell multi-DCI multi-TRP</w:t>
      </w:r>
    </w:p>
    <w:p w14:paraId="238E6372" w14:textId="36EFCC0F" w:rsidR="006119C1" w:rsidRDefault="006119C1" w:rsidP="00C37339"/>
    <w:p w14:paraId="228825E4" w14:textId="2E896447" w:rsidR="00E80EBF" w:rsidRDefault="00C62A02" w:rsidP="00C37339">
      <w:r>
        <w:t xml:space="preserve">The receive timing difference </w:t>
      </w:r>
      <w:r w:rsidR="3EF53A22">
        <w:t xml:space="preserve">at the UE </w:t>
      </w:r>
      <w:r>
        <w:t xml:space="preserve">is due to TRP synchronization error + propagation delay difference. </w:t>
      </w:r>
      <w:r w:rsidR="002600B0">
        <w:t>The restriction on the receive timing difference for multi-DCI multi-TRP operation imposes restrictions on the UE locations where multi-DCI multi-TRP can be employed</w:t>
      </w:r>
      <w:r>
        <w:t xml:space="preserve"> which becomes </w:t>
      </w:r>
      <w:r w:rsidR="5E40B462">
        <w:t xml:space="preserve">more limiting </w:t>
      </w:r>
      <w:r>
        <w:t>if the TRPs have transmit power difference (</w:t>
      </w:r>
      <w:proofErr w:type="spellStart"/>
      <w:r>
        <w:t>HetNets</w:t>
      </w:r>
      <w:proofErr w:type="spellEnd"/>
      <w:r>
        <w:t>)</w:t>
      </w:r>
      <w:r w:rsidR="002600B0">
        <w:t>. As an example, we assume that the receive timing difference scales with subcarrier spacing and show in the following table the relative difference in the distance of a UE from TRP-1 and TRP-2 to satisfy such timing requirements</w:t>
      </w:r>
      <w:r w:rsidR="54971062">
        <w:t xml:space="preserve"> (with perfect synchronization across TRPs)</w:t>
      </w:r>
      <w:r w:rsidR="002600B0">
        <w:t>. We also compare it with the case of synchronous DAPs HO introduced in Rel-16 where the receive timing difference can be up to 6 us in FR1</w:t>
      </w:r>
      <w:r w:rsidR="0036584D">
        <w:t xml:space="preserve"> [38.133]</w:t>
      </w:r>
      <w:r w:rsidR="002600B0">
        <w:t>. It is also worth noting that cell phase synchronization requirement</w:t>
      </w:r>
      <w:r w:rsidR="00827DC9">
        <w:t xml:space="preserve"> (transmit timing error in TDD)</w:t>
      </w:r>
      <w:r w:rsidR="002600B0">
        <w:t xml:space="preserve"> is 3 us (+/- 1.5us</w:t>
      </w:r>
      <w:r w:rsidR="0036584D">
        <w:t>, 38.133</w:t>
      </w:r>
      <w:r w:rsidR="002600B0">
        <w:t>)</w:t>
      </w:r>
      <w:r>
        <w:t xml:space="preserve"> implying that the multi-DCI multi-TRP requirement becomes 3x, 6x, 24x tighter </w:t>
      </w:r>
      <w:r w:rsidR="001B5AF2">
        <w:t xml:space="preserve">than synchronization requirement </w:t>
      </w:r>
      <w:r>
        <w:t>at SCS 15 kHz, 30 kHz and 120 kHz respectively.</w:t>
      </w:r>
    </w:p>
    <w:p w14:paraId="6E34F0BC" w14:textId="77777777" w:rsidR="00E80EBF" w:rsidRDefault="00E80EBF" w:rsidP="00E80EBF"/>
    <w:tbl>
      <w:tblPr>
        <w:tblStyle w:val="GridTable4-Accent3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E80EBF" w14:paraId="721C80CE" w14:textId="77777777" w:rsidTr="6DC5F9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00044D71" w14:textId="77777777" w:rsidR="00E80EBF" w:rsidRPr="00C01604" w:rsidRDefault="00E80EBF" w:rsidP="00871A97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  <w:color w:val="auto"/>
              </w:rPr>
              <w:t>Rel-16</w:t>
            </w:r>
          </w:p>
        </w:tc>
        <w:tc>
          <w:tcPr>
            <w:tcW w:w="1653" w:type="dxa"/>
          </w:tcPr>
          <w:p w14:paraId="401BA651" w14:textId="77777777" w:rsidR="00E80EBF" w:rsidRPr="000E04F6" w:rsidRDefault="00E80EBF" w:rsidP="0087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SCS</w:t>
            </w:r>
          </w:p>
        </w:tc>
        <w:tc>
          <w:tcPr>
            <w:tcW w:w="1653" w:type="dxa"/>
          </w:tcPr>
          <w:p w14:paraId="7FC84917" w14:textId="77777777" w:rsidR="00E80EBF" w:rsidRPr="000E04F6" w:rsidRDefault="00E80EBF" w:rsidP="0087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CF</w:t>
            </w:r>
          </w:p>
        </w:tc>
        <w:tc>
          <w:tcPr>
            <w:tcW w:w="1653" w:type="dxa"/>
          </w:tcPr>
          <w:p w14:paraId="41A8F2FD" w14:textId="77777777" w:rsidR="00E80EBF" w:rsidRPr="000E04F6" w:rsidRDefault="00E80EBF" w:rsidP="0087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CP length</w:t>
            </w:r>
          </w:p>
        </w:tc>
        <w:tc>
          <w:tcPr>
            <w:tcW w:w="1653" w:type="dxa"/>
          </w:tcPr>
          <w:p w14:paraId="097EA2AA" w14:textId="308DFB68" w:rsidR="00E80EBF" w:rsidRPr="000E04F6" w:rsidRDefault="6D600948" w:rsidP="0087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6DC5F989">
              <w:rPr>
                <w:b w:val="0"/>
                <w:bCs w:val="0"/>
                <w:color w:val="auto"/>
              </w:rPr>
              <w:t>Rx timing diff</w:t>
            </w:r>
            <w:r w:rsidR="168D6074" w:rsidRPr="6DC5F989">
              <w:rPr>
                <w:b w:val="0"/>
                <w:bCs w:val="0"/>
                <w:color w:val="auto"/>
              </w:rPr>
              <w:t xml:space="preserve"> constraint</w:t>
            </w:r>
          </w:p>
        </w:tc>
        <w:tc>
          <w:tcPr>
            <w:tcW w:w="1653" w:type="dxa"/>
          </w:tcPr>
          <w:p w14:paraId="5A330390" w14:textId="77777777" w:rsidR="00E80EBF" w:rsidRPr="000E04F6" w:rsidRDefault="00E80EBF" w:rsidP="0087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proofErr w:type="spellStart"/>
            <w:proofErr w:type="gramStart"/>
            <w:r>
              <w:rPr>
                <w:b w:val="0"/>
                <w:bCs w:val="0"/>
                <w:color w:val="auto"/>
              </w:rPr>
              <w:t>dist</w:t>
            </w:r>
            <w:proofErr w:type="spellEnd"/>
            <w:r>
              <w:rPr>
                <w:b w:val="0"/>
                <w:bCs w:val="0"/>
                <w:color w:val="auto"/>
              </w:rPr>
              <w:t>(</w:t>
            </w:r>
            <w:proofErr w:type="gramEnd"/>
            <w:r w:rsidRPr="000E04F6">
              <w:rPr>
                <w:b w:val="0"/>
                <w:bCs w:val="0"/>
                <w:color w:val="auto"/>
              </w:rPr>
              <w:t>UE</w:t>
            </w:r>
            <w:r>
              <w:rPr>
                <w:b w:val="0"/>
                <w:bCs w:val="0"/>
                <w:color w:val="auto"/>
              </w:rPr>
              <w:t>-TRP1)-</w:t>
            </w:r>
            <w:proofErr w:type="spellStart"/>
            <w:r>
              <w:rPr>
                <w:b w:val="0"/>
                <w:bCs w:val="0"/>
                <w:color w:val="auto"/>
              </w:rPr>
              <w:t>dist</w:t>
            </w:r>
            <w:proofErr w:type="spellEnd"/>
            <w:r>
              <w:rPr>
                <w:b w:val="0"/>
                <w:bCs w:val="0"/>
                <w:color w:val="auto"/>
              </w:rPr>
              <w:t>(UE-TRP2)</w:t>
            </w:r>
            <w:r w:rsidRPr="000E04F6">
              <w:rPr>
                <w:b w:val="0"/>
                <w:bCs w:val="0"/>
                <w:color w:val="auto"/>
              </w:rPr>
              <w:t xml:space="preserve"> </w:t>
            </w:r>
          </w:p>
        </w:tc>
      </w:tr>
      <w:tr w:rsidR="00E80EBF" w14:paraId="5450F524" w14:textId="77777777" w:rsidTr="6DC5F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4A864257" w14:textId="77777777" w:rsidR="00E80EBF" w:rsidRPr="00C01604" w:rsidRDefault="00E80EBF" w:rsidP="00871A97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lastRenderedPageBreak/>
              <w:t>16-2a</w:t>
            </w:r>
          </w:p>
        </w:tc>
        <w:tc>
          <w:tcPr>
            <w:tcW w:w="1653" w:type="dxa"/>
          </w:tcPr>
          <w:p w14:paraId="1BABE5D7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15 kHz</w:t>
            </w:r>
          </w:p>
        </w:tc>
        <w:tc>
          <w:tcPr>
            <w:tcW w:w="1653" w:type="dxa"/>
          </w:tcPr>
          <w:p w14:paraId="2C9D219A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4 GHz</w:t>
            </w:r>
          </w:p>
        </w:tc>
        <w:tc>
          <w:tcPr>
            <w:tcW w:w="1653" w:type="dxa"/>
          </w:tcPr>
          <w:p w14:paraId="231EE923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4.7 us</w:t>
            </w:r>
          </w:p>
        </w:tc>
        <w:tc>
          <w:tcPr>
            <w:tcW w:w="1653" w:type="dxa"/>
          </w:tcPr>
          <w:p w14:paraId="73E2B589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[-</w:t>
            </w:r>
            <w:r w:rsidRPr="000E04F6">
              <w:t>0.5</w:t>
            </w:r>
            <w:r>
              <w:t>,2]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5B5B3018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150 m</w:t>
            </w:r>
            <w:r>
              <w:t xml:space="preserve"> (=0.5 us)</w:t>
            </w:r>
          </w:p>
        </w:tc>
      </w:tr>
      <w:tr w:rsidR="00E80EBF" w14:paraId="203228CF" w14:textId="77777777" w:rsidTr="6DC5F9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40D9398C" w14:textId="77777777" w:rsidR="00E80EBF" w:rsidRPr="00C01604" w:rsidRDefault="00E80EBF" w:rsidP="00871A97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16-2a</w:t>
            </w:r>
          </w:p>
        </w:tc>
        <w:tc>
          <w:tcPr>
            <w:tcW w:w="1653" w:type="dxa"/>
          </w:tcPr>
          <w:p w14:paraId="68819709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30 kHz</w:t>
            </w:r>
          </w:p>
        </w:tc>
        <w:tc>
          <w:tcPr>
            <w:tcW w:w="1653" w:type="dxa"/>
          </w:tcPr>
          <w:p w14:paraId="4E8C12AE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4 GHz</w:t>
            </w:r>
          </w:p>
        </w:tc>
        <w:tc>
          <w:tcPr>
            <w:tcW w:w="1653" w:type="dxa"/>
          </w:tcPr>
          <w:p w14:paraId="6EB571F4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2.35 us</w:t>
            </w:r>
          </w:p>
        </w:tc>
        <w:tc>
          <w:tcPr>
            <w:tcW w:w="1653" w:type="dxa"/>
          </w:tcPr>
          <w:p w14:paraId="41E18830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[-</w:t>
            </w:r>
            <w:r w:rsidRPr="000E04F6">
              <w:t>0.25</w:t>
            </w:r>
            <w:r>
              <w:t>,1]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04327EAB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75 m</w:t>
            </w:r>
            <w:r>
              <w:t xml:space="preserve"> (=0.25 us)</w:t>
            </w:r>
          </w:p>
        </w:tc>
      </w:tr>
      <w:tr w:rsidR="00E80EBF" w14:paraId="236D7121" w14:textId="77777777" w:rsidTr="6DC5F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3F545A00" w14:textId="77777777" w:rsidR="00E80EBF" w:rsidRPr="00C01604" w:rsidRDefault="00E80EBF" w:rsidP="00871A97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16-2a</w:t>
            </w:r>
          </w:p>
        </w:tc>
        <w:tc>
          <w:tcPr>
            <w:tcW w:w="1653" w:type="dxa"/>
          </w:tcPr>
          <w:p w14:paraId="220D92CF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120 kHz</w:t>
            </w:r>
          </w:p>
        </w:tc>
        <w:tc>
          <w:tcPr>
            <w:tcW w:w="1653" w:type="dxa"/>
          </w:tcPr>
          <w:p w14:paraId="7DC5DCBF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30 GHz</w:t>
            </w:r>
          </w:p>
        </w:tc>
        <w:tc>
          <w:tcPr>
            <w:tcW w:w="1653" w:type="dxa"/>
          </w:tcPr>
          <w:p w14:paraId="2AB28B84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0.59 us</w:t>
            </w:r>
          </w:p>
        </w:tc>
        <w:tc>
          <w:tcPr>
            <w:tcW w:w="1653" w:type="dxa"/>
          </w:tcPr>
          <w:p w14:paraId="1E9F11CF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[-</w:t>
            </w:r>
            <w:r w:rsidRPr="000E04F6">
              <w:t>0.0625</w:t>
            </w:r>
            <w:r>
              <w:t>,0.25]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577AF748" w14:textId="77777777" w:rsidR="00E80EBF" w:rsidRPr="000E04F6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19m</w:t>
            </w:r>
            <w:r>
              <w:t xml:space="preserve"> (=0.0625 us)</w:t>
            </w:r>
          </w:p>
        </w:tc>
      </w:tr>
      <w:tr w:rsidR="00E80EBF" w14:paraId="5423C11F" w14:textId="77777777" w:rsidTr="6DC5F9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3899CF03" w14:textId="77777777" w:rsidR="00E80EBF" w:rsidRPr="00C01604" w:rsidRDefault="00E80EBF" w:rsidP="00871A97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DAPs HO</w:t>
            </w:r>
          </w:p>
        </w:tc>
        <w:tc>
          <w:tcPr>
            <w:tcW w:w="1653" w:type="dxa"/>
          </w:tcPr>
          <w:p w14:paraId="7FA77FA0" w14:textId="77777777" w:rsidR="00E80EBF" w:rsidRPr="00E019DF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[</w:t>
            </w:r>
            <w:r w:rsidRPr="00E019DF">
              <w:t>15,30,60</w:t>
            </w:r>
            <w:r>
              <w:t xml:space="preserve">] </w:t>
            </w:r>
            <w:r w:rsidRPr="00E019DF">
              <w:t xml:space="preserve">kHz </w:t>
            </w:r>
          </w:p>
        </w:tc>
        <w:tc>
          <w:tcPr>
            <w:tcW w:w="1653" w:type="dxa"/>
          </w:tcPr>
          <w:p w14:paraId="57D81FA6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FR1</w:t>
            </w:r>
          </w:p>
        </w:tc>
        <w:tc>
          <w:tcPr>
            <w:tcW w:w="1653" w:type="dxa"/>
          </w:tcPr>
          <w:p w14:paraId="19430D55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[4.7,2.35,1.18] us</w:t>
            </w:r>
          </w:p>
        </w:tc>
        <w:tc>
          <w:tcPr>
            <w:tcW w:w="1653" w:type="dxa"/>
          </w:tcPr>
          <w:p w14:paraId="3C632A2E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 us (+/- 3 us) </w:t>
            </w:r>
          </w:p>
        </w:tc>
        <w:tc>
          <w:tcPr>
            <w:tcW w:w="1653" w:type="dxa"/>
          </w:tcPr>
          <w:p w14:paraId="4355F84F" w14:textId="77777777" w:rsidR="00E80EBF" w:rsidRPr="000E04F6" w:rsidRDefault="00E80EBF" w:rsidP="00871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900m (=3us)</w:t>
            </w:r>
          </w:p>
        </w:tc>
      </w:tr>
      <w:tr w:rsidR="00E80EBF" w14:paraId="2289A00B" w14:textId="77777777" w:rsidTr="6DC5F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7AB4949B" w14:textId="77777777" w:rsidR="00E80EBF" w:rsidRPr="00353027" w:rsidRDefault="00E80EBF" w:rsidP="00871A97">
            <w:pPr>
              <w:rPr>
                <w:b w:val="0"/>
                <w:bCs w:val="0"/>
              </w:rPr>
            </w:pPr>
          </w:p>
        </w:tc>
        <w:tc>
          <w:tcPr>
            <w:tcW w:w="1653" w:type="dxa"/>
          </w:tcPr>
          <w:p w14:paraId="7CB5F00C" w14:textId="77777777" w:rsidR="00E80EBF" w:rsidRPr="00353027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53" w:type="dxa"/>
          </w:tcPr>
          <w:p w14:paraId="6AC6F25F" w14:textId="77777777" w:rsidR="00E80EBF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6D4D03A5" w14:textId="77777777" w:rsidR="00E80EBF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3E91C8C1" w14:textId="77777777" w:rsidR="00E80EBF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79CF58AB" w14:textId="77777777" w:rsidR="00E80EBF" w:rsidRDefault="00E80EBF" w:rsidP="00871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4CD8CA8" w14:textId="77777777" w:rsidR="00E80EBF" w:rsidRDefault="00E80EBF" w:rsidP="00E80EBF"/>
    <w:p w14:paraId="48DDF0A1" w14:textId="67D8B65B" w:rsidR="006119C1" w:rsidRPr="001B5AF2" w:rsidRDefault="001B5AF2" w:rsidP="6DC5F989">
      <w:pPr>
        <w:rPr>
          <w:b/>
          <w:bCs/>
          <w:i/>
          <w:iCs/>
        </w:rPr>
      </w:pPr>
      <w:r w:rsidRPr="6DC5F989">
        <w:rPr>
          <w:b/>
          <w:bCs/>
          <w:i/>
          <w:iCs/>
        </w:rPr>
        <w:t xml:space="preserve">Observation-3: </w:t>
      </w:r>
      <w:r w:rsidR="0D0970A9" w:rsidRPr="6DC5F989">
        <w:rPr>
          <w:b/>
          <w:bCs/>
          <w:i/>
          <w:iCs/>
        </w:rPr>
        <w:t xml:space="preserve">Rel-16 </w:t>
      </w:r>
      <w:r w:rsidR="50D47C12" w:rsidRPr="6DC5F989">
        <w:rPr>
          <w:b/>
          <w:bCs/>
          <w:i/>
          <w:iCs/>
        </w:rPr>
        <w:t>m</w:t>
      </w:r>
      <w:r w:rsidRPr="6DC5F989">
        <w:rPr>
          <w:b/>
          <w:bCs/>
          <w:i/>
          <w:iCs/>
        </w:rPr>
        <w:t xml:space="preserve">ulti-DCI multi-TRP requirement of receive timing </w:t>
      </w:r>
      <w:r w:rsidR="00871A97" w:rsidRPr="6DC5F989">
        <w:rPr>
          <w:b/>
          <w:bCs/>
          <w:i/>
          <w:iCs/>
        </w:rPr>
        <w:t xml:space="preserve">difference </w:t>
      </w:r>
      <w:r w:rsidRPr="6DC5F989">
        <w:rPr>
          <w:b/>
          <w:bCs/>
          <w:i/>
          <w:iCs/>
        </w:rPr>
        <w:t xml:space="preserve">within a CP results in 3x, 6x, 24x tighter </w:t>
      </w:r>
      <w:r w:rsidR="00871A97" w:rsidRPr="6DC5F989">
        <w:rPr>
          <w:b/>
          <w:bCs/>
          <w:i/>
          <w:iCs/>
        </w:rPr>
        <w:t xml:space="preserve">requirement than </w:t>
      </w:r>
      <w:r w:rsidR="0767C16E" w:rsidRPr="6DC5F989">
        <w:rPr>
          <w:b/>
          <w:bCs/>
          <w:i/>
          <w:iCs/>
        </w:rPr>
        <w:t xml:space="preserve">existing </w:t>
      </w:r>
      <w:r w:rsidRPr="6DC5F989">
        <w:rPr>
          <w:b/>
          <w:bCs/>
          <w:i/>
          <w:iCs/>
        </w:rPr>
        <w:t>synchronization requirement</w:t>
      </w:r>
      <w:r w:rsidR="00827DC9" w:rsidRPr="6DC5F989">
        <w:rPr>
          <w:b/>
          <w:bCs/>
          <w:i/>
          <w:iCs/>
        </w:rPr>
        <w:t xml:space="preserve"> for TDD</w:t>
      </w:r>
      <w:r w:rsidRPr="6DC5F989">
        <w:rPr>
          <w:b/>
          <w:bCs/>
          <w:i/>
          <w:iCs/>
        </w:rPr>
        <w:t xml:space="preserve"> at SCS 15 kHz, 30 kHz and 120 kHz respectively</w:t>
      </w:r>
    </w:p>
    <w:p w14:paraId="22B543B7" w14:textId="32B7347D" w:rsidR="00C62A02" w:rsidRPr="00C71107" w:rsidRDefault="00C62A02" w:rsidP="00C62A02">
      <w:pPr>
        <w:pStyle w:val="Heading1"/>
      </w:pPr>
      <w:r>
        <w:t>UE complexity</w:t>
      </w:r>
    </w:p>
    <w:p w14:paraId="12FC2260" w14:textId="39656133" w:rsidR="006119C1" w:rsidRDefault="006119C1" w:rsidP="00C37339"/>
    <w:p w14:paraId="014EA771" w14:textId="56C434ED" w:rsidR="00C62A02" w:rsidRDefault="00C62A02" w:rsidP="00C37339">
      <w:r>
        <w:t>Th</w:t>
      </w:r>
      <w:r w:rsidR="001B5AF2">
        <w:t xml:space="preserve">e reception of PDSCH from TRP-1 and TRP-2 </w:t>
      </w:r>
      <w:r w:rsidR="65414B7D">
        <w:t xml:space="preserve">(at least </w:t>
      </w:r>
      <w:r w:rsidR="67E9F769">
        <w:t>in FR1</w:t>
      </w:r>
      <w:r w:rsidR="179B7E12">
        <w:t>)</w:t>
      </w:r>
      <w:r w:rsidR="67E9F769">
        <w:t xml:space="preserve"> </w:t>
      </w:r>
      <w:r w:rsidR="001B5AF2">
        <w:t xml:space="preserve">with large timing difference </w:t>
      </w:r>
      <w:r w:rsidR="00871A97">
        <w:t xml:space="preserve">requires </w:t>
      </w:r>
      <w:r w:rsidR="76266B1B">
        <w:t>two</w:t>
      </w:r>
      <w:r w:rsidR="001B5AF2">
        <w:t xml:space="preserve"> FFT </w:t>
      </w:r>
      <w:proofErr w:type="gramStart"/>
      <w:r w:rsidR="001B5AF2">
        <w:t>operations  at</w:t>
      </w:r>
      <w:proofErr w:type="gramEnd"/>
      <w:r w:rsidR="001B5AF2">
        <w:t xml:space="preserve"> the UE </w:t>
      </w:r>
      <w:r w:rsidR="33208C70">
        <w:t xml:space="preserve">corresponding to FFT windows with timing </w:t>
      </w:r>
      <w:r w:rsidR="6365350C">
        <w:t xml:space="preserve">matched to TRP-1 and TRP-2 respectively. </w:t>
      </w:r>
      <w:r w:rsidR="65EE30C6">
        <w:t xml:space="preserve">This </w:t>
      </w:r>
      <w:r w:rsidR="05BE3536">
        <w:t>could raise</w:t>
      </w:r>
      <w:r w:rsidR="00871A97">
        <w:t xml:space="preserve"> the base-band complexity for UEs supporting such reception</w:t>
      </w:r>
      <w:r w:rsidR="00E34E15">
        <w:t xml:space="preserve"> (</w:t>
      </w:r>
      <w:proofErr w:type="gramStart"/>
      <w:r w:rsidR="00E34E15">
        <w:t>similar to</w:t>
      </w:r>
      <w:proofErr w:type="gramEnd"/>
      <w:r w:rsidR="00E34E15">
        <w:t xml:space="preserve"> </w:t>
      </w:r>
      <w:r w:rsidR="08A3BE89">
        <w:t xml:space="preserve">certain </w:t>
      </w:r>
      <w:r w:rsidR="00E34E15">
        <w:t>DAPs HO</w:t>
      </w:r>
      <w:r w:rsidR="0C01C572">
        <w:t xml:space="preserve"> scenarios</w:t>
      </w:r>
      <w:r w:rsidR="00E34E15">
        <w:t>)</w:t>
      </w:r>
      <w:r w:rsidR="00871A97">
        <w:t xml:space="preserve">. However, in FR2 due to </w:t>
      </w:r>
      <w:r w:rsidR="70F7A12E">
        <w:t xml:space="preserve">antenna pattern </w:t>
      </w:r>
      <w:r w:rsidR="00871A97">
        <w:t>isolation across UE panels (</w:t>
      </w:r>
      <w:r w:rsidR="5DE55DF8">
        <w:t>UE panels</w:t>
      </w:r>
      <w:r w:rsidR="00871A97">
        <w:t xml:space="preserve"> are </w:t>
      </w:r>
      <w:r w:rsidR="00827DC9">
        <w:t xml:space="preserve">more </w:t>
      </w:r>
      <w:r w:rsidR="00871A97">
        <w:t>directive in nature</w:t>
      </w:r>
      <w:r w:rsidR="00827DC9">
        <w:t xml:space="preserve"> compared to FR1</w:t>
      </w:r>
      <w:r w:rsidR="00871A97">
        <w:t>), we expect that a single FFT operation per receive chain</w:t>
      </w:r>
      <w:r w:rsidR="742AD0C6">
        <w:t>/panel</w:t>
      </w:r>
      <w:r w:rsidR="00871A97">
        <w:t xml:space="preserve"> </w:t>
      </w:r>
      <w:r w:rsidR="72F3ADC3">
        <w:t xml:space="preserve">may </w:t>
      </w:r>
      <w:r w:rsidR="00871A97">
        <w:t xml:space="preserve">suffice for </w:t>
      </w:r>
      <w:r w:rsidR="00827DC9">
        <w:t xml:space="preserve">a </w:t>
      </w:r>
      <w:r w:rsidR="00871A97">
        <w:t xml:space="preserve">majority of use-cases as long as the </w:t>
      </w:r>
      <w:proofErr w:type="spellStart"/>
      <w:r w:rsidR="00871A97">
        <w:t>gNB</w:t>
      </w:r>
      <w:proofErr w:type="spellEnd"/>
      <w:r w:rsidR="00871A97">
        <w:t xml:space="preserve"> and the UE is aware of the extent of isolation</w:t>
      </w:r>
      <w:r w:rsidR="00827DC9">
        <w:t xml:space="preserve"> [ref. </w:t>
      </w:r>
      <w:r w:rsidR="4630533B">
        <w:t xml:space="preserve">Section 7, </w:t>
      </w:r>
      <w:r w:rsidR="00827DC9">
        <w:t xml:space="preserve">Intel </w:t>
      </w:r>
      <w:r w:rsidR="00692380">
        <w:t>R1-1908653]</w:t>
      </w:r>
      <w:r w:rsidR="020A5F2A">
        <w:t>.</w:t>
      </w:r>
      <w:r w:rsidR="00871A97">
        <w:t xml:space="preserve"> </w:t>
      </w:r>
    </w:p>
    <w:p w14:paraId="53C864EC" w14:textId="4044256A" w:rsidR="00871A97" w:rsidRDefault="00871A97" w:rsidP="00C37339"/>
    <w:p w14:paraId="115C29AE" w14:textId="6ECAF3D3" w:rsidR="00E34E15" w:rsidRDefault="00E34E15" w:rsidP="00C37339">
      <w:r w:rsidRPr="6DC5F989">
        <w:rPr>
          <w:b/>
          <w:bCs/>
          <w:i/>
          <w:iCs/>
        </w:rPr>
        <w:t xml:space="preserve">Observation-4: The reception of PDSCH from TRP-1 and TRP-2 with large timing difference may require </w:t>
      </w:r>
      <w:r w:rsidR="0E77D082" w:rsidRPr="6DC5F989">
        <w:rPr>
          <w:b/>
          <w:bCs/>
          <w:i/>
          <w:iCs/>
        </w:rPr>
        <w:t xml:space="preserve">dual </w:t>
      </w:r>
      <w:r w:rsidRPr="6DC5F989">
        <w:rPr>
          <w:b/>
          <w:bCs/>
          <w:i/>
          <w:iCs/>
        </w:rPr>
        <w:t xml:space="preserve">FFT </w:t>
      </w:r>
      <w:proofErr w:type="gramStart"/>
      <w:r w:rsidRPr="6DC5F989">
        <w:rPr>
          <w:b/>
          <w:bCs/>
          <w:i/>
          <w:iCs/>
        </w:rPr>
        <w:t>operations  in</w:t>
      </w:r>
      <w:proofErr w:type="gramEnd"/>
      <w:r w:rsidRPr="6DC5F989">
        <w:rPr>
          <w:b/>
          <w:bCs/>
          <w:i/>
          <w:iCs/>
        </w:rPr>
        <w:t xml:space="preserve"> FR1. </w:t>
      </w:r>
      <w:r w:rsidR="00B1433F" w:rsidRPr="6DC5F989">
        <w:rPr>
          <w:b/>
          <w:bCs/>
          <w:i/>
          <w:iCs/>
        </w:rPr>
        <w:t>T</w:t>
      </w:r>
      <w:r w:rsidRPr="6DC5F989">
        <w:rPr>
          <w:b/>
          <w:bCs/>
          <w:i/>
          <w:iCs/>
        </w:rPr>
        <w:t xml:space="preserve">his may not be necessary in FR2 </w:t>
      </w:r>
      <w:r w:rsidR="00B1433F" w:rsidRPr="6DC5F989">
        <w:rPr>
          <w:b/>
          <w:bCs/>
          <w:i/>
          <w:iCs/>
        </w:rPr>
        <w:t xml:space="preserve">in most cases </w:t>
      </w:r>
      <w:r w:rsidRPr="6DC5F989">
        <w:rPr>
          <w:b/>
          <w:bCs/>
          <w:i/>
          <w:iCs/>
        </w:rPr>
        <w:t xml:space="preserve">due to </w:t>
      </w:r>
      <w:r w:rsidR="14839C65" w:rsidRPr="6DC5F989">
        <w:rPr>
          <w:b/>
          <w:bCs/>
          <w:i/>
          <w:iCs/>
        </w:rPr>
        <w:t xml:space="preserve">antenna pattern </w:t>
      </w:r>
      <w:r w:rsidRPr="6DC5F989">
        <w:rPr>
          <w:b/>
          <w:bCs/>
          <w:i/>
          <w:iCs/>
        </w:rPr>
        <w:t>isolation across UE receive panels</w:t>
      </w:r>
      <w:r w:rsidR="00B1433F" w:rsidRPr="6DC5F989">
        <w:rPr>
          <w:b/>
          <w:bCs/>
          <w:i/>
          <w:iCs/>
        </w:rPr>
        <w:t>.</w:t>
      </w:r>
    </w:p>
    <w:p w14:paraId="61908188" w14:textId="47408087" w:rsidR="00871A97" w:rsidRPr="00C71107" w:rsidRDefault="00871A97" w:rsidP="00871A97">
      <w:pPr>
        <w:pStyle w:val="Heading1"/>
      </w:pPr>
      <w:r>
        <w:t>Proposal</w:t>
      </w:r>
    </w:p>
    <w:p w14:paraId="7B7F669D" w14:textId="52FA543A" w:rsidR="00871A97" w:rsidRDefault="00871A97" w:rsidP="00C37339"/>
    <w:p w14:paraId="4A9E0952" w14:textId="4434C696" w:rsidR="00871A97" w:rsidRDefault="00871A97" w:rsidP="00871A97">
      <w:r>
        <w:t xml:space="preserve">Based on the above, we think it is essential to support inter-cell </w:t>
      </w:r>
      <w:proofErr w:type="spellStart"/>
      <w:r>
        <w:t>mDCI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operation in Rel-17 for various levels of receive timing differences allowing </w:t>
      </w:r>
      <w:r w:rsidR="00B1433F">
        <w:t xml:space="preserve">non-ideal synchronization and </w:t>
      </w:r>
      <w:r>
        <w:t>more deployment opportunities</w:t>
      </w:r>
      <w:r w:rsidR="00B1433F">
        <w:t>.</w:t>
      </w:r>
    </w:p>
    <w:p w14:paraId="0608E9E5" w14:textId="655227B2" w:rsidR="00871A97" w:rsidRDefault="00871A97" w:rsidP="00871A97"/>
    <w:p w14:paraId="687E26A9" w14:textId="3118A7F9" w:rsidR="00871A97" w:rsidRDefault="00871A97" w:rsidP="00871A97">
      <w:r w:rsidRPr="6DC5F989">
        <w:rPr>
          <w:b/>
          <w:bCs/>
          <w:i/>
          <w:iCs/>
        </w:rPr>
        <w:t xml:space="preserve">Proposal-1: </w:t>
      </w:r>
      <w:r w:rsidR="00E34E15" w:rsidRPr="6DC5F989">
        <w:rPr>
          <w:b/>
          <w:bCs/>
          <w:i/>
          <w:iCs/>
        </w:rPr>
        <w:t xml:space="preserve">Clarify that </w:t>
      </w:r>
      <w:r w:rsidR="00B1433F" w:rsidRPr="6DC5F989">
        <w:rPr>
          <w:b/>
          <w:bCs/>
          <w:i/>
          <w:iCs/>
        </w:rPr>
        <w:t xml:space="preserve">a </w:t>
      </w:r>
      <w:r w:rsidR="00E34E15" w:rsidRPr="6DC5F989">
        <w:rPr>
          <w:b/>
          <w:bCs/>
          <w:i/>
          <w:iCs/>
        </w:rPr>
        <w:t>t</w:t>
      </w:r>
      <w:r w:rsidRPr="6DC5F989">
        <w:rPr>
          <w:b/>
          <w:bCs/>
          <w:i/>
          <w:iCs/>
        </w:rPr>
        <w:t xml:space="preserve">arget deployment scenario </w:t>
      </w:r>
      <w:r w:rsidR="6E20A683" w:rsidRPr="6DC5F989">
        <w:rPr>
          <w:b/>
          <w:bCs/>
          <w:i/>
          <w:iCs/>
        </w:rPr>
        <w:t xml:space="preserve">(both FR1, FR2) </w:t>
      </w:r>
      <w:r w:rsidRPr="6DC5F989">
        <w:rPr>
          <w:b/>
          <w:bCs/>
          <w:i/>
          <w:iCs/>
        </w:rPr>
        <w:t xml:space="preserve">for </w:t>
      </w:r>
      <w:r w:rsidR="00E34E15" w:rsidRPr="6DC5F989">
        <w:rPr>
          <w:b/>
          <w:bCs/>
          <w:i/>
          <w:iCs/>
        </w:rPr>
        <w:t>inter-cell</w:t>
      </w:r>
      <w:r w:rsidRPr="6DC5F989">
        <w:rPr>
          <w:b/>
          <w:bCs/>
          <w:i/>
          <w:iCs/>
        </w:rPr>
        <w:t xml:space="preserve"> operation </w:t>
      </w:r>
      <w:r w:rsidR="00E34E15" w:rsidRPr="6DC5F989">
        <w:rPr>
          <w:b/>
          <w:bCs/>
          <w:i/>
          <w:iCs/>
        </w:rPr>
        <w:t xml:space="preserve">in Rel-17 </w:t>
      </w:r>
      <w:r w:rsidRPr="6DC5F989">
        <w:rPr>
          <w:b/>
          <w:bCs/>
          <w:i/>
          <w:iCs/>
        </w:rPr>
        <w:t xml:space="preserve">should consider </w:t>
      </w:r>
      <w:r w:rsidR="00E34E15" w:rsidRPr="6DC5F989">
        <w:rPr>
          <w:b/>
          <w:bCs/>
          <w:i/>
          <w:iCs/>
        </w:rPr>
        <w:t xml:space="preserve">non-ideal cell-phase synchronization </w:t>
      </w:r>
      <w:r w:rsidR="7F94F887" w:rsidRPr="6DC5F989">
        <w:rPr>
          <w:b/>
          <w:bCs/>
          <w:i/>
          <w:iCs/>
        </w:rPr>
        <w:t xml:space="preserve">(timing error) </w:t>
      </w:r>
      <w:r w:rsidR="00E34E15" w:rsidRPr="6DC5F989">
        <w:rPr>
          <w:b/>
          <w:bCs/>
          <w:i/>
          <w:iCs/>
        </w:rPr>
        <w:t>between the two cells</w:t>
      </w:r>
      <w:r w:rsidRPr="6DC5F989">
        <w:rPr>
          <w:b/>
          <w:bCs/>
          <w:i/>
          <w:iCs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1" w:name="_References"/>
      <w:bookmarkEnd w:id="1"/>
      <w:r w:rsidRPr="0099619E">
        <w:rPr>
          <w:sz w:val="28"/>
          <w:lang w:val="en-US"/>
        </w:rPr>
        <w:t>References</w:t>
      </w:r>
    </w:p>
    <w:p w14:paraId="5ECAA518" w14:textId="59D3E708" w:rsidR="005C2F41" w:rsidRDefault="00B47B13" w:rsidP="00EB4233">
      <w:pPr>
        <w:pStyle w:val="BodyText"/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p w14:paraId="31530E3A" w14:textId="7AF8D61E" w:rsidR="0036584D" w:rsidRPr="00EB4233" w:rsidRDefault="0036584D" w:rsidP="00EB4233">
      <w:pPr>
        <w:pStyle w:val="BodyText"/>
        <w:rPr>
          <w:lang w:val="en-US"/>
        </w:rPr>
      </w:pPr>
      <w:r w:rsidRPr="6DC5F989">
        <w:rPr>
          <w:lang w:val="en-US"/>
        </w:rPr>
        <w:t xml:space="preserve">[2] </w:t>
      </w:r>
      <w:r>
        <w:t>R1-1908653, On multi-TRP/multi-panel transmission, Intel, RAN1#9</w:t>
      </w:r>
      <w:r w:rsidR="707159CE">
        <w:t>8</w:t>
      </w:r>
      <w:r w:rsidR="5EF5658F">
        <w:t>, August 2019</w:t>
      </w:r>
    </w:p>
    <w:sectPr w:rsidR="0036584D" w:rsidRPr="00EB4233" w:rsidSect="001202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C63B2" w14:textId="77777777" w:rsidR="00383EAD" w:rsidRDefault="00383EAD"/>
  </w:endnote>
  <w:endnote w:type="continuationSeparator" w:id="0">
    <w:p w14:paraId="09BD1855" w14:textId="77777777" w:rsidR="00383EAD" w:rsidRDefault="00383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2EA82" w14:textId="77777777" w:rsidR="00871A97" w:rsidRDefault="00871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871A97" w:rsidRDefault="00871A97">
    <w:pPr>
      <w:pStyle w:val="Footer"/>
    </w:pPr>
  </w:p>
  <w:p w14:paraId="1006896D" w14:textId="77777777" w:rsidR="00871A97" w:rsidRDefault="00871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80583" w14:textId="77777777" w:rsidR="00871A97" w:rsidRDefault="00871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C326F" w14:textId="77777777" w:rsidR="00383EAD" w:rsidRDefault="00383EAD"/>
  </w:footnote>
  <w:footnote w:type="continuationSeparator" w:id="0">
    <w:p w14:paraId="702FC51B" w14:textId="77777777" w:rsidR="00383EAD" w:rsidRDefault="00383E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F78DA" w14:textId="77777777" w:rsidR="00871A97" w:rsidRDefault="00871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D61EE" w14:textId="77777777" w:rsidR="00871A97" w:rsidRDefault="00871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D9C0" w14:textId="77777777" w:rsidR="00871A97" w:rsidRDefault="00871A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4B70E8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078AA7E0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190696"/>
    <w:multiLevelType w:val="hybridMultilevel"/>
    <w:tmpl w:val="19190696"/>
    <w:lvl w:ilvl="0" w:tplc="828A5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5004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626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69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AF1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A2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8A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72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989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hybridMultilevel"/>
    <w:tmpl w:val="31913D55"/>
    <w:lvl w:ilvl="0" w:tplc="2186759C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810291C0">
      <w:start w:val="1"/>
      <w:numFmt w:val="lowerLetter"/>
      <w:lvlText w:val="%2)"/>
      <w:lvlJc w:val="left"/>
      <w:pPr>
        <w:ind w:left="840" w:hanging="420"/>
      </w:pPr>
    </w:lvl>
    <w:lvl w:ilvl="2" w:tplc="DCC044B2">
      <w:start w:val="1"/>
      <w:numFmt w:val="lowerRoman"/>
      <w:lvlText w:val="%3."/>
      <w:lvlJc w:val="right"/>
      <w:pPr>
        <w:ind w:left="1260" w:hanging="420"/>
      </w:pPr>
    </w:lvl>
    <w:lvl w:ilvl="3" w:tplc="CF545E90">
      <w:start w:val="1"/>
      <w:numFmt w:val="decimal"/>
      <w:lvlText w:val="%4."/>
      <w:lvlJc w:val="left"/>
      <w:pPr>
        <w:ind w:left="1680" w:hanging="420"/>
      </w:pPr>
    </w:lvl>
    <w:lvl w:ilvl="4" w:tplc="2B8E3A54">
      <w:start w:val="1"/>
      <w:numFmt w:val="lowerLetter"/>
      <w:lvlText w:val="%5)"/>
      <w:lvlJc w:val="left"/>
      <w:pPr>
        <w:ind w:left="2100" w:hanging="420"/>
      </w:pPr>
    </w:lvl>
    <w:lvl w:ilvl="5" w:tplc="FE2EC87E">
      <w:start w:val="1"/>
      <w:numFmt w:val="lowerRoman"/>
      <w:lvlText w:val="%6."/>
      <w:lvlJc w:val="right"/>
      <w:pPr>
        <w:ind w:left="2520" w:hanging="420"/>
      </w:pPr>
    </w:lvl>
    <w:lvl w:ilvl="6" w:tplc="207ED51C">
      <w:start w:val="1"/>
      <w:numFmt w:val="decimal"/>
      <w:lvlText w:val="%7."/>
      <w:lvlJc w:val="left"/>
      <w:pPr>
        <w:ind w:left="2940" w:hanging="420"/>
      </w:pPr>
    </w:lvl>
    <w:lvl w:ilvl="7" w:tplc="1B722B00">
      <w:start w:val="1"/>
      <w:numFmt w:val="lowerLetter"/>
      <w:lvlText w:val="%8)"/>
      <w:lvlJc w:val="left"/>
      <w:pPr>
        <w:ind w:left="3360" w:hanging="420"/>
      </w:pPr>
    </w:lvl>
    <w:lvl w:ilvl="8" w:tplc="F9667FDC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hybridMultilevel"/>
    <w:tmpl w:val="1BAE590C"/>
    <w:lvl w:ilvl="0" w:tplc="F9746D0E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332A50DE">
      <w:numFmt w:val="decimal"/>
      <w:lvlText w:val=""/>
      <w:lvlJc w:val="left"/>
    </w:lvl>
    <w:lvl w:ilvl="2" w:tplc="DF7C5D8A">
      <w:numFmt w:val="decimal"/>
      <w:lvlText w:val=""/>
      <w:lvlJc w:val="left"/>
    </w:lvl>
    <w:lvl w:ilvl="3" w:tplc="D2F82E36">
      <w:numFmt w:val="decimal"/>
      <w:lvlText w:val=""/>
      <w:lvlJc w:val="left"/>
    </w:lvl>
    <w:lvl w:ilvl="4" w:tplc="570243D4">
      <w:numFmt w:val="decimal"/>
      <w:lvlText w:val=""/>
      <w:lvlJc w:val="left"/>
    </w:lvl>
    <w:lvl w:ilvl="5" w:tplc="85AA2DE4">
      <w:numFmt w:val="decimal"/>
      <w:lvlText w:val=""/>
      <w:lvlJc w:val="left"/>
    </w:lvl>
    <w:lvl w:ilvl="6" w:tplc="05526FF2">
      <w:numFmt w:val="decimal"/>
      <w:lvlText w:val=""/>
      <w:lvlJc w:val="left"/>
    </w:lvl>
    <w:lvl w:ilvl="7" w:tplc="31781D22">
      <w:numFmt w:val="decimal"/>
      <w:lvlText w:val=""/>
      <w:lvlJc w:val="left"/>
    </w:lvl>
    <w:lvl w:ilvl="8" w:tplc="E482D90C">
      <w:numFmt w:val="decimal"/>
      <w:lvlText w:val=""/>
      <w:lvlJc w:val="left"/>
    </w:lvl>
  </w:abstractNum>
  <w:abstractNum w:abstractNumId="24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D9B2128E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294A9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E98AD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642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4F5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B6D5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E6BF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08A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10234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E47B3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760327"/>
    <w:multiLevelType w:val="multilevel"/>
    <w:tmpl w:val="C9FC62A0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7"/>
  </w:num>
  <w:num w:numId="4">
    <w:abstractNumId w:val="0"/>
  </w:num>
  <w:num w:numId="5">
    <w:abstractNumId w:val="29"/>
  </w:num>
  <w:num w:numId="6">
    <w:abstractNumId w:val="11"/>
  </w:num>
  <w:num w:numId="7">
    <w:abstractNumId w:val="18"/>
  </w:num>
  <w:num w:numId="8">
    <w:abstractNumId w:val="17"/>
  </w:num>
  <w:num w:numId="9">
    <w:abstractNumId w:val="19"/>
  </w:num>
  <w:num w:numId="10">
    <w:abstractNumId w:val="16"/>
  </w:num>
  <w:num w:numId="11">
    <w:abstractNumId w:val="6"/>
  </w:num>
  <w:num w:numId="12">
    <w:abstractNumId w:val="34"/>
  </w:num>
  <w:num w:numId="13">
    <w:abstractNumId w:val="22"/>
  </w:num>
  <w:num w:numId="14">
    <w:abstractNumId w:val="14"/>
  </w:num>
  <w:num w:numId="15">
    <w:abstractNumId w:val="9"/>
  </w:num>
  <w:num w:numId="16">
    <w:abstractNumId w:val="36"/>
  </w:num>
  <w:num w:numId="17">
    <w:abstractNumId w:val="35"/>
  </w:num>
  <w:num w:numId="18">
    <w:abstractNumId w:val="13"/>
  </w:num>
  <w:num w:numId="19">
    <w:abstractNumId w:val="27"/>
  </w:num>
  <w:num w:numId="20">
    <w:abstractNumId w:val="10"/>
  </w:num>
  <w:num w:numId="21">
    <w:abstractNumId w:val="12"/>
  </w:num>
  <w:num w:numId="22">
    <w:abstractNumId w:val="32"/>
  </w:num>
  <w:num w:numId="23">
    <w:abstractNumId w:val="2"/>
  </w:num>
  <w:num w:numId="24">
    <w:abstractNumId w:val="21"/>
  </w:num>
  <w:num w:numId="25">
    <w:abstractNumId w:val="25"/>
  </w:num>
  <w:num w:numId="26">
    <w:abstractNumId w:val="4"/>
  </w:num>
  <w:num w:numId="27">
    <w:abstractNumId w:val="8"/>
  </w:num>
  <w:num w:numId="28">
    <w:abstractNumId w:val="28"/>
  </w:num>
  <w:num w:numId="29">
    <w:abstractNumId w:val="24"/>
  </w:num>
  <w:num w:numId="30">
    <w:abstractNumId w:val="15"/>
  </w:num>
  <w:num w:numId="31">
    <w:abstractNumId w:val="31"/>
  </w:num>
  <w:num w:numId="32">
    <w:abstractNumId w:val="20"/>
  </w:num>
  <w:num w:numId="33">
    <w:abstractNumId w:val="3"/>
  </w:num>
  <w:num w:numId="34">
    <w:abstractNumId w:val="5"/>
  </w:num>
  <w:num w:numId="35">
    <w:abstractNumId w:val="26"/>
  </w:num>
  <w:num w:numId="36">
    <w:abstractNumId w:val="30"/>
  </w:num>
  <w:num w:numId="37">
    <w:abstractNumId w:val="1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AF2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0B0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AED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84D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3EAD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4E1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57BDB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041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9C1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380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E06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25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27DC9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874"/>
    <w:rsid w:val="00871A97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55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33F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2B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820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CBF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A02"/>
    <w:rsid w:val="00C62B95"/>
    <w:rsid w:val="00C63119"/>
    <w:rsid w:val="00C648A4"/>
    <w:rsid w:val="00C649B7"/>
    <w:rsid w:val="00C668A7"/>
    <w:rsid w:val="00C66CFF"/>
    <w:rsid w:val="00C70668"/>
    <w:rsid w:val="00C70E3A"/>
    <w:rsid w:val="00C71107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4E15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EBF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420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C2C"/>
    <w:rsid w:val="00F62E29"/>
    <w:rsid w:val="00F63625"/>
    <w:rsid w:val="00F6385C"/>
    <w:rsid w:val="00F63A98"/>
    <w:rsid w:val="00F63DB8"/>
    <w:rsid w:val="00F6469E"/>
    <w:rsid w:val="00F64730"/>
    <w:rsid w:val="00F64D41"/>
    <w:rsid w:val="00F64F38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20A5F2A"/>
    <w:rsid w:val="03788B29"/>
    <w:rsid w:val="04B657C2"/>
    <w:rsid w:val="04E5512F"/>
    <w:rsid w:val="05BE3536"/>
    <w:rsid w:val="0767C16E"/>
    <w:rsid w:val="07AA3833"/>
    <w:rsid w:val="07E559C1"/>
    <w:rsid w:val="088D1D59"/>
    <w:rsid w:val="08A3BE89"/>
    <w:rsid w:val="09D5603D"/>
    <w:rsid w:val="0C01C572"/>
    <w:rsid w:val="0CBEE87C"/>
    <w:rsid w:val="0D0970A9"/>
    <w:rsid w:val="0E77D082"/>
    <w:rsid w:val="0EA9197D"/>
    <w:rsid w:val="1086DC0D"/>
    <w:rsid w:val="112A0CCB"/>
    <w:rsid w:val="12F66173"/>
    <w:rsid w:val="136A1D2C"/>
    <w:rsid w:val="13F5BDE5"/>
    <w:rsid w:val="14839C65"/>
    <w:rsid w:val="14887823"/>
    <w:rsid w:val="161019B7"/>
    <w:rsid w:val="168D6074"/>
    <w:rsid w:val="179B7E12"/>
    <w:rsid w:val="1B110D57"/>
    <w:rsid w:val="1C72B86D"/>
    <w:rsid w:val="1EF22E63"/>
    <w:rsid w:val="1F527161"/>
    <w:rsid w:val="20699B14"/>
    <w:rsid w:val="2092EE5C"/>
    <w:rsid w:val="220F7D36"/>
    <w:rsid w:val="24E2FEB5"/>
    <w:rsid w:val="252C7A63"/>
    <w:rsid w:val="260DE4A2"/>
    <w:rsid w:val="2D3BC187"/>
    <w:rsid w:val="2E3E0295"/>
    <w:rsid w:val="317C1475"/>
    <w:rsid w:val="330A8BFF"/>
    <w:rsid w:val="33208C70"/>
    <w:rsid w:val="33A08546"/>
    <w:rsid w:val="33C19AB7"/>
    <w:rsid w:val="33C9B5DD"/>
    <w:rsid w:val="35C9ED12"/>
    <w:rsid w:val="369F9A84"/>
    <w:rsid w:val="3780D8E0"/>
    <w:rsid w:val="39B28F95"/>
    <w:rsid w:val="3B4CA872"/>
    <w:rsid w:val="3B816833"/>
    <w:rsid w:val="3CA6EDD0"/>
    <w:rsid w:val="3EF53A22"/>
    <w:rsid w:val="404683E1"/>
    <w:rsid w:val="42672A39"/>
    <w:rsid w:val="45B48C3E"/>
    <w:rsid w:val="45E0BDFB"/>
    <w:rsid w:val="461B4A27"/>
    <w:rsid w:val="4630533B"/>
    <w:rsid w:val="47B2333E"/>
    <w:rsid w:val="48FFDBEE"/>
    <w:rsid w:val="499CB784"/>
    <w:rsid w:val="4ADAA747"/>
    <w:rsid w:val="4B2BA1C1"/>
    <w:rsid w:val="4CF12932"/>
    <w:rsid w:val="4D3FFDBA"/>
    <w:rsid w:val="4FDD17CF"/>
    <w:rsid w:val="50D47C12"/>
    <w:rsid w:val="529C3ADC"/>
    <w:rsid w:val="5406E3E5"/>
    <w:rsid w:val="54345B9B"/>
    <w:rsid w:val="54971062"/>
    <w:rsid w:val="54F60E5D"/>
    <w:rsid w:val="555B74CB"/>
    <w:rsid w:val="55FC3C0D"/>
    <w:rsid w:val="5DC759C9"/>
    <w:rsid w:val="5DE55DF8"/>
    <w:rsid w:val="5E40B462"/>
    <w:rsid w:val="5EF5658F"/>
    <w:rsid w:val="5F3EF438"/>
    <w:rsid w:val="6008640F"/>
    <w:rsid w:val="60DFC994"/>
    <w:rsid w:val="60E1505E"/>
    <w:rsid w:val="6107DE3B"/>
    <w:rsid w:val="61676C21"/>
    <w:rsid w:val="61728410"/>
    <w:rsid w:val="6365350C"/>
    <w:rsid w:val="63BFE853"/>
    <w:rsid w:val="640F5832"/>
    <w:rsid w:val="65414B7D"/>
    <w:rsid w:val="65EE30C6"/>
    <w:rsid w:val="664560E4"/>
    <w:rsid w:val="666E3567"/>
    <w:rsid w:val="672B6634"/>
    <w:rsid w:val="67E9F769"/>
    <w:rsid w:val="6CD27F36"/>
    <w:rsid w:val="6D14B3AC"/>
    <w:rsid w:val="6D600948"/>
    <w:rsid w:val="6DC5F989"/>
    <w:rsid w:val="6E20A683"/>
    <w:rsid w:val="6F3305AC"/>
    <w:rsid w:val="6FE1E173"/>
    <w:rsid w:val="706946E0"/>
    <w:rsid w:val="707159CE"/>
    <w:rsid w:val="70F7A12E"/>
    <w:rsid w:val="70FE508F"/>
    <w:rsid w:val="72F3ADC3"/>
    <w:rsid w:val="7391AC07"/>
    <w:rsid w:val="742AD0C6"/>
    <w:rsid w:val="75B4C8C5"/>
    <w:rsid w:val="76266B1B"/>
    <w:rsid w:val="77492910"/>
    <w:rsid w:val="792D6116"/>
    <w:rsid w:val="7C262208"/>
    <w:rsid w:val="7DC847B4"/>
    <w:rsid w:val="7DE5E803"/>
    <w:rsid w:val="7E22C7A9"/>
    <w:rsid w:val="7E5A7A05"/>
    <w:rsid w:val="7F94F887"/>
    <w:rsid w:val="7FE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tal0">
    <w:name w:val="tal"/>
    <w:basedOn w:val="Normal"/>
    <w:rsid w:val="00340AED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800B4-6BDC-4D33-B9E1-036B0958E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882BFE-D098-4262-AEB8-6C55BC6A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3</Pages>
  <Words>961</Words>
  <Characters>5480</Characters>
  <Application>Microsoft Office Word</Application>
  <DocSecurity>0</DocSecurity>
  <Lines>45</Lines>
  <Paragraphs>12</Paragraphs>
  <ScaleCrop>false</ScaleCrop>
  <Company>Intel Corporation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Han, Seunghee</cp:lastModifiedBy>
  <cp:revision>2</cp:revision>
  <cp:lastPrinted>2017-10-24T05:18:00Z</cp:lastPrinted>
  <dcterms:created xsi:type="dcterms:W3CDTF">2020-09-07T20:21:00Z</dcterms:created>
  <dcterms:modified xsi:type="dcterms:W3CDTF">2020-09-07T20:21:00Z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0x01010072FF044F44F3DD409E3404F670EAECB1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